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/>
          <w:b w:val="0"/>
          <w:color w:val="000000"/>
          <w:sz w:val="32"/>
        </w:rPr>
        <w:t>校园科研项目协作与成果管理平台实现方案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编制日期：</w:t>
      </w:r>
      <w:r>
        <w:rPr>
          <w:rFonts w:ascii="Times New Roman" w:hAnsi="Times New Roman" w:eastAsia="宋体"/>
          <w:color w:val="000000"/>
          <w:sz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</w:rPr>
        <w:t>年</w:t>
      </w:r>
      <w:r>
        <w:rPr>
          <w:rFonts w:ascii="Times New Roman" w:hAnsi="Times New Roman" w:eastAsia="宋体"/>
          <w:color w:val="000000"/>
          <w:sz w:val="24"/>
        </w:rPr>
        <w:t xml:space="preserve"> 10 </w:t>
      </w:r>
      <w:r>
        <w:rPr>
          <w:rFonts w:ascii="Times New Roman" w:hAnsi="Times New Roman" w:eastAsia="宋体"/>
          <w:color w:val="000000"/>
          <w:sz w:val="24"/>
        </w:rPr>
        <w:t>月</w:t>
      </w:r>
      <w:r>
        <w:rPr>
          <w:rFonts w:ascii="Times New Roman" w:hAnsi="Times New Roman" w:eastAsia="宋体"/>
          <w:color w:val="000000"/>
          <w:sz w:val="24"/>
        </w:rPr>
        <w:t xml:space="preserve"> 13 </w:t>
      </w:r>
      <w:r>
        <w:rPr>
          <w:rFonts w:ascii="Times New Roman" w:hAnsi="Times New Roman" w:eastAsia="宋体"/>
          <w:color w:val="000000"/>
          <w:sz w:val="24"/>
        </w:rPr>
        <w:t>日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本方案面向项目组内部，用于明确技术选型、功能清单、数据与接口约定，以及各成员的落地任务。全文以</w:t>
      </w:r>
      <w:r>
        <w:rPr>
          <w:rFonts w:ascii="Times New Roman" w:hAnsi="Times New Roman" w:eastAsia="宋体"/>
          <w:color w:val="000000"/>
          <w:sz w:val="24"/>
        </w:rPr>
        <w:t>“</w:t>
      </w:r>
      <w:r>
        <w:rPr>
          <w:rFonts w:ascii="Times New Roman" w:hAnsi="Times New Roman" w:eastAsia="宋体"/>
          <w:color w:val="000000"/>
          <w:sz w:val="24"/>
        </w:rPr>
        <w:t>可直接对照开工</w:t>
      </w:r>
      <w:r>
        <w:rPr>
          <w:rFonts w:ascii="Times New Roman" w:hAnsi="Times New Roman" w:eastAsia="宋体"/>
          <w:color w:val="000000"/>
          <w:sz w:val="24"/>
        </w:rPr>
        <w:t>”</w:t>
      </w:r>
      <w:r>
        <w:rPr>
          <w:rFonts w:ascii="Times New Roman" w:hAnsi="Times New Roman" w:eastAsia="宋体"/>
          <w:color w:val="000000"/>
          <w:sz w:val="24"/>
        </w:rPr>
        <w:t>为目标，力求简明，不展开需求背景与论证过程。</w:t>
      </w:r>
      <w:r/>
    </w:p>
    <w:p>
      <w:pPr>
        <w:pStyle w:val="Heading2"/>
      </w:pPr>
      <w:r>
        <w:rPr>
          <w:rFonts w:ascii="Arial" w:hAnsi="Arial" w:eastAsia="黑体"/>
          <w:b w:val="0"/>
          <w:color w:val="000000"/>
          <w:sz w:val="28"/>
        </w:rPr>
        <w:t>一、技术栈总览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项目采用前后端分离架构，后端提供</w:t>
      </w:r>
      <w:r>
        <w:rPr>
          <w:rFonts w:ascii="Times New Roman" w:hAnsi="Times New Roman" w:eastAsia="宋体"/>
          <w:color w:val="000000"/>
          <w:sz w:val="24"/>
        </w:rPr>
        <w:t xml:space="preserve"> RESTful </w:t>
      </w:r>
      <w:r>
        <w:rPr>
          <w:rFonts w:ascii="Times New Roman" w:hAnsi="Times New Roman" w:eastAsia="宋体"/>
          <w:color w:val="000000"/>
          <w:sz w:val="24"/>
        </w:rPr>
        <w:t>接口，前端为单页应用。核心选型如下表。其中后端语言提供两套等价方案，项目组按熟悉程度二选一，一旦确定不得中途更换。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层次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选型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前端框架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Vue 3 + Vite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单页应用骨架、开发服务器与打包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UI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组件库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Element Plus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表单、表格、弹窗、菜单等基础界面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状态与路由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Pinia + Vue Router 4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全局状态（当前用户、权限）与路由守卫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网络请求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Axios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统一请求封装、令牌注入、错误拦截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数据可视化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ECharts 5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甘特图、雷达图、排行榜等图表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交互增强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vuedraggable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（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Sortable.js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看板任务换列、甘特图拖动调整时间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富文本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WangEditor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或轻量文本域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会议记录与讨论内容录入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后端方案一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Spring Boot 3 + Java 17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主推方案，生态成熟、资料丰富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后端方案二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Node.js + NestJS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备选方案，全栈同语言、上手快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数据访问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MyBatis-Plus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（方案一）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/ Prisma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（方案二）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对象关系映射与基础增删改查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身份认证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Spring Security + JWT / Passport-JWT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登录鉴权与无状态令牌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数据库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MySQL 8.0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业务数据存储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缓存（可选）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Redis 7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会话、未读数、热点数据缓存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文件存储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本地磁盘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/ MinIO /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云对象存储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文献、成果附件的保存与访问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接口文档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Knife4j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（方案一）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/ Swagger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（方案二）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自动生成在线接口文档，便于前后端联调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部署运行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Docker + Docker Compose + Nginx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环境统一、一键启动、反向代理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版本控制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Git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（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Gitee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或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GitHub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代码托管与协作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持续集成（可选）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GitHub Actions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自动构建与测试，作为加分项</w:t>
            </w:r>
          </w:p>
        </w:tc>
      </w:tr>
    </w:tbl>
    <w:p>
      <w:r/>
    </w:p>
    <w:p>
      <w:pPr>
        <w:pStyle w:val="Heading2"/>
      </w:pPr>
      <w:r>
        <w:rPr>
          <w:rFonts w:ascii="Arial" w:hAnsi="Arial" w:eastAsia="黑体"/>
          <w:b w:val="0"/>
          <w:color w:val="000000"/>
          <w:sz w:val="28"/>
        </w:rPr>
        <w:t>二、功能点清单与分工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优先级分三级：必做为关键路径，必须完成；推荐为进度允许时完成，直接影响完整度评分；选做为弹性功能，超前则做、落后即砍，不得影响验收。负责人沿用四人纵向切片分工：</w:t>
      </w:r>
      <w:r>
        <w:rPr>
          <w:rFonts w:ascii="Times New Roman" w:hAnsi="Times New Roman" w:eastAsia="宋体"/>
          <w:color w:val="000000"/>
          <w:sz w:val="24"/>
        </w:rPr>
        <w:t xml:space="preserve">A </w:t>
      </w:r>
      <w:r>
        <w:rPr>
          <w:rFonts w:ascii="Times New Roman" w:hAnsi="Times New Roman" w:eastAsia="宋体"/>
          <w:color w:val="000000"/>
          <w:sz w:val="24"/>
        </w:rPr>
        <w:t>负责账号与架构，</w:t>
      </w:r>
      <w:r>
        <w:rPr>
          <w:rFonts w:ascii="Times New Roman" w:hAnsi="Times New Roman" w:eastAsia="宋体"/>
          <w:color w:val="000000"/>
          <w:sz w:val="24"/>
        </w:rPr>
        <w:t xml:space="preserve">B </w:t>
      </w:r>
      <w:r>
        <w:rPr>
          <w:rFonts w:ascii="Times New Roman" w:hAnsi="Times New Roman" w:eastAsia="宋体"/>
          <w:color w:val="000000"/>
          <w:sz w:val="24"/>
        </w:rPr>
        <w:t>负责项目与任务，</w:t>
      </w:r>
      <w:r>
        <w:rPr>
          <w:rFonts w:ascii="Times New Roman" w:hAnsi="Times New Roman" w:eastAsia="宋体"/>
          <w:color w:val="000000"/>
          <w:sz w:val="24"/>
        </w:rPr>
        <w:t xml:space="preserve">C </w:t>
      </w:r>
      <w:r>
        <w:rPr>
          <w:rFonts w:ascii="Times New Roman" w:hAnsi="Times New Roman" w:eastAsia="宋体"/>
          <w:color w:val="000000"/>
          <w:sz w:val="24"/>
        </w:rPr>
        <w:t>负责文献、会议、成果与沟通，</w:t>
      </w:r>
      <w:r>
        <w:rPr>
          <w:rFonts w:ascii="Times New Roman" w:hAnsi="Times New Roman" w:eastAsia="宋体"/>
          <w:color w:val="000000"/>
          <w:sz w:val="24"/>
        </w:rPr>
        <w:t xml:space="preserve">D </w:t>
      </w:r>
      <w:r>
        <w:rPr>
          <w:rFonts w:ascii="Times New Roman" w:hAnsi="Times New Roman" w:eastAsia="宋体"/>
          <w:color w:val="000000"/>
          <w:sz w:val="24"/>
        </w:rPr>
        <w:t>负责贡献度分析。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功能点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优先级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负责人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账号与课题组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注册、登录、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JWT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鉴权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账号与课题组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课题组创建、邀请码入组、成员列表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账号与课题组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角色权限（负责人、管理员、成员）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项目增删改查、项目成员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阶段划分与里程碑设置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甘特图展示与拖动调整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推荐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任务管理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看板三列流转与拖拽换列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任务管理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负责人、截止日期、优先级设置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任务管理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任务下评论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文献管理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文献上传或外链、标签、阅读状态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推荐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会议管理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会议记录（时间、地点、参会人、内容）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推荐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会议管理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从会议记录提取待办并转为任务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选做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成果管理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成果分类登记、附件上传、成员关联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推荐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协作沟通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业务对象下的上下文评论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协作沟通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项目讨论区（群组会话）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推荐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协作沟通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成员私信、未读数提示（轮询）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选做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贡献度分析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行为埋点与统计接口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贡献度分析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多维加权评分模型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贡献度分析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雷达图、排行榜等画像可视化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通用支撑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统一返回体、全局异常、日志、文件上传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必做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智能增强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会议待办提取、文献摘要（接入大模型接口）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选做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弹性</w:t>
            </w:r>
          </w:p>
        </w:tc>
      </w:tr>
    </w:tbl>
    <w:p>
      <w:r/>
    </w:p>
    <w:p>
      <w:pPr>
        <w:pStyle w:val="Heading2"/>
      </w:pPr>
      <w:r>
        <w:rPr>
          <w:rFonts w:ascii="Arial" w:hAnsi="Arial" w:eastAsia="黑体"/>
          <w:b w:val="0"/>
          <w:color w:val="000000"/>
          <w:sz w:val="28"/>
        </w:rPr>
        <w:t>三、数据库表设计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系统共设计十六张主要数据表，覆盖账号、协作业务、沟通与行为统计四类。字段以关键项列出，实际建表时统一补充主键</w:t>
      </w:r>
      <w:r>
        <w:rPr>
          <w:rFonts w:ascii="Times New Roman" w:hAnsi="Times New Roman" w:eastAsia="宋体"/>
          <w:color w:val="000000"/>
          <w:sz w:val="24"/>
        </w:rPr>
        <w:t xml:space="preserve"> id</w:t>
      </w:r>
      <w:r>
        <w:rPr>
          <w:rFonts w:ascii="Times New Roman" w:hAnsi="Times New Roman" w:eastAsia="宋体"/>
          <w:color w:val="000000"/>
          <w:sz w:val="24"/>
        </w:rPr>
        <w:t>、创建时间</w:t>
      </w:r>
      <w:r>
        <w:rPr>
          <w:rFonts w:ascii="Times New Roman" w:hAnsi="Times New Roman" w:eastAsia="宋体"/>
          <w:color w:val="000000"/>
          <w:sz w:val="24"/>
        </w:rPr>
        <w:t xml:space="preserve"> created_at</w:t>
      </w:r>
      <w:r>
        <w:rPr>
          <w:rFonts w:ascii="Times New Roman" w:hAnsi="Times New Roman" w:eastAsia="宋体"/>
          <w:color w:val="000000"/>
          <w:sz w:val="24"/>
        </w:rPr>
        <w:t>、更新时间</w:t>
      </w:r>
      <w:r>
        <w:rPr>
          <w:rFonts w:ascii="Times New Roman" w:hAnsi="Times New Roman" w:eastAsia="宋体"/>
          <w:color w:val="000000"/>
          <w:sz w:val="24"/>
        </w:rPr>
        <w:t xml:space="preserve"> updated_at </w:t>
      </w:r>
      <w:r>
        <w:rPr>
          <w:rFonts w:ascii="Times New Roman" w:hAnsi="Times New Roman" w:eastAsia="宋体"/>
          <w:color w:val="000000"/>
          <w:sz w:val="24"/>
        </w:rPr>
        <w:t>与逻辑删除标记。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分类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表名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关键字段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user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username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password_hash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nickname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avatar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email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team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name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description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invite_code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owner_id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team_member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team_id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user_id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role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project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team_id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name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description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status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start_date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end_date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project_member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project_id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user_id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milestone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project_id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name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due_date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task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project_id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title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assignee_id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status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priority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due_date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literature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team_id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title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source_url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file_id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read_status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uploader_id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literature_tag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literature_id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tag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meeting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project_id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title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held_at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location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content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meeting_attendee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meeting_id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user_id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achievement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project_id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type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title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description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file_id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业务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achievement_member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achievement_id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user_id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contribution_note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沟通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conversation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type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（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comment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group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private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）、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ref_type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ref_id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title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沟通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conversation_member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conversation_id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user_id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last_read_at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沟通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message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conversation_id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sender_id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content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msg_type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ref_type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ref_id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统计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activity_log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user_id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team_id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type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ref_type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ref_id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weight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created_at</w:t>
            </w:r>
          </w:p>
        </w:tc>
      </w:tr>
    </w:tbl>
    <w:p>
      <w:r/>
    </w:p>
    <w:p>
      <w:pPr/>
      <w:r>
        <w:rPr>
          <w:rFonts w:ascii="Times New Roman" w:hAnsi="Times New Roman" w:eastAsia="宋体"/>
          <w:color w:val="000000"/>
          <w:sz w:val="24"/>
        </w:rPr>
        <w:t>其中</w:t>
      </w:r>
      <w:r>
        <w:rPr>
          <w:rFonts w:ascii="Times New Roman" w:hAnsi="Times New Roman" w:eastAsia="宋体"/>
          <w:color w:val="000000"/>
          <w:sz w:val="24"/>
        </w:rPr>
        <w:t xml:space="preserve"> conversation </w:t>
      </w:r>
      <w:r>
        <w:rPr>
          <w:rFonts w:ascii="Times New Roman" w:hAnsi="Times New Roman" w:eastAsia="宋体"/>
          <w:color w:val="000000"/>
          <w:sz w:val="24"/>
        </w:rPr>
        <w:t>表统一承载三类沟通：评论型会话的</w:t>
      </w:r>
      <w:r>
        <w:rPr>
          <w:rFonts w:ascii="Times New Roman" w:hAnsi="Times New Roman" w:eastAsia="宋体"/>
          <w:color w:val="000000"/>
          <w:sz w:val="24"/>
        </w:rPr>
        <w:t xml:space="preserve"> ref_id </w:t>
      </w:r>
      <w:r>
        <w:rPr>
          <w:rFonts w:ascii="Times New Roman" w:hAnsi="Times New Roman" w:eastAsia="宋体"/>
          <w:color w:val="000000"/>
          <w:sz w:val="24"/>
        </w:rPr>
        <w:t>指向业务对象，群组与私信型会话的</w:t>
      </w:r>
      <w:r>
        <w:rPr>
          <w:rFonts w:ascii="Times New Roman" w:hAnsi="Times New Roman" w:eastAsia="宋体"/>
          <w:color w:val="000000"/>
          <w:sz w:val="24"/>
        </w:rPr>
        <w:t xml:space="preserve"> ref_id </w:t>
      </w:r>
      <w:r>
        <w:rPr>
          <w:rFonts w:ascii="Times New Roman" w:hAnsi="Times New Roman" w:eastAsia="宋体"/>
          <w:color w:val="000000"/>
          <w:sz w:val="24"/>
        </w:rPr>
        <w:t>为空。</w:t>
      </w:r>
      <w:r>
        <w:rPr>
          <w:rFonts w:ascii="Times New Roman" w:hAnsi="Times New Roman" w:eastAsia="宋体"/>
          <w:color w:val="000000"/>
          <w:sz w:val="24"/>
        </w:rPr>
        <w:t xml:space="preserve">activity_log </w:t>
      </w:r>
      <w:r>
        <w:rPr>
          <w:rFonts w:ascii="Times New Roman" w:hAnsi="Times New Roman" w:eastAsia="宋体"/>
          <w:color w:val="000000"/>
          <w:sz w:val="24"/>
        </w:rPr>
        <w:t>表为贡献度分析的唯一数据来源，任何写入业务数据的动作都应同步写入一条记录。</w:t>
      </w:r>
      <w:r/>
    </w:p>
    <w:p>
      <w:pPr>
        <w:pStyle w:val="Heading2"/>
      </w:pPr>
      <w:r>
        <w:rPr>
          <w:rFonts w:ascii="Arial" w:hAnsi="Arial" w:eastAsia="黑体"/>
          <w:b w:val="0"/>
          <w:color w:val="000000"/>
          <w:sz w:val="28"/>
        </w:rPr>
        <w:t>四、接口规范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接口统一以</w:t>
      </w:r>
      <w:r>
        <w:rPr>
          <w:rFonts w:ascii="Times New Roman" w:hAnsi="Times New Roman" w:eastAsia="宋体"/>
          <w:color w:val="000000"/>
          <w:sz w:val="24"/>
        </w:rPr>
        <w:t xml:space="preserve"> /api/v1 </w:t>
      </w:r>
      <w:r>
        <w:rPr>
          <w:rFonts w:ascii="Times New Roman" w:hAnsi="Times New Roman" w:eastAsia="宋体"/>
          <w:color w:val="000000"/>
          <w:sz w:val="24"/>
        </w:rPr>
        <w:t>为前缀，遵循</w:t>
      </w:r>
      <w:r>
        <w:rPr>
          <w:rFonts w:ascii="Times New Roman" w:hAnsi="Times New Roman" w:eastAsia="宋体"/>
          <w:color w:val="000000"/>
          <w:sz w:val="24"/>
        </w:rPr>
        <w:t xml:space="preserve"> RESTful </w:t>
      </w:r>
      <w:r>
        <w:rPr>
          <w:rFonts w:ascii="Times New Roman" w:hAnsi="Times New Roman" w:eastAsia="宋体"/>
          <w:color w:val="000000"/>
          <w:sz w:val="24"/>
        </w:rPr>
        <w:t>风格。所有响应使用统一返回体，包含状态码</w:t>
      </w:r>
      <w:r>
        <w:rPr>
          <w:rFonts w:ascii="Times New Roman" w:hAnsi="Times New Roman" w:eastAsia="宋体"/>
          <w:color w:val="000000"/>
          <w:sz w:val="24"/>
        </w:rPr>
        <w:t xml:space="preserve"> code</w:t>
      </w:r>
      <w:r>
        <w:rPr>
          <w:rFonts w:ascii="Times New Roman" w:hAnsi="Times New Roman" w:eastAsia="宋体"/>
          <w:color w:val="000000"/>
          <w:sz w:val="24"/>
        </w:rPr>
        <w:t>、提示信息</w:t>
      </w:r>
      <w:r>
        <w:rPr>
          <w:rFonts w:ascii="Times New Roman" w:hAnsi="Times New Roman" w:eastAsia="宋体"/>
          <w:color w:val="000000"/>
          <w:sz w:val="24"/>
        </w:rPr>
        <w:t xml:space="preserve"> message </w:t>
      </w:r>
      <w:r>
        <w:rPr>
          <w:rFonts w:ascii="Times New Roman" w:hAnsi="Times New Roman" w:eastAsia="宋体"/>
          <w:color w:val="000000"/>
          <w:sz w:val="24"/>
        </w:rPr>
        <w:t>与数据体</w:t>
      </w:r>
      <w:r>
        <w:rPr>
          <w:rFonts w:ascii="Times New Roman" w:hAnsi="Times New Roman" w:eastAsia="宋体"/>
          <w:color w:val="000000"/>
          <w:sz w:val="24"/>
        </w:rPr>
        <w:t xml:space="preserve"> data </w:t>
      </w:r>
      <w:r>
        <w:rPr>
          <w:rFonts w:ascii="Times New Roman" w:hAnsi="Times New Roman" w:eastAsia="宋体"/>
          <w:color w:val="000000"/>
          <w:sz w:val="24"/>
        </w:rPr>
        <w:t>三个字段。需要身份的操作在请求头携带</w:t>
      </w:r>
      <w:r>
        <w:rPr>
          <w:rFonts w:ascii="Times New Roman" w:hAnsi="Times New Roman" w:eastAsia="宋体"/>
          <w:color w:val="000000"/>
          <w:sz w:val="24"/>
        </w:rPr>
        <w:t xml:space="preserve"> Authorization: Bearer </w:t>
      </w:r>
      <w:r>
        <w:rPr>
          <w:rFonts w:ascii="Times New Roman" w:hAnsi="Times New Roman" w:eastAsia="宋体"/>
          <w:color w:val="000000"/>
          <w:sz w:val="24"/>
        </w:rPr>
        <w:t>令牌。列表接口统一支持</w:t>
      </w:r>
      <w:r>
        <w:rPr>
          <w:rFonts w:ascii="Times New Roman" w:hAnsi="Times New Roman" w:eastAsia="宋体"/>
          <w:color w:val="000000"/>
          <w:sz w:val="24"/>
        </w:rPr>
        <w:t xml:space="preserve"> page </w:t>
      </w:r>
      <w:r>
        <w:rPr>
          <w:rFonts w:ascii="Times New Roman" w:hAnsi="Times New Roman" w:eastAsia="宋体"/>
          <w:color w:val="000000"/>
          <w:sz w:val="24"/>
        </w:rPr>
        <w:t>与</w:t>
      </w:r>
      <w:r>
        <w:rPr>
          <w:rFonts w:ascii="Times New Roman" w:hAnsi="Times New Roman" w:eastAsia="宋体"/>
          <w:color w:val="000000"/>
          <w:sz w:val="24"/>
        </w:rPr>
        <w:t xml:space="preserve"> size </w:t>
      </w:r>
      <w:r>
        <w:rPr>
          <w:rFonts w:ascii="Times New Roman" w:hAnsi="Times New Roman" w:eastAsia="宋体"/>
          <w:color w:val="000000"/>
          <w:sz w:val="24"/>
        </w:rPr>
        <w:t>两个分页参数。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路径示例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/api/v1/auth/register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/api/v1/auth/login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注册与登录，返回令牌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GET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/api/v1/teams/{id}/members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获取课题组成员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POST / PUT / DELETE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/api/v1/projects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/api/v1/projects/{id}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项目增删改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GET / PUT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/api/v1/tasks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/api/v1/tasks/{id}/status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任务查询与状态流转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GET / POST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/api/v1/conversations/{id}/messages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会话消息拉取与发送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GET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/api/v1/conversations/unread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未读消息汇总（轮询接口）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GET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/api/v1/stats/contribution?teamId=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贡献度分析结果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POST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/api/v1/files/upload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统一文件上传，返回文件标识</w:t>
            </w:r>
          </w:p>
        </w:tc>
      </w:tr>
    </w:tbl>
    <w:p>
      <w:r/>
    </w:p>
    <w:p>
      <w:pPr>
        <w:pStyle w:val="Heading2"/>
      </w:pPr>
      <w:r>
        <w:rPr>
          <w:rFonts w:ascii="Arial" w:hAnsi="Arial" w:eastAsia="黑体"/>
          <w:b w:val="0"/>
          <w:color w:val="000000"/>
          <w:sz w:val="28"/>
        </w:rPr>
        <w:t>五、关键实现要点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以下六点是本项目实现成败的关键，须在开工首周即确定并写入公共代码，避免后期返工。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第一，行为埋点必须先行。贡献度分析并非独立模块，而是寄生在其他模块之上。要求所有关键动作，包括完成任务、提交成果、参加会议、上传文献等，在写入业务数据的同时，调用统一的埋点方法向</w:t>
      </w:r>
      <w:r>
        <w:rPr>
          <w:rFonts w:ascii="Times New Roman" w:hAnsi="Times New Roman" w:eastAsia="宋体"/>
          <w:color w:val="000000"/>
          <w:sz w:val="24"/>
        </w:rPr>
        <w:t xml:space="preserve"> activity_log </w:t>
      </w:r>
      <w:r>
        <w:rPr>
          <w:rFonts w:ascii="Times New Roman" w:hAnsi="Times New Roman" w:eastAsia="宋体"/>
          <w:color w:val="000000"/>
          <w:sz w:val="24"/>
        </w:rPr>
        <w:t>写入一条带</w:t>
      </w:r>
      <w:r>
        <w:rPr>
          <w:rFonts w:ascii="Times New Roman" w:hAnsi="Times New Roman" w:eastAsia="宋体"/>
          <w:color w:val="000000"/>
          <w:sz w:val="24"/>
        </w:rPr>
        <w:t xml:space="preserve"> user_id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宋体"/>
          <w:color w:val="000000"/>
          <w:sz w:val="24"/>
        </w:rPr>
        <w:t xml:space="preserve">type </w:t>
      </w:r>
      <w:r>
        <w:rPr>
          <w:rFonts w:ascii="Times New Roman" w:hAnsi="Times New Roman" w:eastAsia="宋体"/>
          <w:color w:val="000000"/>
          <w:sz w:val="24"/>
        </w:rPr>
        <w:t>与时间戳的记录。该动作应在第一周随基础模块一并实现，否则后期将无数据可统计。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第二，未读数采用已读时间方案。会话成员表记录每位成员的</w:t>
      </w:r>
      <w:r>
        <w:rPr>
          <w:rFonts w:ascii="Times New Roman" w:hAnsi="Times New Roman" w:eastAsia="宋体"/>
          <w:color w:val="000000"/>
          <w:sz w:val="24"/>
        </w:rPr>
        <w:t xml:space="preserve"> last_read_at</w:t>
      </w:r>
      <w:r>
        <w:rPr>
          <w:rFonts w:ascii="Times New Roman" w:hAnsi="Times New Roman" w:eastAsia="宋体"/>
          <w:color w:val="000000"/>
          <w:sz w:val="24"/>
        </w:rPr>
        <w:t>，未读消息数为会话内创建时间晚于该字段的消息数量。该方案只需一条查询语句即可完成统计，无需为每条消息维护已读状态。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第三，实时通信采用轮询。前端每三至五秒调用一次未读与消息接口，即可满足异步协作场景的体验要求。本项目不使用</w:t>
      </w:r>
      <w:r>
        <w:rPr>
          <w:rFonts w:ascii="Times New Roman" w:hAnsi="Times New Roman" w:eastAsia="宋体"/>
          <w:color w:val="000000"/>
          <w:sz w:val="24"/>
        </w:rPr>
        <w:t xml:space="preserve"> WebSocket</w:t>
      </w:r>
      <w:r>
        <w:rPr>
          <w:rFonts w:ascii="Times New Roman" w:hAnsi="Times New Roman" w:eastAsia="宋体"/>
          <w:color w:val="000000"/>
          <w:sz w:val="24"/>
        </w:rPr>
        <w:t>，以避免连接管理、断线重连与部署环节的额外成本。若后期需要提升实时性，可平滑升级为服务器推送事件，无需推倒重来。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第四，权限与数据隔离。鉴权以</w:t>
      </w:r>
      <w:r>
        <w:rPr>
          <w:rFonts w:ascii="Times New Roman" w:hAnsi="Times New Roman" w:eastAsia="宋体"/>
          <w:color w:val="000000"/>
          <w:sz w:val="24"/>
        </w:rPr>
        <w:t xml:space="preserve"> JWT </w:t>
      </w:r>
      <w:r>
        <w:rPr>
          <w:rFonts w:ascii="Times New Roman" w:hAnsi="Times New Roman" w:eastAsia="宋体"/>
          <w:color w:val="000000"/>
          <w:sz w:val="24"/>
        </w:rPr>
        <w:t>实现，后端在过滤器或中间件中统一校验令牌并解析当前用户，所有涉及课题组数据的查询都必须附加团队标识条件，防止越权访问他人数据。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第五，文件上传统一收口。所有附件通过同一上传接口处理，统一限制文件大小与类型白名单，返回文件标识供业务表引用，存储位置可通过配置在本地磁盘与对象存储之间切换。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第六，贡献度模型须可解释。评分应将各维度先归一化再加权，权重来源需有依据并可写入文档。必须明确该指标为项目参与度的可视化参考，而非科研贡献评价。同时，私信内容不得纳入统计，以避免诱导行为变形。</w:t>
      </w:r>
      <w:r/>
    </w:p>
    <w:p>
      <w:pPr>
        <w:pStyle w:val="Heading2"/>
      </w:pPr>
      <w:r>
        <w:rPr>
          <w:rFonts w:ascii="Arial" w:hAnsi="Arial" w:eastAsia="黑体"/>
          <w:b w:val="0"/>
          <w:color w:val="000000"/>
          <w:sz w:val="28"/>
        </w:rPr>
        <w:t>六、目录结构与环境启动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项目采用前后端分离的双目录结构，前端与后端各自独立，通过接口通信。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路径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frontend/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前端工程。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src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下按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api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router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store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views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components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utils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组织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backend/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后端工程。按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controller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service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mapper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entity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config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分层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deploy/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部署配置。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docker-compose.yml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Nginx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配置、数据库初始化脚本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docs/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项目文档。需求、设计、接口说明与答辩材料</w:t>
            </w:r>
          </w:p>
        </w:tc>
      </w:tr>
    </w:tbl>
    <w:p>
      <w:r/>
    </w:p>
    <w:p>
      <w:pPr/>
      <w:r>
        <w:rPr>
          <w:rFonts w:ascii="Times New Roman" w:hAnsi="Times New Roman" w:eastAsia="宋体"/>
          <w:color w:val="000000"/>
          <w:sz w:val="24"/>
        </w:rPr>
        <w:t>环境启动步骤。前端确认安装</w:t>
      </w:r>
      <w:r>
        <w:rPr>
          <w:rFonts w:ascii="Times New Roman" w:hAnsi="Times New Roman" w:eastAsia="宋体"/>
          <w:color w:val="000000"/>
          <w:sz w:val="24"/>
        </w:rPr>
        <w:t xml:space="preserve"> Node.js 18 </w:t>
      </w:r>
      <w:r>
        <w:rPr>
          <w:rFonts w:ascii="Times New Roman" w:hAnsi="Times New Roman" w:eastAsia="宋体"/>
          <w:color w:val="000000"/>
          <w:sz w:val="24"/>
        </w:rPr>
        <w:t>及以上版本，在</w:t>
      </w:r>
      <w:r>
        <w:rPr>
          <w:rFonts w:ascii="Times New Roman" w:hAnsi="Times New Roman" w:eastAsia="宋体"/>
          <w:color w:val="000000"/>
          <w:sz w:val="24"/>
        </w:rPr>
        <w:t xml:space="preserve"> frontend </w:t>
      </w:r>
      <w:r>
        <w:rPr>
          <w:rFonts w:ascii="Times New Roman" w:hAnsi="Times New Roman" w:eastAsia="宋体"/>
          <w:color w:val="000000"/>
          <w:sz w:val="24"/>
        </w:rPr>
        <w:t>目录执行依赖安装后启动开发服务器。后端确认安装</w:t>
      </w:r>
      <w:r>
        <w:rPr>
          <w:rFonts w:ascii="Times New Roman" w:hAnsi="Times New Roman" w:eastAsia="宋体"/>
          <w:color w:val="000000"/>
          <w:sz w:val="24"/>
        </w:rPr>
        <w:t xml:space="preserve"> JDK 17 </w:t>
      </w:r>
      <w:r>
        <w:rPr>
          <w:rFonts w:ascii="Times New Roman" w:hAnsi="Times New Roman" w:eastAsia="宋体"/>
          <w:color w:val="000000"/>
          <w:sz w:val="24"/>
        </w:rPr>
        <w:t>与</w:t>
      </w:r>
      <w:r>
        <w:rPr>
          <w:rFonts w:ascii="Times New Roman" w:hAnsi="Times New Roman" w:eastAsia="宋体"/>
          <w:color w:val="000000"/>
          <w:sz w:val="24"/>
        </w:rPr>
        <w:t xml:space="preserve"> Maven</w:t>
      </w:r>
      <w:r>
        <w:rPr>
          <w:rFonts w:ascii="Times New Roman" w:hAnsi="Times New Roman" w:eastAsia="宋体"/>
          <w:color w:val="000000"/>
          <w:sz w:val="24"/>
        </w:rPr>
        <w:t>，或安装</w:t>
      </w:r>
      <w:r>
        <w:rPr>
          <w:rFonts w:ascii="Times New Roman" w:hAnsi="Times New Roman" w:eastAsia="宋体"/>
          <w:color w:val="000000"/>
          <w:sz w:val="24"/>
        </w:rPr>
        <w:t xml:space="preserve"> Node.js 18 </w:t>
      </w:r>
      <w:r>
        <w:rPr>
          <w:rFonts w:ascii="Times New Roman" w:hAnsi="Times New Roman" w:eastAsia="宋体"/>
          <w:color w:val="000000"/>
          <w:sz w:val="24"/>
        </w:rPr>
        <w:t>及以上版本，配置数据库连接信息写入本地环境变量文件，随后启动服务。数据库推荐使用容器方式启动，在</w:t>
      </w:r>
      <w:r>
        <w:rPr>
          <w:rFonts w:ascii="Times New Roman" w:hAnsi="Times New Roman" w:eastAsia="宋体"/>
          <w:color w:val="000000"/>
          <w:sz w:val="24"/>
        </w:rPr>
        <w:t xml:space="preserve"> deploy </w:t>
      </w:r>
      <w:r>
        <w:rPr>
          <w:rFonts w:ascii="Times New Roman" w:hAnsi="Times New Roman" w:eastAsia="宋体"/>
          <w:color w:val="000000"/>
          <w:sz w:val="24"/>
        </w:rPr>
        <w:t>目录执行容器编排命令即可拉起</w:t>
      </w:r>
      <w:r>
        <w:rPr>
          <w:rFonts w:ascii="Times New Roman" w:hAnsi="Times New Roman" w:eastAsia="宋体"/>
          <w:color w:val="000000"/>
          <w:sz w:val="24"/>
        </w:rPr>
        <w:t xml:space="preserve"> MySQL </w:t>
      </w:r>
      <w:r>
        <w:rPr>
          <w:rFonts w:ascii="Times New Roman" w:hAnsi="Times New Roman" w:eastAsia="宋体"/>
          <w:color w:val="000000"/>
          <w:sz w:val="24"/>
        </w:rPr>
        <w:t>实例，首次启动自动执行建库脚本。全部启动后，访问接口文档页面即可查看与调试接口。</w:t>
      </w:r>
      <w:r/>
    </w:p>
    <w:p>
      <w:pPr>
        <w:pStyle w:val="Heading2"/>
      </w:pPr>
      <w:r>
        <w:rPr>
          <w:rFonts w:ascii="Arial" w:hAnsi="Arial" w:eastAsia="黑体"/>
          <w:b w:val="0"/>
          <w:color w:val="000000"/>
          <w:sz w:val="28"/>
        </w:rPr>
        <w:t>七、开发推进顺序</w:t>
      </w:r>
      <w:r/>
    </w:p>
    <w:p>
      <w:pPr/>
      <w:r>
        <w:rPr>
          <w:rFonts w:ascii="Times New Roman" w:hAnsi="Times New Roman" w:eastAsia="宋体"/>
          <w:color w:val="000000"/>
          <w:sz w:val="24"/>
        </w:rPr>
        <w:t>下表将功能点按周次排序，与总开发计划保持一致，供各成员对照推进。表中前置条件指该周工作开始前必须就绪的事项。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周次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主要工作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Arial" w:hAnsi="Arial" w:eastAsia="黑体"/>
                <w:b w:val="0"/>
                <w:color w:val="000000"/>
                <w:sz w:val="21"/>
              </w:rPr>
              <w:t>前置条件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1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前后端脚手架搭建、统一返回体、全局异常、数据库建表、行为埋点表与埋点方法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技术栈确定、仓库与分支规范就绪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2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注册登录与鉴权、课题组与角色、跑通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“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登录到建任务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”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最小闭环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埋点表已建、接口规范已定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3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至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4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项目管理、任务看板、任务评论、文献管理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最小闭环可运行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5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中期验收：核心功能可演示；会议与成果管理推进中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前述模块可联调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6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至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7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贡献度分析攻坚、画像可视化、讨论区与私信等弹性功能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各模块已持续产生埋点数据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8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系统联调、部署上线、文档与答辩材料、最终验收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52" w:after="52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功能冻结</w:t>
            </w:r>
          </w:p>
        </w:tc>
      </w:tr>
    </w:tbl>
    <w:p>
      <w:r/>
    </w:p>
    <w:p>
      <w:pPr/>
      <w:r>
        <w:rPr>
          <w:rFonts w:ascii="Times New Roman" w:hAnsi="Times New Roman" w:eastAsia="宋体"/>
          <w:color w:val="000000"/>
          <w:sz w:val="24"/>
        </w:rPr>
        <w:t>最后一个建议：本项目自身的任务与进度，可直接使用正在开发的平台来管理，即所谓的自举。这既是开发过程的真实数据来源，也能在答辩时现场展示</w:t>
      </w:r>
      <w:r>
        <w:rPr>
          <w:rFonts w:ascii="Times New Roman" w:hAnsi="Times New Roman" w:eastAsia="宋体"/>
          <w:color w:val="000000"/>
          <w:sz w:val="24"/>
        </w:rPr>
        <w:t>“</w:t>
      </w:r>
      <w:r>
        <w:rPr>
          <w:rFonts w:ascii="Times New Roman" w:hAnsi="Times New Roman" w:eastAsia="宋体"/>
          <w:color w:val="000000"/>
          <w:sz w:val="24"/>
        </w:rPr>
        <w:t>用作品管理作品</w:t>
      </w:r>
      <w:r>
        <w:rPr>
          <w:rFonts w:ascii="Times New Roman" w:hAnsi="Times New Roman" w:eastAsia="宋体"/>
          <w:color w:val="000000"/>
          <w:sz w:val="24"/>
        </w:rPr>
        <w:t>”</w:t>
      </w:r>
      <w:r>
        <w:rPr>
          <w:rFonts w:ascii="Times New Roman" w:hAnsi="Times New Roman" w:eastAsia="宋体"/>
          <w:color w:val="000000"/>
          <w:sz w:val="24"/>
        </w:rPr>
        <w:t>，说服力最强。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黑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黑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