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7b565dc6d00fc264d0299553081eb7d8fc1766"/>
    <w:p>
      <w:pPr>
        <w:pStyle w:val="Heading1"/>
      </w:pPr>
      <w:r>
        <w:t xml:space="preserve">Security Radar: Systematic Vulnerability Discovery via GPU Beam Search and LLM-Guided Evaluation</w:t>
      </w:r>
    </w:p>
    <w:bookmarkStart w:id="9" w:name="research-proposal"/>
    <w:p>
      <w:pPr>
        <w:pStyle w:val="Heading2"/>
      </w:pPr>
      <w:r>
        <w:t xml:space="preserve">Research Proposal</w:t>
      </w:r>
    </w:p>
    <w:p>
      <w:pPr>
        <w:pStyle w:val="FirstParagraph"/>
      </w:pPr>
      <w:r>
        <w:rPr>
          <w:b/>
          <w:bCs/>
        </w:rPr>
        <w:t xml:space="preserve">Principal Investigator:</w:t>
      </w:r>
      <w:r>
        <w:t xml:space="preserve"> </w:t>
      </w:r>
      <w:r>
        <w:t xml:space="preserve">Andrew H. Bond, Senior Member, IEEE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Department of Computer Engineering, San Jose State University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andrew.bond@sjsu.edu | ORCID: 0009-0003-2599-6158</w:t>
      </w:r>
    </w:p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Current approaches to automated vulnerability discovery fall into two camps:</w:t>
      </w:r>
      <w:r>
        <w:t xml:space="preserve"> </w:t>
      </w:r>
      <w:r>
        <w:rPr>
          <w:b/>
          <w:bCs/>
        </w:rPr>
        <w:t xml:space="preserve">random fuzzing</w:t>
      </w:r>
      <w:r>
        <w:t xml:space="preserve"> </w:t>
      </w:r>
      <w:r>
        <w:t xml:space="preserve">(AFL, LibFuzzer) which achieves high throughput but poor coverage of structured attack spaces, and</w:t>
      </w:r>
      <w:r>
        <w:t xml:space="preserve"> </w:t>
      </w:r>
      <w:r>
        <w:rPr>
          <w:b/>
          <w:bCs/>
        </w:rPr>
        <w:t xml:space="preserve">LLM-guided analysis</w:t>
      </w:r>
      <w:r>
        <w:t xml:space="preserve"> </w:t>
      </w:r>
      <w:r>
        <w:t xml:space="preserve">(Project Glasswing, Claude Mythos) which achieves deep reasoning but lacks systematic coverage guarantees. Neither approach tells a defender:</w:t>
      </w:r>
      <w:r>
        <w:t xml:space="preserve"> </w:t>
      </w:r>
      <w:r>
        <w:t xml:space="preserve">“we have exhaustively searched this bounded attack surface and can characterize exactly where the vulnerabilities are and aren’t.”</w:t>
      </w:r>
    </w:p>
    <w:p>
      <w:pPr>
        <w:pStyle w:val="BodyText"/>
      </w:pPr>
      <w:r>
        <w:t xml:space="preserve">We propose</w:t>
      </w:r>
      <w:r>
        <w:t xml:space="preserve"> </w:t>
      </w:r>
      <w:r>
        <w:rPr>
          <w:b/>
          <w:bCs/>
        </w:rPr>
        <w:t xml:space="preserve">Security Radar</w:t>
      </w:r>
      <w:r>
        <w:t xml:space="preserve"> </w:t>
      </w:r>
      <w:r>
        <w:t xml:space="preserve">— a system that combines exhaustive GPU beam search over formally bounded attack grammars with LLM-guided evaluation of candidate exploits. The key insight comes from our work on Theory Radar (Bond, IEEE TAI 2026), where we showed that GPU beam search over a depth-bounded formula space, combined with meta-learned pruning rules, can exhaustively cover a combinatorial search space while eliminating 88-99% of dead branches with zero false negatives. We apply the same architecture to vulnerability discovery.</w:t>
      </w:r>
    </w:p>
    <w:bookmarkEnd w:id="10"/>
    <w:bookmarkStart w:id="16" w:name="technical-approach"/>
    <w:p>
      <w:pPr>
        <w:pStyle w:val="Heading2"/>
      </w:pPr>
      <w:r>
        <w:t xml:space="preserve">2. Technical Approach</w:t>
      </w:r>
    </w:p>
    <w:bookmarkStart w:id="11" w:name="attack-grammar"/>
    <w:p>
      <w:pPr>
        <w:pStyle w:val="Heading3"/>
      </w:pPr>
      <w:r>
        <w:t xml:space="preserve">2.1 Attack Grammar</w:t>
      </w:r>
    </w:p>
    <w:p>
      <w:pPr>
        <w:pStyle w:val="FirstParagraph"/>
      </w:pPr>
      <w:r>
        <w:t xml:space="preserve">We define a formal grammar G over parameterized attack patterns:</w:t>
      </w:r>
    </w:p>
    <w:p>
      <w:pPr>
        <w:pStyle w:val="SourceCode"/>
      </w:pPr>
      <w:r>
        <w:rPr>
          <w:rStyle w:val="VerbatimChar"/>
        </w:rPr>
        <w:t xml:space="preserve">Attack := InjectionType × Encoding × Evasion × Surface × Payload</w:t>
      </w:r>
      <w:r>
        <w:br/>
      </w:r>
      <w:r>
        <w:br/>
      </w:r>
      <w:r>
        <w:rPr>
          <w:rStyle w:val="VerbatimChar"/>
        </w:rPr>
        <w:t xml:space="preserve">InjectionType := {SQLi, XSS, CommandInj, PathTraversal, SSRF, </w:t>
      </w:r>
      <w:r>
        <w:br/>
      </w:r>
      <w:r>
        <w:rPr>
          <w:rStyle w:val="VerbatimChar"/>
        </w:rPr>
        <w:t xml:space="preserve">                  Deserialization, TemplateInj, LDAPInj, ...}</w:t>
      </w:r>
      <w:r>
        <w:br/>
      </w:r>
      <w:r>
        <w:br/>
      </w:r>
      <w:r>
        <w:rPr>
          <w:rStyle w:val="VerbatimChar"/>
        </w:rPr>
        <w:t xml:space="preserve">Encoding := {None, URL, Base64, Unicode, DoubleEncode, </w:t>
      </w:r>
      <w:r>
        <w:br/>
      </w:r>
      <w:r>
        <w:rPr>
          <w:rStyle w:val="VerbatimChar"/>
        </w:rPr>
        <w:t xml:space="preserve">             HTMLEntity, Hex, Octal, ...}</w:t>
      </w:r>
      <w:r>
        <w:br/>
      </w:r>
      <w:r>
        <w:br/>
      </w:r>
      <w:r>
        <w:rPr>
          <w:rStyle w:val="VerbatimChar"/>
        </w:rPr>
        <w:t xml:space="preserve">Evasion := {None, CaseMutation, WhitespaceVariant, CommentInsertion,</w:t>
      </w:r>
      <w:r>
        <w:br/>
      </w:r>
      <w:r>
        <w:rPr>
          <w:rStyle w:val="VerbatimChar"/>
        </w:rPr>
        <w:t xml:space="preserve">            NullByte, Truncation, CharsetMix, ...}</w:t>
      </w:r>
      <w:r>
        <w:br/>
      </w:r>
      <w:r>
        <w:br/>
      </w:r>
      <w:r>
        <w:rPr>
          <w:rStyle w:val="VerbatimChar"/>
        </w:rPr>
        <w:t xml:space="preserve">Surface := {QueryParam, Header, Cookie, Body, Path, </w:t>
      </w:r>
      <w:r>
        <w:br/>
      </w:r>
      <w:r>
        <w:rPr>
          <w:rStyle w:val="VerbatimChar"/>
        </w:rPr>
        <w:t xml:space="preserve">            Filename, Metadata, ...}</w:t>
      </w:r>
      <w:r>
        <w:br/>
      </w:r>
      <w:r>
        <w:br/>
      </w:r>
      <w:r>
        <w:rPr>
          <w:rStyle w:val="VerbatimChar"/>
        </w:rPr>
        <w:t xml:space="preserve">Payload := Parameterized templates per InjectionType</w:t>
      </w:r>
    </w:p>
    <w:p>
      <w:pPr>
        <w:pStyle w:val="FirstParagraph"/>
      </w:pPr>
      <w:r>
        <w:t xml:space="preserve">At depth 3 (injection × encoding × evasion), with 8 injection types, 8 encodings, and 8 evasion techniques, the search space is 512 attack patterns per surface. At depth 4 (adding payload variants), it grows to ~10,000 — well within GPU beam search capacity.</w:t>
      </w:r>
    </w:p>
    <w:bookmarkEnd w:id="11"/>
    <w:bookmarkStart w:id="12" w:name="gpu-beam-search"/>
    <w:p>
      <w:pPr>
        <w:pStyle w:val="Heading3"/>
      </w:pPr>
      <w:r>
        <w:t xml:space="preserve">2.2 GPU Beam Search</w:t>
      </w:r>
    </w:p>
    <w:p>
      <w:pPr>
        <w:pStyle w:val="FirstParagraph"/>
      </w:pPr>
      <w:r>
        <w:t xml:space="preserve">Adapted from Theory Radar’s beam search engine: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Enumeration</w:t>
      </w:r>
      <w:r>
        <w:t xml:space="preserve">: Generate all attack candidates from grammar G up to depth 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Parallel evaluation</w:t>
      </w:r>
      <w:r>
        <w:t xml:space="preserve">: Launch N candidates against a sandboxed target simultaneously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Scoring</w:t>
      </w:r>
      <w:r>
        <w:t xml:space="preserve">: Each candidate receives a score based on:</w:t>
      </w:r>
    </w:p>
    <w:p>
      <w:pPr>
        <w:pStyle w:val="Compact"/>
        <w:numPr>
          <w:ilvl w:val="1"/>
          <w:numId w:val="1002"/>
        </w:numPr>
      </w:pPr>
      <w:r>
        <w:t xml:space="preserve">HTTP response code deviation from baseline</w:t>
      </w:r>
    </w:p>
    <w:p>
      <w:pPr>
        <w:pStyle w:val="Compact"/>
        <w:numPr>
          <w:ilvl w:val="1"/>
          <w:numId w:val="1002"/>
        </w:numPr>
      </w:pPr>
      <w:r>
        <w:t xml:space="preserve">Response body anomalies (error messages, stack traces, data leakage)</w:t>
      </w:r>
    </w:p>
    <w:p>
      <w:pPr>
        <w:pStyle w:val="Compact"/>
        <w:numPr>
          <w:ilvl w:val="1"/>
          <w:numId w:val="1002"/>
        </w:numPr>
      </w:pPr>
      <w:r>
        <w:t xml:space="preserve">Timing anomalies (blind injection detection)</w:t>
      </w:r>
    </w:p>
    <w:p>
      <w:pPr>
        <w:pStyle w:val="Compact"/>
        <w:numPr>
          <w:ilvl w:val="1"/>
          <w:numId w:val="1002"/>
        </w:numPr>
      </w:pPr>
      <w:r>
        <w:t xml:space="preserve">WAF bypass success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Beam pruning</w:t>
      </w:r>
      <w:r>
        <w:t xml:space="preserve">: Keep top-k candidates by score, expand to depth d+1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Meta-learned pruning</w:t>
      </w:r>
      <w:r>
        <w:t xml:space="preserve">: Eliminate attack subtrees that are provably dead (see 2.3)</w:t>
      </w:r>
    </w:p>
    <w:p>
      <w:pPr>
        <w:pStyle w:val="FirstParagraph"/>
      </w:pPr>
      <w:r>
        <w:rPr>
          <w:b/>
          <w:bCs/>
        </w:rPr>
        <w:t xml:space="preserve">Hardware</w:t>
      </w:r>
      <w:r>
        <w:t xml:space="preserve">: GPU beam search runs on consumer hardware (demonstrated on 2x Quadro GV100 32GB). The search is embarrassingly parallel — each candidate evaluation is independent.</w:t>
      </w:r>
    </w:p>
    <w:bookmarkEnd w:id="12"/>
    <w:bookmarkStart w:id="13" w:name="meta-learned-pruning-from-theory-radar"/>
    <w:p>
      <w:pPr>
        <w:pStyle w:val="Heading3"/>
      </w:pPr>
      <w:r>
        <w:t xml:space="preserve">2.3 Meta-Learned Pruning (from Theory Radar)</w:t>
      </w:r>
    </w:p>
    <w:p>
      <w:pPr>
        <w:pStyle w:val="FirstParagraph"/>
      </w:pPr>
      <w:r>
        <w:t xml:space="preserve">The key innovation from Theory Radar that transfers directly: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Exhaustive micro-search</w:t>
      </w:r>
      <w:r>
        <w:t xml:space="preserve">: On a small, well-characterized target (e.g., DVWA, WebGoat), exhaustively enumerate ALL depth-3 attacks and record which succeed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 discovery</w:t>
      </w:r>
      <w:r>
        <w:t xml:space="preserve">: From the exhaustive results, learn pruning rules of the form</w:t>
      </w:r>
      <w:r>
        <w:t xml:space="preserve"> </w:t>
      </w:r>
      <w:r>
        <w:t xml:space="preserve">“if the target uses Framework X and InjectionType Y fails at depth 1, then ALL depth-2+ extensions of Y also fail”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Transfer</w:t>
      </w:r>
      <w:r>
        <w:t xml:space="preserve">: Apply these pruning rules to larger targets, eliminating 88-99% of the search space without false negatives (within the enumerated grammar)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Zero false negative guarantee</w:t>
      </w:r>
      <w:r>
        <w:t xml:space="preserve">: Within the bounded grammar, pruning rules are validated exhaustively. Extrapolation to deeper search is empirical (same caveat as Theory Radar)</w:t>
      </w:r>
    </w:p>
    <w:bookmarkEnd w:id="13"/>
    <w:bookmarkStart w:id="14" w:name="Xcf4ff09dc6773283d8d2cda9863d16c5c937221"/>
    <w:p>
      <w:pPr>
        <w:pStyle w:val="Heading3"/>
      </w:pPr>
      <w:r>
        <w:t xml:space="preserve">2.4 LLM-Guided Evaluation (Glasswing Integration)</w:t>
      </w:r>
    </w:p>
    <w:p>
      <w:pPr>
        <w:pStyle w:val="FirstParagraph"/>
      </w:pPr>
      <w:r>
        <w:t xml:space="preserve">Where Theory Radar uses F1 score as the evaluation metric, Security Radar uses an LLM (Claude Mythos or equivalent) as a more sophisticated evaluator: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Candidate triage</w:t>
      </w:r>
      <w:r>
        <w:t xml:space="preserve">: For each candidate that scores above threshold in automated evaluation, the LLM assesses:</w:t>
      </w:r>
    </w:p>
    <w:p>
      <w:pPr>
        <w:pStyle w:val="Compact"/>
        <w:numPr>
          <w:ilvl w:val="1"/>
          <w:numId w:val="1005"/>
        </w:numPr>
      </w:pPr>
      <w:r>
        <w:t xml:space="preserve">Is this a true positive or a false alarm?</w:t>
      </w:r>
    </w:p>
    <w:p>
      <w:pPr>
        <w:pStyle w:val="Compact"/>
        <w:numPr>
          <w:ilvl w:val="1"/>
          <w:numId w:val="1005"/>
        </w:numPr>
      </w:pPr>
      <w:r>
        <w:t xml:space="preserve">What is the severity (CVSS estimate)?</w:t>
      </w:r>
    </w:p>
    <w:p>
      <w:pPr>
        <w:pStyle w:val="Compact"/>
        <w:numPr>
          <w:ilvl w:val="1"/>
          <w:numId w:val="1005"/>
        </w:numPr>
      </w:pPr>
      <w:r>
        <w:t xml:space="preserve">Can this be chained with other findings?</w:t>
      </w:r>
    </w:p>
    <w:p>
      <w:pPr>
        <w:pStyle w:val="Compact"/>
        <w:numPr>
          <w:ilvl w:val="1"/>
          <w:numId w:val="1005"/>
        </w:numPr>
      </w:pPr>
      <w:r>
        <w:t xml:space="preserve">What is the root cause?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Attack chain synthesis</w:t>
      </w:r>
      <w:r>
        <w:t xml:space="preserve">: The LLM composes individual findings into multi-step attack chains — the same capability that makes Glasswing powerful for zero-day discovery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Exploit generation</w:t>
      </w:r>
      <w:r>
        <w:t xml:space="preserve">: For confirmed vulnerabilities, the LLM generates proof-of-concept code for responsible disclosure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Coverage analysis</w:t>
      </w:r>
      <w:r>
        <w:t xml:space="preserve">: The LLM interprets the pruning rules to generate natural-language explanations of which attack surfaces have been exhaustively cleared</w:t>
      </w:r>
    </w:p>
    <w:bookmarkEnd w:id="14"/>
    <w:bookmarkStart w:id="15" w:name="architecture"/>
    <w:p>
      <w:pPr>
        <w:pStyle w:val="Heading3"/>
      </w:pPr>
      <w:r>
        <w:t xml:space="preserve">2.5 Architecture</w:t>
      </w:r>
    </w:p>
    <w:p>
      <w:pPr>
        <w:pStyle w:val="SourceCode"/>
      </w:pPr>
      <w:r>
        <w:rPr>
          <w:rStyle w:val="VerbatimChar"/>
        </w:rPr>
        <w:t xml:space="preserve">                    Target Application (sandboxed)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[Attack Grammar G]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[GPU Beam Search]           ← Theory Radar engine</w:t>
      </w:r>
      <w:r>
        <w:br/>
      </w:r>
      <w:r>
        <w:rPr>
          <w:rStyle w:val="VerbatimChar"/>
        </w:rPr>
        <w:t xml:space="preserve">                     /        |        \</w:t>
      </w:r>
      <w:r>
        <w:br/>
      </w:r>
      <w:r>
        <w:rPr>
          <w:rStyle w:val="VerbatimChar"/>
        </w:rPr>
        <w:t xml:space="preserve">              [depth-1]  [depth-2]  [depth-3]   ← parallel evaluation</w:t>
      </w:r>
      <w:r>
        <w:br/>
      </w:r>
      <w:r>
        <w:rPr>
          <w:rStyle w:val="VerbatimChar"/>
        </w:rPr>
        <w:t xml:space="preserve">                     \        |        /</w:t>
      </w:r>
      <w:r>
        <w:br/>
      </w:r>
      <w:r>
        <w:rPr>
          <w:rStyle w:val="VerbatimChar"/>
        </w:rPr>
        <w:t xml:space="preserve">                    [Meta-Learned Pruning]       ← 88-99% elimination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[Candidate Exploits]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      [LLM Evaluation]             ← Claude Mythos / Glasswing</w:t>
      </w:r>
      <w:r>
        <w:br/>
      </w:r>
      <w:r>
        <w:rPr>
          <w:rStyle w:val="VerbatimChar"/>
        </w:rPr>
        <w:t xml:space="preserve">                     /        |        \</w:t>
      </w:r>
      <w:r>
        <w:br/>
      </w:r>
      <w:r>
        <w:rPr>
          <w:rStyle w:val="VerbatimChar"/>
        </w:rPr>
        <w:t xml:space="preserve">              [Triage]  [Chaining]  [PoC Gen]</w:t>
      </w:r>
      <w:r>
        <w:br/>
      </w:r>
      <w:r>
        <w:rPr>
          <w:rStyle w:val="VerbatimChar"/>
        </w:rPr>
        <w:t xml:space="preserve">                     \        |        /</w:t>
      </w:r>
      <w:r>
        <w:br/>
      </w:r>
      <w:r>
        <w:rPr>
          <w:rStyle w:val="VerbatimChar"/>
        </w:rPr>
        <w:t xml:space="preserve">                    [Security Report]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[Responsible Disclosure Pipeline]</w:t>
      </w:r>
      <w:r>
        <w:br/>
      </w:r>
      <w:r>
        <w:rPr>
          <w:rStyle w:val="VerbatimChar"/>
        </w:rPr>
        <w:t xml:space="preserve">                              |</w:t>
      </w:r>
      <w:r>
        <w:br/>
      </w:r>
      <w:r>
        <w:rPr>
          <w:rStyle w:val="VerbatimChar"/>
        </w:rPr>
        <w:t xml:space="preserve">              [Glasswing Partner Network]</w:t>
      </w:r>
      <w:r>
        <w:br/>
      </w:r>
      <w:r>
        <w:rPr>
          <w:rStyle w:val="VerbatimChar"/>
        </w:rPr>
        <w:t xml:space="preserve">                    (CrowdStrike, Palo Alto, ...)</w:t>
      </w:r>
    </w:p>
    <w:bookmarkEnd w:id="15"/>
    <w:bookmarkEnd w:id="16"/>
    <w:bookmarkStart w:id="17" w:name="differentiation-from-existing-work"/>
    <w:p>
      <w:pPr>
        <w:pStyle w:val="Heading2"/>
      </w:pPr>
      <w:r>
        <w:t xml:space="preserve">3. Differentiation from Existing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72"/>
        <w:gridCol w:w="1728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Intelligence</w:t>
            </w:r>
          </w:p>
        </w:tc>
        <w:tc>
          <w:tcPr/>
          <w:p>
            <w:pPr>
              <w:pStyle w:val="Compact"/>
            </w:pPr>
            <w:r>
              <w:t xml:space="preserve">Systematic?</w:t>
            </w:r>
          </w:p>
        </w:tc>
        <w:tc>
          <w:tcPr/>
          <w:p>
            <w:pPr>
              <w:pStyle w:val="Compact"/>
            </w:pPr>
            <w:r>
              <w:t xml:space="preserve">Pruning?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AFL/LibFuzzer</w:t>
            </w:r>
          </w:p>
        </w:tc>
        <w:tc>
          <w:tcPr/>
          <w:p>
            <w:pPr>
              <w:pStyle w:val="Compact"/>
            </w:pPr>
            <w:r>
              <w:t xml:space="preserve">Random mutation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Burp Suite</w:t>
            </w:r>
          </w:p>
        </w:tc>
        <w:tc>
          <w:tcPr/>
          <w:p>
            <w:pPr>
              <w:pStyle w:val="Compact"/>
            </w:pPr>
            <w:r>
              <w:t xml:space="preserve">Template-based</w:t>
            </w:r>
          </w:p>
        </w:tc>
        <w:tc>
          <w:tcPr/>
          <w:p>
            <w:pPr>
              <w:pStyle w:val="Compact"/>
            </w:pPr>
            <w:r>
              <w:t xml:space="preserve">Rule-based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Glasswing</w:t>
            </w:r>
          </w:p>
        </w:tc>
        <w:tc>
          <w:tcPr/>
          <w:p>
            <w:pPr>
              <w:pStyle w:val="Compact"/>
            </w:pPr>
            <w:r>
              <w:t xml:space="preserve">LLM-guided</w:t>
            </w:r>
          </w:p>
        </w:tc>
        <w:tc>
          <w:tcPr/>
          <w:p>
            <w:pPr>
              <w:pStyle w:val="Compact"/>
            </w:pPr>
            <w:r>
              <w:t xml:space="preserve">Deep reasoning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Radar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Grammar-bounded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LLM-evaluated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Meta-learned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differentiator</w:t>
      </w:r>
      <w:r>
        <w:t xml:space="preserve">: Security Radar is the only approach that provides a</w:t>
      </w:r>
      <w:r>
        <w:t xml:space="preserve"> </w:t>
      </w:r>
      <w:r>
        <w:rPr>
          <w:i/>
          <w:iCs/>
        </w:rPr>
        <w:t xml:space="preserve">coverage guarantee</w:t>
      </w:r>
      <w:r>
        <w:t xml:space="preserve"> </w:t>
      </w:r>
      <w:r>
        <w:t xml:space="preserve">within a bounded attack grammar. After a Security Radar sweep, a defender can say:</w:t>
      </w:r>
      <w:r>
        <w:t xml:space="preserve"> </w:t>
      </w:r>
      <w:r>
        <w:t xml:space="preserve">“all 512 depth-3 attack patterns in grammar G have been tested, 488 were pruned as provably ineffective, 24 were evaluated, and 3 are confirmed vulnerabilities.”</w:t>
      </w:r>
      <w:r>
        <w:t xml:space="preserve"> </w:t>
      </w:r>
      <w:r>
        <w:t xml:space="preserve">No existing tool makes this claim.</w:t>
      </w:r>
    </w:p>
    <w:bookmarkEnd w:id="17"/>
    <w:bookmarkStart w:id="22" w:name="evaluation-plan"/>
    <w:p>
      <w:pPr>
        <w:pStyle w:val="Heading2"/>
      </w:pPr>
      <w:r>
        <w:t xml:space="preserve">4. Evaluation Plan</w:t>
      </w:r>
    </w:p>
    <w:bookmarkStart w:id="18" w:name="phase-1-proof-of-concept-3-months"/>
    <w:p>
      <w:pPr>
        <w:pStyle w:val="Heading3"/>
      </w:pPr>
      <w:r>
        <w:t xml:space="preserve">Phase 1: Proof of Concept (3 months)</w:t>
      </w:r>
    </w:p>
    <w:p>
      <w:pPr>
        <w:pStyle w:val="Compact"/>
        <w:numPr>
          <w:ilvl w:val="0"/>
          <w:numId w:val="1006"/>
        </w:numPr>
      </w:pPr>
      <w:r>
        <w:t xml:space="preserve">Implement attack grammar G with 5 injection types, 4 encodings, 4 evasion techniques</w:t>
      </w:r>
    </w:p>
    <w:p>
      <w:pPr>
        <w:pStyle w:val="Compact"/>
        <w:numPr>
          <w:ilvl w:val="0"/>
          <w:numId w:val="1006"/>
        </w:numPr>
      </w:pPr>
      <w:r>
        <w:t xml:space="preserve">Adapt Theory Radar’s GPU beam search for HTTP request generation</w:t>
      </w:r>
    </w:p>
    <w:p>
      <w:pPr>
        <w:pStyle w:val="Compact"/>
        <w:numPr>
          <w:ilvl w:val="0"/>
          <w:numId w:val="1006"/>
        </w:numPr>
      </w:pPr>
      <w:r>
        <w:t xml:space="preserve">Evaluate against OWASP WebGoat, DVWA, and Juice Shop (standard vulnerable applications)</w:t>
      </w:r>
    </w:p>
    <w:p>
      <w:pPr>
        <w:pStyle w:val="Compact"/>
        <w:numPr>
          <w:ilvl w:val="0"/>
          <w:numId w:val="1006"/>
        </w:numPr>
      </w:pPr>
      <w:r>
        <w:t xml:space="preserve">Measure: detection rate vs Burp Suite, ZAP, and manual testing</w:t>
      </w:r>
    </w:p>
    <w:p>
      <w:pPr>
        <w:pStyle w:val="Compact"/>
        <w:numPr>
          <w:ilvl w:val="0"/>
          <w:numId w:val="1006"/>
        </w:numPr>
      </w:pPr>
      <w:r>
        <w:t xml:space="preserve">Measure: false positive rate, coverage percentage, time to complete</w:t>
      </w:r>
    </w:p>
    <w:bookmarkEnd w:id="18"/>
    <w:bookmarkStart w:id="19" w:name="phase-2-meta-learning-3-months"/>
    <w:p>
      <w:pPr>
        <w:pStyle w:val="Heading3"/>
      </w:pPr>
      <w:r>
        <w:t xml:space="preserve">Phase 2: Meta-Learning (3 months)</w:t>
      </w:r>
    </w:p>
    <w:p>
      <w:pPr>
        <w:pStyle w:val="Compact"/>
        <w:numPr>
          <w:ilvl w:val="0"/>
          <w:numId w:val="1007"/>
        </w:numPr>
      </w:pPr>
      <w:r>
        <w:t xml:space="preserve">Exhaustive micro-search on 10 vulnerable applications (known ground truth)</w:t>
      </w:r>
    </w:p>
    <w:p>
      <w:pPr>
        <w:pStyle w:val="Compact"/>
        <w:numPr>
          <w:ilvl w:val="0"/>
          <w:numId w:val="1007"/>
        </w:numPr>
      </w:pPr>
      <w:r>
        <w:t xml:space="preserve">Learn pruning rules; measure prune rate and false negative rate</w:t>
      </w:r>
    </w:p>
    <w:p>
      <w:pPr>
        <w:pStyle w:val="Compact"/>
        <w:numPr>
          <w:ilvl w:val="0"/>
          <w:numId w:val="1007"/>
        </w:numPr>
      </w:pPr>
      <w:r>
        <w:t xml:space="preserve">Transfer pruning rules to 10 unseen applications</w:t>
      </w:r>
    </w:p>
    <w:p>
      <w:pPr>
        <w:pStyle w:val="Compact"/>
        <w:numPr>
          <w:ilvl w:val="0"/>
          <w:numId w:val="1007"/>
        </w:numPr>
      </w:pPr>
      <w:r>
        <w:t xml:space="preserve">Measure: generalization accuracy, prune rate on transfer targets</w:t>
      </w:r>
    </w:p>
    <w:bookmarkEnd w:id="19"/>
    <w:bookmarkStart w:id="20" w:name="phase-3-llm-integration-3-months"/>
    <w:p>
      <w:pPr>
        <w:pStyle w:val="Heading3"/>
      </w:pPr>
      <w:r>
        <w:t xml:space="preserve">Phase 3: LLM Integration (3 months)</w:t>
      </w:r>
    </w:p>
    <w:p>
      <w:pPr>
        <w:pStyle w:val="Compact"/>
        <w:numPr>
          <w:ilvl w:val="0"/>
          <w:numId w:val="1008"/>
        </w:numPr>
      </w:pPr>
      <w:r>
        <w:t xml:space="preserve">Integrate Claude (or Glasswing-authorized model) as evaluator</w:t>
      </w:r>
    </w:p>
    <w:p>
      <w:pPr>
        <w:pStyle w:val="Compact"/>
        <w:numPr>
          <w:ilvl w:val="0"/>
          <w:numId w:val="1008"/>
        </w:numPr>
      </w:pPr>
      <w:r>
        <w:t xml:space="preserve">Implement attack chain synthesis</w:t>
      </w:r>
    </w:p>
    <w:p>
      <w:pPr>
        <w:pStyle w:val="Compact"/>
        <w:numPr>
          <w:ilvl w:val="0"/>
          <w:numId w:val="1008"/>
        </w:numPr>
      </w:pPr>
      <w:r>
        <w:t xml:space="preserve">Evaluate on HackerOne disclosed vulnerabilities (retrospective: can Security Radar rediscover known bugs?)</w:t>
      </w:r>
    </w:p>
    <w:p>
      <w:pPr>
        <w:pStyle w:val="Compact"/>
        <w:numPr>
          <w:ilvl w:val="0"/>
          <w:numId w:val="1008"/>
        </w:numPr>
      </w:pPr>
      <w:r>
        <w:t xml:space="preserve">Measure: precision, recall, CVSS accuracy, chain complexity</w:t>
      </w:r>
    </w:p>
    <w:bookmarkEnd w:id="20"/>
    <w:bookmarkStart w:id="21" w:name="phase-4-real-world-pilot-3-months"/>
    <w:p>
      <w:pPr>
        <w:pStyle w:val="Heading3"/>
      </w:pPr>
      <w:r>
        <w:t xml:space="preserve">Phase 4: Real-World Pilot (3 months)</w:t>
      </w:r>
    </w:p>
    <w:p>
      <w:pPr>
        <w:pStyle w:val="Compact"/>
        <w:numPr>
          <w:ilvl w:val="0"/>
          <w:numId w:val="1009"/>
        </w:numPr>
      </w:pPr>
      <w:r>
        <w:t xml:space="preserve">Partner with Glasswing network member for authorized testing</w:t>
      </w:r>
    </w:p>
    <w:p>
      <w:pPr>
        <w:pStyle w:val="Compact"/>
        <w:numPr>
          <w:ilvl w:val="0"/>
          <w:numId w:val="1009"/>
        </w:numPr>
      </w:pPr>
      <w:r>
        <w:t xml:space="preserve">Run Security Radar against a real production application (with authorization)</w:t>
      </w:r>
    </w:p>
    <w:p>
      <w:pPr>
        <w:pStyle w:val="Compact"/>
        <w:numPr>
          <w:ilvl w:val="0"/>
          <w:numId w:val="1009"/>
        </w:numPr>
      </w:pPr>
      <w:r>
        <w:t xml:space="preserve">Responsible disclosure of any findings</w:t>
      </w:r>
    </w:p>
    <w:p>
      <w:pPr>
        <w:pStyle w:val="Compact"/>
        <w:numPr>
          <w:ilvl w:val="0"/>
          <w:numId w:val="1009"/>
        </w:numPr>
      </w:pPr>
      <w:r>
        <w:t xml:space="preserve">Publish results with partner approval</w:t>
      </w:r>
    </w:p>
    <w:bookmarkEnd w:id="21"/>
    <w:bookmarkEnd w:id="22"/>
    <w:bookmarkStart w:id="26" w:name="ethical-considerations"/>
    <w:p>
      <w:pPr>
        <w:pStyle w:val="Heading2"/>
      </w:pPr>
      <w:r>
        <w:t xml:space="preserve">5. Ethical Considerations</w:t>
      </w:r>
    </w:p>
    <w:bookmarkStart w:id="23" w:name="responsible-use"/>
    <w:p>
      <w:pPr>
        <w:pStyle w:val="Heading3"/>
      </w:pPr>
      <w:r>
        <w:t xml:space="preserve">5.1 Responsible Use</w:t>
      </w:r>
    </w:p>
    <w:p>
      <w:pPr>
        <w:pStyle w:val="Compact"/>
        <w:numPr>
          <w:ilvl w:val="0"/>
          <w:numId w:val="1010"/>
        </w:numPr>
      </w:pPr>
      <w:r>
        <w:t xml:space="preserve">All testing conducted only against authorized targets (sandboxed or with written permission)</w:t>
      </w:r>
    </w:p>
    <w:p>
      <w:pPr>
        <w:pStyle w:val="Compact"/>
        <w:numPr>
          <w:ilvl w:val="0"/>
          <w:numId w:val="1010"/>
        </w:numPr>
      </w:pPr>
      <w:r>
        <w:t xml:space="preserve">Findings disclosed through Glasswing’s responsible disclosure pipeline</w:t>
      </w:r>
    </w:p>
    <w:p>
      <w:pPr>
        <w:pStyle w:val="Compact"/>
        <w:numPr>
          <w:ilvl w:val="0"/>
          <w:numId w:val="1010"/>
        </w:numPr>
      </w:pPr>
      <w:r>
        <w:t xml:space="preserve">No public release of exploit code without vendor patch availability</w:t>
      </w:r>
    </w:p>
    <w:p>
      <w:pPr>
        <w:pStyle w:val="Compact"/>
        <w:numPr>
          <w:ilvl w:val="0"/>
          <w:numId w:val="1010"/>
        </w:numPr>
      </w:pPr>
      <w:r>
        <w:t xml:space="preserve">Research subject to SJSU IRB review (exempt category — no human subjects)</w:t>
      </w:r>
    </w:p>
    <w:bookmarkEnd w:id="23"/>
    <w:bookmarkStart w:id="24" w:name="dual-use-risk"/>
    <w:p>
      <w:pPr>
        <w:pStyle w:val="Heading3"/>
      </w:pPr>
      <w:r>
        <w:t xml:space="preserve">5.2 Dual-Use Risk</w:t>
      </w:r>
    </w:p>
    <w:p>
      <w:pPr>
        <w:pStyle w:val="Compact"/>
        <w:numPr>
          <w:ilvl w:val="0"/>
          <w:numId w:val="1011"/>
        </w:numPr>
      </w:pPr>
      <w:r>
        <w:t xml:space="preserve">The attack grammar and beam search engine could be misused for offensive purposes</w:t>
      </w:r>
    </w:p>
    <w:p>
      <w:pPr>
        <w:pStyle w:val="Compact"/>
        <w:numPr>
          <w:ilvl w:val="0"/>
          <w:numId w:val="1011"/>
        </w:numPr>
      </w:pPr>
      <w:r>
        <w:t xml:space="preserve">Mitigation: the grammar definitions and pruning rules are published; the evaluation tooling requires authorized LLM access (Glasswing-gated)</w:t>
      </w:r>
    </w:p>
    <w:p>
      <w:pPr>
        <w:pStyle w:val="Compact"/>
        <w:numPr>
          <w:ilvl w:val="0"/>
          <w:numId w:val="1011"/>
        </w:numPr>
      </w:pPr>
      <w:r>
        <w:t xml:space="preserve">The meta-learned pruning rules are</w:t>
      </w:r>
      <w:r>
        <w:t xml:space="preserve"> </w:t>
      </w:r>
      <w:r>
        <w:rPr>
          <w:i/>
          <w:iCs/>
        </w:rPr>
        <w:t xml:space="preserve">defensive</w:t>
      </w:r>
      <w:r>
        <w:t xml:space="preserve"> </w:t>
      </w:r>
      <w:r>
        <w:t xml:space="preserve">artifacts — they tell defenders which attack surfaces are clear, which is strictly beneficial</w:t>
      </w:r>
    </w:p>
    <w:bookmarkEnd w:id="24"/>
    <w:bookmarkStart w:id="25" w:name="alignment-with-glasswing-mission"/>
    <w:p>
      <w:pPr>
        <w:pStyle w:val="Heading3"/>
      </w:pPr>
      <w:r>
        <w:t xml:space="preserve">5.3 Alignment with Glasswing Mission</w:t>
      </w:r>
    </w:p>
    <w:p>
      <w:pPr>
        <w:pStyle w:val="Compact"/>
        <w:numPr>
          <w:ilvl w:val="0"/>
          <w:numId w:val="1012"/>
        </w:numPr>
      </w:pPr>
      <w:r>
        <w:t xml:space="preserve">Glasswing’s stated goal:</w:t>
      </w:r>
      <w:r>
        <w:t xml:space="preserve"> </w:t>
      </w:r>
      <w:r>
        <w:t xml:space="preserve">“securing the world’s most critical software for the AI era”</w:t>
      </w:r>
    </w:p>
    <w:p>
      <w:pPr>
        <w:pStyle w:val="Compact"/>
        <w:numPr>
          <w:ilvl w:val="0"/>
          <w:numId w:val="1012"/>
        </w:numPr>
      </w:pPr>
      <w:r>
        <w:t xml:space="preserve">Security Radar provides</w:t>
      </w:r>
      <w:r>
        <w:t xml:space="preserve"> </w:t>
      </w:r>
      <w:r>
        <w:rPr>
          <w:i/>
          <w:iCs/>
        </w:rPr>
        <w:t xml:space="preserve">systematic coverage</w:t>
      </w:r>
      <w:r>
        <w:t xml:space="preserve"> </w:t>
      </w:r>
      <w:r>
        <w:t xml:space="preserve">that complements Glasswing’s</w:t>
      </w:r>
      <w:r>
        <w:t xml:space="preserve"> </w:t>
      </w:r>
      <w:r>
        <w:rPr>
          <w:i/>
          <w:iCs/>
        </w:rPr>
        <w:t xml:space="preserve">deep reasoning</w:t>
      </w:r>
    </w:p>
    <w:p>
      <w:pPr>
        <w:pStyle w:val="Compact"/>
        <w:numPr>
          <w:ilvl w:val="0"/>
          <w:numId w:val="1012"/>
        </w:numPr>
      </w:pPr>
      <w:r>
        <w:t xml:space="preserve">The combination gives defenders both</w:t>
      </w:r>
      <w:r>
        <w:t xml:space="preserve"> </w:t>
      </w:r>
      <w:r>
        <w:t xml:space="preserve">“we found these specific bugs”</w:t>
      </w:r>
      <w:r>
        <w:t xml:space="preserve"> </w:t>
      </w:r>
      <w:r>
        <w:t xml:space="preserve">AND</w:t>
      </w:r>
      <w:r>
        <w:t xml:space="preserve"> </w:t>
      </w:r>
      <w:r>
        <w:t xml:space="preserve">“we’ve cleared these attack surfaces”</w:t>
      </w:r>
    </w:p>
    <w:bookmarkEnd w:id="25"/>
    <w:bookmarkEnd w:id="26"/>
    <w:bookmarkStart w:id="30" w:name="team-and-resources"/>
    <w:p>
      <w:pPr>
        <w:pStyle w:val="Heading2"/>
      </w:pPr>
      <w:r>
        <w:t xml:space="preserve">6. Team and Resources</w:t>
      </w:r>
    </w:p>
    <w:bookmarkStart w:id="27" w:name="personnel"/>
    <w:p>
      <w:pPr>
        <w:pStyle w:val="Heading3"/>
      </w:pPr>
      <w:r>
        <w:t xml:space="preserve">Personnel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Andrew H. Bond</w:t>
      </w:r>
      <w:r>
        <w:t xml:space="preserve"> </w:t>
      </w:r>
      <w:r>
        <w:t xml:space="preserve">(PI): GPU beam search (Theory Radar), distributed AI systems (Atlas AI), embedding compression (TurboQuant Pro). IEEE Senior Member since 1989. 37 years of systems engineering experience at AT&amp;T.</w:t>
      </w:r>
    </w:p>
    <w:bookmarkEnd w:id="27"/>
    <w:bookmarkStart w:id="28" w:name="computing-resources"/>
    <w:p>
      <w:pPr>
        <w:pStyle w:val="Heading3"/>
      </w:pPr>
      <w:r>
        <w:t xml:space="preserve">Computing Resources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Atlas Workstation</w:t>
      </w:r>
      <w:r>
        <w:t xml:space="preserve">: 2x Quadro GV100 32GB, 252GB RAM, 48 CPU threads. Demonstrated capability for GPU beam search (Theory Radar), LLM inference (Atlas AI with 7 concurrent models), and large-scale vector operations (TurboQuant Pro on 3.3M vectors).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SJSU HPC</w:t>
      </w:r>
      <w:r>
        <w:t xml:space="preserve">: 2x P100 16GB for larger-scale experiments.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Kaggle/Cloud</w:t>
      </w:r>
      <w:r>
        <w:t xml:space="preserve">: For Blackwell GPU access if needed for larger models.</w:t>
      </w:r>
    </w:p>
    <w:bookmarkEnd w:id="28"/>
    <w:bookmarkStart w:id="29" w:name="software"/>
    <w:p>
      <w:pPr>
        <w:pStyle w:val="Heading3"/>
      </w:pPr>
      <w:r>
        <w:t xml:space="preserve">Software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Theory Radar</w:t>
      </w:r>
      <w:r>
        <w:t xml:space="preserve">: Existing GPU beam search engine (Python/PyTorch, ~8,000 LOC). Directly adaptable for attack pattern enumeration.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Atlas AI</w:t>
      </w:r>
      <w:r>
        <w:t xml:space="preserve">: Existing multi-model cognitive architecture with safety pipeline. Can serve as the evaluation framework (safety gateway evaluates attack patterns for real-world risk).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TurboQuant Pro</w:t>
      </w:r>
      <w:r>
        <w:t xml:space="preserve">: Existing embedding compression (relevant for embedding-based similarity search over known vulnerability databases).</w:t>
      </w:r>
    </w:p>
    <w:bookmarkEnd w:id="29"/>
    <w:bookmarkEnd w:id="30"/>
    <w:bookmarkStart w:id="31" w:name="timeline-and-budget"/>
    <w:p>
      <w:pPr>
        <w:pStyle w:val="Heading2"/>
      </w:pPr>
      <w:r>
        <w:t xml:space="preserve">7. Timeline and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232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Key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 Proof of Concept</w:t>
            </w:r>
          </w:p>
        </w:tc>
        <w:tc>
          <w:tcPr/>
          <w:p>
            <w:pPr>
              <w:pStyle w:val="Compact"/>
            </w:pPr>
            <w:r>
              <w:t xml:space="preserve">Months 1-3</w:t>
            </w:r>
          </w:p>
        </w:tc>
        <w:tc>
          <w:tcPr/>
          <w:p>
            <w:pPr>
              <w:pStyle w:val="Compact"/>
            </w:pPr>
            <w:r>
              <w:t xml:space="preserve">Working prototype on OWASP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 Meta-Learning</w:t>
            </w:r>
          </w:p>
        </w:tc>
        <w:tc>
          <w:tcPr/>
          <w:p>
            <w:pPr>
              <w:pStyle w:val="Compact"/>
            </w:pPr>
            <w:r>
              <w:t xml:space="preserve">Months 4-6</w:t>
            </w:r>
          </w:p>
        </w:tc>
        <w:tc>
          <w:tcPr/>
          <w:p>
            <w:pPr>
              <w:pStyle w:val="Compact"/>
            </w:pPr>
            <w:r>
              <w:t xml:space="preserve">Pruning rules with transfer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 LLM Integration</w:t>
            </w:r>
          </w:p>
        </w:tc>
        <w:tc>
          <w:tcPr/>
          <w:p>
            <w:pPr>
              <w:pStyle w:val="Compact"/>
            </w:pPr>
            <w:r>
              <w:t xml:space="preserve">Months 7-9</w:t>
            </w:r>
          </w:p>
        </w:tc>
        <w:tc>
          <w:tcPr/>
          <w:p>
            <w:pPr>
              <w:pStyle w:val="Compact"/>
            </w:pPr>
            <w:r>
              <w:t xml:space="preserve">Glasswing-integrated evaluation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 Real-World Pilot</w:t>
            </w:r>
          </w:p>
        </w:tc>
        <w:tc>
          <w:tcPr/>
          <w:p>
            <w:pPr>
              <w:pStyle w:val="Compact"/>
            </w:pPr>
            <w:r>
              <w:t xml:space="preserve">Months 10-12</w:t>
            </w:r>
          </w:p>
        </w:tc>
        <w:tc>
          <w:tcPr/>
          <w:p>
            <w:pPr>
              <w:pStyle w:val="Compact"/>
            </w:pPr>
            <w:r>
              <w:t xml:space="preserve">Authorized production testing + paper</w:t>
            </w:r>
          </w:p>
        </w:tc>
      </w:tr>
    </w:tbl>
    <w:p>
      <w:pPr>
        <w:pStyle w:val="BodyText"/>
      </w:pPr>
      <w:r>
        <w:rPr>
          <w:b/>
          <w:bCs/>
        </w:rPr>
        <w:t xml:space="preserve">Budget</w:t>
      </w:r>
      <w:r>
        <w:t xml:space="preserve">: $0 direct costs (existing hardware + open-source tooling). Glasswing API credits requested via partnership application. Travel for conference presentation (estimated $3,000 if accepted to IEEE S&amp;P, USENIX Security, or CCS).</w:t>
      </w:r>
    </w:p>
    <w:bookmarkEnd w:id="31"/>
    <w:bookmarkStart w:id="32" w:name="expected-outcomes"/>
    <w:p>
      <w:pPr>
        <w:pStyle w:val="Heading2"/>
      </w:pPr>
      <w:r>
        <w:t xml:space="preserve">8. Expected Outcomes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Open-source Security Radar tool</w:t>
      </w:r>
      <w:r>
        <w:t xml:space="preserve"> </w:t>
      </w:r>
      <w:r>
        <w:t xml:space="preserve">with attack grammar definition language, GPU beam search engine, and meta-learned pruning framework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Empirical benchmark</w:t>
      </w:r>
      <w:r>
        <w:t xml:space="preserve"> </w:t>
      </w:r>
      <w:r>
        <w:t xml:space="preserve">comparing Security Radar coverage and detection rate against Burp Suite, ZAP, AFL, and manual testing on standard vulnerable applications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Meta-pruning rule library</w:t>
      </w:r>
      <w:r>
        <w:t xml:space="preserve"> </w:t>
      </w:r>
      <w:r>
        <w:t xml:space="preserve">— transferable pruning rules for common web application frameworks (Django, Rails, Express, Spring)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IEEE publication</w:t>
      </w:r>
      <w:r>
        <w:t xml:space="preserve"> </w:t>
      </w:r>
      <w:r>
        <w:t xml:space="preserve">(target: IEEE S&amp;P, USENIX Security, or ACM CCS) documenting the approach, coverage guarantees, and real-world evaluation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Glasswing partnership</w:t>
      </w:r>
      <w:r>
        <w:t xml:space="preserve"> </w:t>
      </w:r>
      <w:r>
        <w:t xml:space="preserve">— integration of systematic search with LLM-guided evaluation</w:t>
      </w:r>
    </w:p>
    <w:bookmarkEnd w:id="32"/>
    <w:bookmarkStart w:id="33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17"/>
        </w:numPr>
      </w:pPr>
      <w:r>
        <w:t xml:space="preserve">Bond, A.H.</w:t>
      </w:r>
      <w:r>
        <w:t xml:space="preserve"> </w:t>
      </w:r>
      <w:r>
        <w:t xml:space="preserve">“Theory Radar: Charting the Boundary Between Interpretable Formulas and Black-Box Ensembles.”</w:t>
      </w:r>
      <w:r>
        <w:t xml:space="preserve"> </w:t>
      </w:r>
      <w:r>
        <w:t xml:space="preserve">IEEE Trans. Artificial Intelligence, 2026. (Under review)</w:t>
      </w:r>
    </w:p>
    <w:p>
      <w:pPr>
        <w:pStyle w:val="Compact"/>
        <w:numPr>
          <w:ilvl w:val="0"/>
          <w:numId w:val="1017"/>
        </w:numPr>
      </w:pPr>
      <w:r>
        <w:t xml:space="preserve">Anthropic.</w:t>
      </w:r>
      <w:r>
        <w:t xml:space="preserve"> </w:t>
      </w:r>
      <w:r>
        <w:t xml:space="preserve">“Project Glasswing: Securing Critical Software for the AI Era.”</w:t>
      </w:r>
      <w:r>
        <w:t xml:space="preserve"> </w:t>
      </w:r>
      <w:r>
        <w:t xml:space="preserve">April 2026.</w:t>
      </w:r>
    </w:p>
    <w:p>
      <w:pPr>
        <w:pStyle w:val="Compact"/>
        <w:numPr>
          <w:ilvl w:val="0"/>
          <w:numId w:val="1017"/>
        </w:numPr>
      </w:pPr>
      <w:r>
        <w:t xml:space="preserve">Zandieh, A. et al. </w:t>
      </w:r>
      <w:r>
        <w:t xml:space="preserve">“Sub-linear Memory Inference via PolarQuant and QJL.”</w:t>
      </w:r>
      <w:r>
        <w:t xml:space="preserve"> </w:t>
      </w:r>
      <w:r>
        <w:t xml:space="preserve">ICLR, 2026.</w:t>
      </w:r>
    </w:p>
    <w:p>
      <w:pPr>
        <w:pStyle w:val="Compact"/>
        <w:numPr>
          <w:ilvl w:val="0"/>
          <w:numId w:val="1017"/>
        </w:numPr>
      </w:pPr>
      <w:r>
        <w:t xml:space="preserve">Böhme, M. et al. </w:t>
      </w:r>
      <w:r>
        <w:t xml:space="preserve">“Coverage-based greybox fuzzing as Markov chain.”</w:t>
      </w:r>
      <w:r>
        <w:t xml:space="preserve"> </w:t>
      </w:r>
      <w:r>
        <w:t xml:space="preserve">IEEE Trans. Software Engineering, 2019.</w:t>
      </w:r>
    </w:p>
    <w:p>
      <w:pPr>
        <w:pStyle w:val="Compact"/>
        <w:numPr>
          <w:ilvl w:val="0"/>
          <w:numId w:val="1017"/>
        </w:numPr>
      </w:pPr>
      <w:r>
        <w:t xml:space="preserve">Devvrit et al. </w:t>
      </w:r>
      <w:r>
        <w:t xml:space="preserve">“MatFormer: Nested Transformer for Elastic Inference.”</w:t>
      </w:r>
      <w:r>
        <w:t xml:space="preserve"> </w:t>
      </w:r>
      <w:r>
        <w:t xml:space="preserve">arXiv:2310.07707, 2023.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April 2026. Contact: andrew.bond@sjsu.edu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2026-04-10T02:16:39Z</dcterms:created>
  <dcterms:modified xsi:type="dcterms:W3CDTF">2026-04-10T02:16:39Z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