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e51d1437bf5ef9416e9a9b2bca217404a71a89"/>
    <w:p>
      <w:pPr>
        <w:pStyle w:val="Heading1"/>
      </w:pPr>
      <w:r>
        <w:t xml:space="preserve">Bridging Ethical Theory and AGI Architecture: ErisML Integration Update</w:t>
      </w:r>
    </w:p>
    <w:p>
      <w:pPr>
        <w:pStyle w:val="FirstParagraph"/>
      </w:pPr>
      <w:r>
        <w:rPr>
          <w:i/>
          <w:iCs/>
        </w:rPr>
        <w:t xml:space="preserve">Building safety into the cognitive loop, not bolting it on afterward</w:t>
      </w:r>
    </w:p>
    <w:p>
      <w:r>
        <w:pict>
          <v:rect style="width:0;height:1.5pt" o:hralign="center" o:hrstd="t" o:hr="t"/>
        </w:pict>
      </w:r>
    </w:p>
    <w:p>
      <w:pPr>
        <w:pStyle w:val="FirstParagraph"/>
      </w:pPr>
      <w:r>
        <w:t xml:space="preserve">I’m pleased to share a significant milestone in our AGI safety research at San Jose State University.</w:t>
      </w:r>
    </w:p>
    <w:p>
      <w:pPr>
        <w:pStyle w:val="BodyText"/>
      </w:pPr>
      <w:r>
        <w:t xml:space="preserve">We’ve completed the formal integration layer between</w:t>
      </w:r>
      <w:r>
        <w:t xml:space="preserve"> </w:t>
      </w:r>
      <w:r>
        <w:rPr>
          <w:b/>
          <w:bCs/>
        </w:rPr>
        <w:t xml:space="preserve">ErisML</w:t>
      </w:r>
      <w:r>
        <w:t xml:space="preserve"> </w:t>
      </w:r>
      <w:r>
        <w:t xml:space="preserve">(our ethical reasoning framework) and</w:t>
      </w:r>
      <w:r>
        <w:t xml:space="preserve"> </w:t>
      </w:r>
      <w:r>
        <w:rPr>
          <w:b/>
          <w:bCs/>
        </w:rPr>
        <w:t xml:space="preserve">AGI-HPC</w:t>
      </w:r>
      <w:r>
        <w:t xml:space="preserve"> </w:t>
      </w:r>
      <w:r>
        <w:t xml:space="preserve">(our cognitive architecture for safe artificial general intelligence). This work establishes the protocol definitions, reference implementations, and service interfaces that allow ethical evaluation to be woven throughout the cognitive loop—not bolted on as an afterthought.</w:t>
      </w:r>
    </w:p>
    <w:bookmarkStart w:id="9" w:name="the-problem-were-solving"/>
    <w:p>
      <w:pPr>
        <w:pStyle w:val="Heading2"/>
      </w:pPr>
      <w:r>
        <w:t xml:space="preserve">The Problem We’re Solving</w:t>
      </w:r>
    </w:p>
    <w:p>
      <w:pPr>
        <w:pStyle w:val="FirstParagraph"/>
      </w:pPr>
      <w:r>
        <w:t xml:space="preserve">Most AI safety approaches treat ethics as a filter at the output layer—a final check before actions are taken. This is like putting a safety inspector only at the factory exit while ignoring everything that happens on the production floor.</w:t>
      </w:r>
    </w:p>
    <w:p>
      <w:pPr>
        <w:pStyle w:val="BodyText"/>
      </w:pPr>
      <w:r>
        <w:t xml:space="preserve">Our approach is different:</w:t>
      </w:r>
      <w:r>
        <w:t xml:space="preserve"> </w:t>
      </w:r>
      <w:r>
        <w:rPr>
          <w:b/>
          <w:bCs/>
        </w:rPr>
        <w:t xml:space="preserve">safety is not a gate at the end, but woven throughout the cognitive architecture</w:t>
      </w:r>
      <w:r>
        <w:t xml:space="preserve">.</w:t>
      </w:r>
    </w:p>
    <w:bookmarkEnd w:id="9"/>
    <w:bookmarkStart w:id="13" w:name="what-we-built"/>
    <w:p>
      <w:pPr>
        <w:pStyle w:val="Heading2"/>
      </w:pPr>
      <w:r>
        <w:t xml:space="preserve">What We Built</w:t>
      </w:r>
    </w:p>
    <w:bookmarkStart w:id="10" w:name="three-layer-safety-architecture"/>
    <w:p>
      <w:pPr>
        <w:pStyle w:val="Heading3"/>
      </w:pPr>
      <w:r>
        <w:t xml:space="preserve">Three-Layer Safety Architecture</w:t>
      </w:r>
    </w:p>
    <w:p>
      <w:pPr>
        <w:pStyle w:val="SourceCode"/>
      </w:pPr>
      <w:r>
        <w:rPr>
          <w:rStyle w:val="VerbatimChar"/>
        </w:rPr>
        <w:t xml:space="preserve">┌─────────────────────────────────────────────────────────────┐</w:t>
      </w:r>
      <w:r>
        <w:br/>
      </w:r>
      <w:r>
        <w:rPr>
          <w:rStyle w:val="VerbatimChar"/>
        </w:rPr>
        <w:t xml:space="preserve">│                 SAFETY GATEWAY                               │</w:t>
      </w:r>
      <w:r>
        <w:br/>
      </w:r>
      <w:r>
        <w:rPr>
          <w:rStyle w:val="VerbatimChar"/>
        </w:rPr>
        <w:t xml:space="preserve">│  ┌─────────────────────────────────────────────────────────┐│</w:t>
      </w:r>
      <w:r>
        <w:br/>
      </w:r>
      <w:r>
        <w:rPr>
          <w:rStyle w:val="VerbatimChar"/>
        </w:rPr>
        <w:t xml:space="preserve">│  │  ┌──────────┐  ┌──────────┐  ┌──────────┐              ││</w:t>
      </w:r>
      <w:r>
        <w:br/>
      </w:r>
      <w:r>
        <w:rPr>
          <w:rStyle w:val="VerbatimChar"/>
        </w:rPr>
        <w:t xml:space="preserve">│  │  │ Reflex   │→ │ Tactical │→ │Strategic │              ││</w:t>
      </w:r>
      <w:r>
        <w:br/>
      </w:r>
      <w:r>
        <w:rPr>
          <w:rStyle w:val="VerbatimChar"/>
        </w:rPr>
        <w:t xml:space="preserve">│  │  │ (&lt;100μs) │  │(10-100ms)│  │ (policy)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Emergency      ErisML         Governance               ││</w:t>
      </w:r>
      <w:r>
        <w:br/>
      </w:r>
      <w:r>
        <w:rPr>
          <w:rStyle w:val="VerbatimChar"/>
        </w:rPr>
        <w:t xml:space="preserve">│  │   Stops        Evaluation       Policies                ││</w:t>
      </w:r>
      <w:r>
        <w:br/>
      </w:r>
      <w:r>
        <w:rPr>
          <w:rStyle w:val="VerbatimChar"/>
        </w:rPr>
        <w:t xml:space="preserve">│  └─────────────────────────────────────────────────────────┘│</w:t>
      </w:r>
      <w:r>
        <w:br/>
      </w:r>
      <w:r>
        <w:rPr>
          <w:rStyle w:val="VerbatimChar"/>
        </w:rPr>
        <w:t xml:space="preserve">└─────────────────────────────────────────────────────────────┘</w:t>
      </w:r>
    </w:p>
    <w:p>
      <w:pPr>
        <w:pStyle w:val="Compact"/>
        <w:numPr>
          <w:ilvl w:val="0"/>
          <w:numId w:val="1001"/>
        </w:numPr>
      </w:pPr>
      <w:r>
        <w:rPr>
          <w:b/>
          <w:bCs/>
        </w:rPr>
        <w:t xml:space="preserve">Reflex Layer</w:t>
      </w:r>
      <w:r>
        <w:t xml:space="preserve"> </w:t>
      </w:r>
      <w:r>
        <w:t xml:space="preserve">(&lt;100μs) — Hardware-level collision avoidance and emergency stops</w:t>
      </w:r>
    </w:p>
    <w:p>
      <w:pPr>
        <w:pStyle w:val="Compact"/>
        <w:numPr>
          <w:ilvl w:val="0"/>
          <w:numId w:val="1001"/>
        </w:numPr>
      </w:pPr>
      <w:r>
        <w:rPr>
          <w:b/>
          <w:bCs/>
        </w:rPr>
        <w:t xml:space="preserve">Tactical Layer</w:t>
      </w:r>
      <w:r>
        <w:t xml:space="preserve"> </w:t>
      </w:r>
      <w:r>
        <w:t xml:space="preserve">(10-100ms) — ErisML ethical evaluation through the DEME pipeline</w:t>
      </w:r>
    </w:p>
    <w:p>
      <w:pPr>
        <w:pStyle w:val="Compact"/>
        <w:numPr>
          <w:ilvl w:val="0"/>
          <w:numId w:val="1001"/>
        </w:numPr>
      </w:pPr>
      <w:r>
        <w:rPr>
          <w:b/>
          <w:bCs/>
        </w:rPr>
        <w:t xml:space="preserve">Strategic Layer</w:t>
      </w:r>
      <w:r>
        <w:t xml:space="preserve"> </w:t>
      </w:r>
      <w:r>
        <w:t xml:space="preserve">— Policy-level governance and human oversight</w:t>
      </w:r>
    </w:p>
    <w:bookmarkEnd w:id="10"/>
    <w:bookmarkStart w:id="11" w:name="formal-protocol-definitions"/>
    <w:p>
      <w:pPr>
        <w:pStyle w:val="Heading3"/>
      </w:pPr>
      <w:r>
        <w:t xml:space="preserve">Formal Protocol Definitions</w:t>
      </w:r>
    </w:p>
    <w:p>
      <w:pPr>
        <w:pStyle w:val="FirstParagraph"/>
      </w:pPr>
      <w:r>
        <w:t xml:space="preserve">We’ve defined gRPC/Protocol Buffer interfaces for:</w:t>
      </w:r>
    </w:p>
    <w:p>
      <w:pPr>
        <w:pStyle w:val="Compact"/>
        <w:numPr>
          <w:ilvl w:val="0"/>
          <w:numId w:val="1002"/>
        </w:numPr>
      </w:pPr>
      <w:r>
        <w:rPr>
          <w:b/>
          <w:bCs/>
        </w:rPr>
        <w:t xml:space="preserve">EthicalFacts</w:t>
      </w:r>
      <w:r>
        <w:t xml:space="preserve"> </w:t>
      </w:r>
      <w:r>
        <w:t xml:space="preserve">— Capturing the morally relevant dimensions of any action (consequences, rights, fairness, safety, epistemic status)</w:t>
      </w:r>
    </w:p>
    <w:p>
      <w:pPr>
        <w:pStyle w:val="Compact"/>
        <w:numPr>
          <w:ilvl w:val="0"/>
          <w:numId w:val="1002"/>
        </w:numPr>
      </w:pPr>
      <w:r>
        <w:rPr>
          <w:b/>
          <w:bCs/>
        </w:rPr>
        <w:t xml:space="preserve">MoralVector</w:t>
      </w:r>
      <w:r>
        <w:t xml:space="preserve"> </w:t>
      </w:r>
      <w:r>
        <w:t xml:space="preserve">— An 8+1 dimensional ethical assessment</w:t>
      </w:r>
    </w:p>
    <w:p>
      <w:pPr>
        <w:pStyle w:val="Compact"/>
        <w:numPr>
          <w:ilvl w:val="0"/>
          <w:numId w:val="1002"/>
        </w:numPr>
      </w:pPr>
      <w:r>
        <w:rPr>
          <w:b/>
          <w:bCs/>
        </w:rPr>
        <w:t xml:space="preserve">Bond Index</w:t>
      </w:r>
      <w:r>
        <w:t xml:space="preserve"> </w:t>
      </w:r>
      <w:r>
        <w:t xml:space="preserve">— Measuring deviation from correlative symmetry in normative positions</w:t>
      </w:r>
    </w:p>
    <w:p>
      <w:pPr>
        <w:pStyle w:val="Compact"/>
        <w:numPr>
          <w:ilvl w:val="0"/>
          <w:numId w:val="1002"/>
        </w:numPr>
      </w:pPr>
      <w:r>
        <w:rPr>
          <w:b/>
          <w:bCs/>
        </w:rPr>
        <w:t xml:space="preserve">Hohfeldian Verdicts</w:t>
      </w:r>
      <w:r>
        <w:t xml:space="preserve"> </w:t>
      </w:r>
      <w:r>
        <w:t xml:space="preserve">— Formal representation of O↔C and L↔N normative relationships</w:t>
      </w:r>
    </w:p>
    <w:p>
      <w:pPr>
        <w:pStyle w:val="Compact"/>
        <w:numPr>
          <w:ilvl w:val="0"/>
          <w:numId w:val="1002"/>
        </w:numPr>
      </w:pPr>
      <w:r>
        <w:rPr>
          <w:b/>
          <w:bCs/>
        </w:rPr>
        <w:t xml:space="preserve">DecisionProof</w:t>
      </w:r>
      <w:r>
        <w:t xml:space="preserve"> </w:t>
      </w:r>
      <w:r>
        <w:t xml:space="preserve">— Hash-chained audit trail for governance compliance</w:t>
      </w:r>
    </w:p>
    <w:bookmarkEnd w:id="11"/>
    <w:bookmarkStart w:id="12" w:name="reference-implementation"/>
    <w:p>
      <w:pPr>
        <w:pStyle w:val="Heading3"/>
      </w:pPr>
      <w:r>
        <w:t xml:space="preserve">Reference Implementation</w:t>
      </w:r>
    </w:p>
    <w:p>
      <w:pPr>
        <w:pStyle w:val="FirstParagraph"/>
      </w:pPr>
      <w:r>
        <w:t xml:space="preserve">The Safety Gateway provides:</w:t>
      </w:r>
    </w:p>
    <w:p>
      <w:pPr>
        <w:pStyle w:val="Compact"/>
        <w:numPr>
          <w:ilvl w:val="0"/>
          <w:numId w:val="1003"/>
        </w:numPr>
      </w:pPr>
      <w:r>
        <w:rPr>
          <w:b/>
          <w:bCs/>
        </w:rPr>
        <w:t xml:space="preserve">Pre-action checking</w:t>
      </w:r>
      <w:r>
        <w:t xml:space="preserve">: Plans are evaluated before execution begins</w:t>
      </w:r>
    </w:p>
    <w:p>
      <w:pPr>
        <w:pStyle w:val="Compact"/>
        <w:numPr>
          <w:ilvl w:val="0"/>
          <w:numId w:val="1003"/>
        </w:numPr>
      </w:pPr>
      <w:r>
        <w:rPr>
          <w:b/>
          <w:bCs/>
        </w:rPr>
        <w:t xml:space="preserve">In-action monitoring</w:t>
      </w:r>
      <w:r>
        <w:t xml:space="preserve">: Real-time safety with sensor integration</w:t>
      </w:r>
    </w:p>
    <w:p>
      <w:pPr>
        <w:pStyle w:val="Compact"/>
        <w:numPr>
          <w:ilvl w:val="0"/>
          <w:numId w:val="1003"/>
        </w:numPr>
      </w:pPr>
      <w:r>
        <w:rPr>
          <w:b/>
          <w:bCs/>
        </w:rPr>
        <w:t xml:space="preserve">Post-action learning</w:t>
      </w:r>
      <w:r>
        <w:t xml:space="preserve">: Outcomes logged for continuous improvement</w:t>
      </w:r>
    </w:p>
    <w:p>
      <w:pPr>
        <w:pStyle w:val="Compact"/>
        <w:numPr>
          <w:ilvl w:val="0"/>
          <w:numId w:val="1003"/>
        </w:numPr>
      </w:pPr>
      <w:r>
        <w:rPr>
          <w:b/>
          <w:bCs/>
        </w:rPr>
        <w:t xml:space="preserve">Graceful degradation</w:t>
      </w:r>
      <w:r>
        <w:t xml:space="preserve">: System remains safe even when ErisML is unavailable</w:t>
      </w:r>
    </w:p>
    <w:bookmarkEnd w:id="12"/>
    <w:bookmarkEnd w:id="13"/>
    <w:bookmarkStart w:id="14" w:name="Xbb48e8a5f4d2f984c467ac228d8d5edf6dedbab"/>
    <w:p>
      <w:pPr>
        <w:pStyle w:val="Heading2"/>
      </w:pPr>
      <w:r>
        <w:t xml:space="preserve">The Bond Index: Quantifying Ethical Consistency</w:t>
      </w:r>
    </w:p>
    <w:p>
      <w:pPr>
        <w:pStyle w:val="FirstParagraph"/>
      </w:pPr>
      <w:r>
        <w:t xml:space="preserve">One of the key innovations is the</w:t>
      </w:r>
      <w:r>
        <w:t xml:space="preserve"> </w:t>
      </w:r>
      <w:r>
        <w:rPr>
          <w:b/>
          <w:bCs/>
        </w:rPr>
        <w:t xml:space="preserve">Bond Index</w:t>
      </w:r>
      <w:r>
        <w:t xml:space="preserve">—a quantitative measure of ethical consistency based on Hohfeldian correlative symmetry.</w:t>
      </w:r>
    </w:p>
    <w:p>
      <w:pPr>
        <w:pStyle w:val="BodyText"/>
      </w:pPr>
      <w:r>
        <w:t xml:space="preserve">In Hohfeldian analysis, normative positions come in correlative pairs:</w:t>
      </w:r>
      <w:r>
        <w:t xml:space="preserve"> </w:t>
      </w:r>
      <w:r>
        <w:t xml:space="preserve">-</w:t>
      </w:r>
      <w:r>
        <w:t xml:space="preserve"> </w:t>
      </w:r>
      <w:r>
        <w:rPr>
          <w:b/>
          <w:bCs/>
        </w:rPr>
        <w:t xml:space="preserve">Obligation ↔ Claim</w:t>
      </w:r>
      <w:r>
        <w:t xml:space="preserve">: If I have an obligation to you, you have a claim against me</w:t>
      </w:r>
      <w:r>
        <w:t xml:space="preserve"> </w:t>
      </w:r>
      <w:r>
        <w:t xml:space="preserve">-</w:t>
      </w:r>
      <w:r>
        <w:t xml:space="preserve"> </w:t>
      </w:r>
      <w:r>
        <w:rPr>
          <w:b/>
          <w:bCs/>
        </w:rPr>
        <w:t xml:space="preserve">Liberty ↔ No-claim</w:t>
      </w:r>
      <w:r>
        <w:t xml:space="preserve">: If I have liberty to act, you have no claim to stop me</w:t>
      </w:r>
    </w:p>
    <w:p>
      <w:pPr>
        <w:pStyle w:val="BodyText"/>
      </w:pPr>
      <w:r>
        <w:t xml:space="preserve">The Bond Index measures how well ethical judgments maintain these symmetries: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Bond Index</w:t>
            </w:r>
          </w:p>
        </w:tc>
        <w:tc>
          <w:tcPr/>
          <w:p>
            <w:pPr>
              <w:pStyle w:val="Compact"/>
            </w:pPr>
            <w:r>
              <w:t xml:space="preserve">Interpretation</w:t>
            </w:r>
          </w:p>
        </w:tc>
      </w:tr>
      <w:tr>
        <w:tc>
          <w:tcPr/>
          <w:p>
            <w:pPr>
              <w:pStyle w:val="Compact"/>
            </w:pPr>
            <w:r>
              <w:t xml:space="preserve">0.00</w:t>
            </w:r>
          </w:p>
        </w:tc>
        <w:tc>
          <w:tcPr/>
          <w:p>
            <w:pPr>
              <w:pStyle w:val="Compact"/>
            </w:pPr>
            <w:r>
              <w:t xml:space="preserve">Perfect symmetry (ideal)</w:t>
            </w:r>
          </w:p>
        </w:tc>
      </w:tr>
      <w:tr>
        <w:tc>
          <w:tcPr/>
          <w:p>
            <w:pPr>
              <w:pStyle w:val="Compact"/>
            </w:pPr>
            <w:r>
              <w:t xml:space="preserve">0.155</w:t>
            </w:r>
          </w:p>
        </w:tc>
        <w:tc>
          <w:tcPr/>
          <w:p>
            <w:pPr>
              <w:pStyle w:val="Compact"/>
            </w:pPr>
            <w:r>
              <w:t xml:space="preserve">Empirical baseline (Dear Abby corpus)</w:t>
            </w:r>
          </w:p>
        </w:tc>
      </w:tr>
      <w:tr>
        <w:tc>
          <w:tcPr/>
          <w:p>
            <w:pPr>
              <w:pStyle w:val="Compact"/>
            </w:pPr>
            <w:r>
              <w:t xml:space="preserve">0.25</w:t>
            </w:r>
          </w:p>
        </w:tc>
        <w:tc>
          <w:tcPr/>
          <w:p>
            <w:pPr>
              <w:pStyle w:val="Compact"/>
            </w:pPr>
            <w:r>
              <w:t xml:space="preserve">Warning threshold</w:t>
            </w:r>
          </w:p>
        </w:tc>
      </w:tr>
      <w:tr>
        <w:tc>
          <w:tcPr/>
          <w:p>
            <w:pPr>
              <w:pStyle w:val="Compact"/>
            </w:pPr>
            <w:r>
              <w:t xml:space="preserve">0.30</w:t>
            </w:r>
          </w:p>
        </w:tc>
        <w:tc>
          <w:tcPr/>
          <w:p>
            <w:pPr>
              <w:pStyle w:val="Compact"/>
            </w:pPr>
            <w:r>
              <w:t xml:space="preserve">Block threshold</w:t>
            </w:r>
          </w:p>
        </w:tc>
      </w:tr>
    </w:tbl>
    <w:p>
      <w:pPr>
        <w:pStyle w:val="BodyText"/>
      </w:pPr>
      <w:r>
        <w:t xml:space="preserve">This gives us a mathematically grounded metric that the system can optimize toward—validated empirically across 20,000+ ethical scenarios including cross-temporal analysis of texts spanning 700 years.</w:t>
      </w:r>
    </w:p>
    <w:bookmarkEnd w:id="14"/>
    <w:bookmarkStart w:id="15" w:name="the-81-moral-vector"/>
    <w:p>
      <w:pPr>
        <w:pStyle w:val="Heading2"/>
      </w:pPr>
      <w:r>
        <w:t xml:space="preserve">The 8+1 Moral Vector</w:t>
      </w:r>
    </w:p>
    <w:p>
      <w:pPr>
        <w:pStyle w:val="FirstParagraph"/>
      </w:pPr>
      <w:r>
        <w:t xml:space="preserve">Every action is evaluated across eight ethical dimensions, plus epistemic quality:</w:t>
      </w:r>
    </w:p>
    <w:p>
      <w:pPr>
        <w:pStyle w:val="Compact"/>
        <w:numPr>
          <w:ilvl w:val="0"/>
          <w:numId w:val="1004"/>
        </w:numPr>
      </w:pPr>
      <w:r>
        <w:rPr>
          <w:b/>
          <w:bCs/>
        </w:rPr>
        <w:t xml:space="preserve">Physical Harm</w:t>
      </w:r>
      <w:r>
        <w:t xml:space="preserve"> </w:t>
      </w:r>
      <w:r>
        <w:t xml:space="preserve">— Risk of bodily harm</w:t>
      </w:r>
    </w:p>
    <w:p>
      <w:pPr>
        <w:pStyle w:val="Compact"/>
        <w:numPr>
          <w:ilvl w:val="0"/>
          <w:numId w:val="1004"/>
        </w:numPr>
      </w:pPr>
      <w:r>
        <w:rPr>
          <w:b/>
          <w:bCs/>
        </w:rPr>
        <w:t xml:space="preserve">Rights Respect</w:t>
      </w:r>
      <w:r>
        <w:t xml:space="preserve"> </w:t>
      </w:r>
      <w:r>
        <w:t xml:space="preserve">— Adherence to fundamental rights</w:t>
      </w:r>
    </w:p>
    <w:p>
      <w:pPr>
        <w:pStyle w:val="Compact"/>
        <w:numPr>
          <w:ilvl w:val="0"/>
          <w:numId w:val="1004"/>
        </w:numPr>
      </w:pPr>
      <w:r>
        <w:rPr>
          <w:b/>
          <w:bCs/>
        </w:rPr>
        <w:t xml:space="preserve">Fairness &amp; Equity</w:t>
      </w:r>
      <w:r>
        <w:t xml:space="preserve"> </w:t>
      </w:r>
      <w:r>
        <w:t xml:space="preserve">— Distributive justice</w:t>
      </w:r>
    </w:p>
    <w:p>
      <w:pPr>
        <w:pStyle w:val="Compact"/>
        <w:numPr>
          <w:ilvl w:val="0"/>
          <w:numId w:val="1004"/>
        </w:numPr>
      </w:pPr>
      <w:r>
        <w:rPr>
          <w:b/>
          <w:bCs/>
        </w:rPr>
        <w:t xml:space="preserve">Autonomy Respect</w:t>
      </w:r>
      <w:r>
        <w:t xml:space="preserve"> </w:t>
      </w:r>
      <w:r>
        <w:t xml:space="preserve">— Honoring agent self-determination</w:t>
      </w:r>
    </w:p>
    <w:p>
      <w:pPr>
        <w:pStyle w:val="Compact"/>
        <w:numPr>
          <w:ilvl w:val="0"/>
          <w:numId w:val="1004"/>
        </w:numPr>
      </w:pPr>
      <w:r>
        <w:rPr>
          <w:b/>
          <w:bCs/>
        </w:rPr>
        <w:t xml:space="preserve">Privacy Protection</w:t>
      </w:r>
      <w:r>
        <w:t xml:space="preserve"> </w:t>
      </w:r>
      <w:r>
        <w:t xml:space="preserve">— Information boundaries</w:t>
      </w:r>
    </w:p>
    <w:p>
      <w:pPr>
        <w:pStyle w:val="Compact"/>
        <w:numPr>
          <w:ilvl w:val="0"/>
          <w:numId w:val="1004"/>
        </w:numPr>
      </w:pPr>
      <w:r>
        <w:rPr>
          <w:b/>
          <w:bCs/>
        </w:rPr>
        <w:t xml:space="preserve">Societal Impact</w:t>
      </w:r>
      <w:r>
        <w:t xml:space="preserve"> </w:t>
      </w:r>
      <w:r>
        <w:t xml:space="preserve">— Broader consequences</w:t>
      </w:r>
    </w:p>
    <w:p>
      <w:pPr>
        <w:pStyle w:val="Compact"/>
        <w:numPr>
          <w:ilvl w:val="0"/>
          <w:numId w:val="1004"/>
        </w:numPr>
      </w:pPr>
      <w:r>
        <w:rPr>
          <w:b/>
          <w:bCs/>
        </w:rPr>
        <w:t xml:space="preserve">Virtue &amp; Care</w:t>
      </w:r>
      <w:r>
        <w:t xml:space="preserve"> </w:t>
      </w:r>
      <w:r>
        <w:t xml:space="preserve">— Character-based considerations</w:t>
      </w:r>
    </w:p>
    <w:p>
      <w:pPr>
        <w:pStyle w:val="Compact"/>
        <w:numPr>
          <w:ilvl w:val="0"/>
          <w:numId w:val="1004"/>
        </w:numPr>
      </w:pPr>
      <w:r>
        <w:rPr>
          <w:b/>
          <w:bCs/>
        </w:rPr>
        <w:t xml:space="preserve">Legitimacy &amp; Trust</w:t>
      </w:r>
      <w:r>
        <w:t xml:space="preserve"> </w:t>
      </w:r>
      <w:r>
        <w:t xml:space="preserve">— Procedural validity</w:t>
      </w:r>
    </w:p>
    <w:p>
      <w:pPr>
        <w:pStyle w:val="Compact"/>
        <w:numPr>
          <w:ilvl w:val="0"/>
          <w:numId w:val="1004"/>
        </w:numPr>
      </w:pPr>
      <w:r>
        <w:rPr>
          <w:b/>
          <w:bCs/>
        </w:rPr>
        <w:t xml:space="preserve">Epistemic Quality</w:t>
      </w:r>
      <w:r>
        <w:t xml:space="preserve"> </w:t>
      </w:r>
      <w:r>
        <w:t xml:space="preserve">— Confidence in the assessment itself</w:t>
      </w:r>
    </w:p>
    <w:p>
      <w:pPr>
        <w:pStyle w:val="FirstParagraph"/>
      </w:pPr>
      <w:r>
        <w:t xml:space="preserve">This multi-dimensional approach avoids the trap of reducing ethics to a single score while still enabling computational tractability.</w:t>
      </w:r>
    </w:p>
    <w:bookmarkEnd w:id="15"/>
    <w:bookmarkStart w:id="19" w:name="why-this-matters"/>
    <w:p>
      <w:pPr>
        <w:pStyle w:val="Heading2"/>
      </w:pPr>
      <w:r>
        <w:t xml:space="preserve">Why This Matters</w:t>
      </w:r>
    </w:p>
    <w:bookmarkStart w:id="16" w:name="for-agi-safety"/>
    <w:p>
      <w:pPr>
        <w:pStyle w:val="Heading3"/>
      </w:pPr>
      <w:r>
        <w:t xml:space="preserve">For AGI Safety</w:t>
      </w:r>
    </w:p>
    <w:p>
      <w:pPr>
        <w:pStyle w:val="FirstParagraph"/>
      </w:pPr>
      <w:r>
        <w:t xml:space="preserve">Traditional AI alignment focuses on reward functions and constitutional AI. Our approach adds:</w:t>
      </w:r>
    </w:p>
    <w:p>
      <w:pPr>
        <w:pStyle w:val="Compact"/>
        <w:numPr>
          <w:ilvl w:val="0"/>
          <w:numId w:val="1005"/>
        </w:numPr>
      </w:pPr>
      <w:r>
        <w:rPr>
          <w:b/>
          <w:bCs/>
        </w:rPr>
        <w:t xml:space="preserve">Formal verification</w:t>
      </w:r>
      <w:r>
        <w:t xml:space="preserve"> </w:t>
      </w:r>
      <w:r>
        <w:t xml:space="preserve">of ethical properties</w:t>
      </w:r>
    </w:p>
    <w:p>
      <w:pPr>
        <w:pStyle w:val="Compact"/>
        <w:numPr>
          <w:ilvl w:val="0"/>
          <w:numId w:val="1005"/>
        </w:numPr>
      </w:pPr>
      <w:r>
        <w:rPr>
          <w:b/>
          <w:bCs/>
        </w:rPr>
        <w:t xml:space="preserve">Auditable decision trails</w:t>
      </w:r>
      <w:r>
        <w:t xml:space="preserve"> </w:t>
      </w:r>
      <w:r>
        <w:t xml:space="preserve">with cryptographic proofs</w:t>
      </w:r>
    </w:p>
    <w:p>
      <w:pPr>
        <w:pStyle w:val="Compact"/>
        <w:numPr>
          <w:ilvl w:val="0"/>
          <w:numId w:val="1005"/>
        </w:numPr>
      </w:pPr>
      <w:r>
        <w:rPr>
          <w:b/>
          <w:bCs/>
        </w:rPr>
        <w:t xml:space="preserve">Quantitative metrics</w:t>
      </w:r>
      <w:r>
        <w:t xml:space="preserve"> </w:t>
      </w:r>
      <w:r>
        <w:t xml:space="preserve">grounded in moral philosophy</w:t>
      </w:r>
    </w:p>
    <w:p>
      <w:pPr>
        <w:pStyle w:val="Compact"/>
        <w:numPr>
          <w:ilvl w:val="0"/>
          <w:numId w:val="1005"/>
        </w:numPr>
      </w:pPr>
      <w:r>
        <w:rPr>
          <w:b/>
          <w:bCs/>
        </w:rPr>
        <w:t xml:space="preserve">Graceful degradation</w:t>
      </w:r>
      <w:r>
        <w:t xml:space="preserve"> </w:t>
      </w:r>
      <w:r>
        <w:t xml:space="preserve">under uncertainty</w:t>
      </w:r>
    </w:p>
    <w:bookmarkEnd w:id="16"/>
    <w:bookmarkStart w:id="17" w:name="for-embodied-ai"/>
    <w:p>
      <w:pPr>
        <w:pStyle w:val="Heading3"/>
      </w:pPr>
      <w:r>
        <w:t xml:space="preserve">For Embodied AI</w:t>
      </w:r>
    </w:p>
    <w:p>
      <w:pPr>
        <w:pStyle w:val="FirstParagraph"/>
      </w:pPr>
      <w:r>
        <w:t xml:space="preserve">Robots and physical AI systems face real-time safety constraints that language models don’t. Our three-layer architecture provides:</w:t>
      </w:r>
    </w:p>
    <w:p>
      <w:pPr>
        <w:pStyle w:val="Compact"/>
        <w:numPr>
          <w:ilvl w:val="0"/>
          <w:numId w:val="1006"/>
        </w:numPr>
      </w:pPr>
      <w:r>
        <w:t xml:space="preserve">Sub-millisecond reflex responses for collision avoidance</w:t>
      </w:r>
    </w:p>
    <w:p>
      <w:pPr>
        <w:pStyle w:val="Compact"/>
        <w:numPr>
          <w:ilvl w:val="0"/>
          <w:numId w:val="1006"/>
        </w:numPr>
      </w:pPr>
      <w:r>
        <w:t xml:space="preserve">Thoughtful ethical evaluation for complex decisions</w:t>
      </w:r>
    </w:p>
    <w:p>
      <w:pPr>
        <w:pStyle w:val="Compact"/>
        <w:numPr>
          <w:ilvl w:val="0"/>
          <w:numId w:val="1006"/>
        </w:numPr>
      </w:pPr>
      <w:r>
        <w:t xml:space="preserve">Human oversight hooks for novel situations</w:t>
      </w:r>
    </w:p>
    <w:bookmarkEnd w:id="17"/>
    <w:bookmarkStart w:id="18" w:name="for-governance"/>
    <w:p>
      <w:pPr>
        <w:pStyle w:val="Heading3"/>
      </w:pPr>
      <w:r>
        <w:t xml:space="preserve">For Governance</w:t>
      </w:r>
    </w:p>
    <w:p>
      <w:pPr>
        <w:pStyle w:val="FirstParagraph"/>
      </w:pPr>
      <w:r>
        <w:t xml:space="preserve">The hash-chained DecisionProof system creates an immutable audit trail:</w:t>
      </w:r>
    </w:p>
    <w:p>
      <w:pPr>
        <w:pStyle w:val="SourceCode"/>
      </w:pPr>
      <w:r>
        <w:rPr>
          <w:rStyle w:val="VerbatimChar"/>
        </w:rPr>
        <w:t xml:space="preserve">Decision → Hash → Next Decision → Hash → ...</w:t>
      </w:r>
    </w:p>
    <w:p>
      <w:pPr>
        <w:pStyle w:val="FirstParagraph"/>
      </w:pPr>
      <w:r>
        <w:t xml:space="preserve">This enables post-hoc analysis of why the system made particular choices—essential for regulatory compliance and public trust.</w:t>
      </w:r>
    </w:p>
    <w:bookmarkEnd w:id="18"/>
    <w:bookmarkEnd w:id="19"/>
    <w:bookmarkStart w:id="20" w:name="the-bigger-picture"/>
    <w:p>
      <w:pPr>
        <w:pStyle w:val="Heading2"/>
      </w:pPr>
      <w:r>
        <w:t xml:space="preserve">The Bigger Picture</w:t>
      </w:r>
    </w:p>
    <w:p>
      <w:pPr>
        <w:pStyle w:val="FirstParagraph"/>
      </w:pPr>
      <w:r>
        <w:t xml:space="preserve">This integration is part of a larger research program:</w:t>
      </w:r>
    </w:p>
    <w:p>
      <w:pPr>
        <w:pStyle w:val="SourceCode"/>
      </w:pPr>
      <w:r>
        <w:rPr>
          <w:rStyle w:val="VerbatimChar"/>
        </w:rPr>
        <w:t xml:space="preserve">sqnd-probe          →  Empirical ethics validation</w:t>
      </w:r>
      <w:r>
        <w:br/>
      </w:r>
      <w:r>
        <w:rPr>
          <w:rStyle w:val="VerbatimChar"/>
        </w:rPr>
        <w:t xml:space="preserve">       ↓</w:t>
      </w:r>
      <w:r>
        <w:br/>
      </w:r>
      <w:r>
        <w:rPr>
          <w:rStyle w:val="VerbatimChar"/>
        </w:rPr>
        <w:t xml:space="preserve">erisml-lib          →  Safety framework (Bond Index, DEME, Hohfeldian)</w:t>
      </w:r>
      <w:r>
        <w:br/>
      </w:r>
      <w:r>
        <w:rPr>
          <w:rStyle w:val="VerbatimChar"/>
        </w:rPr>
        <w:t xml:space="preserve">       ↓</w:t>
      </w:r>
      <w:r>
        <w:br/>
      </w:r>
      <w:r>
        <w:rPr>
          <w:rStyle w:val="VerbatimChar"/>
        </w:rPr>
        <w:t xml:space="preserve">agi-hpc             →  Cognitive architecture (this integration)</w:t>
      </w:r>
    </w:p>
    <w:p>
      <w:pPr>
        <w:pStyle w:val="FirstParagraph"/>
      </w:pPr>
      <w:r>
        <w:t xml:space="preserve">The empirical research validates the theoretical framework, which then gets operationalized in the cognitive architecture. Each layer informs the others.</w:t>
      </w:r>
    </w:p>
    <w:bookmarkEnd w:id="20"/>
    <w:bookmarkStart w:id="21" w:name="whats-next"/>
    <w:p>
      <w:pPr>
        <w:pStyle w:val="Heading2"/>
      </w:pPr>
      <w:r>
        <w:t xml:space="preserve">What’s Next</w:t>
      </w:r>
    </w:p>
    <w:p>
      <w:pPr>
        <w:pStyle w:val="Compact"/>
        <w:numPr>
          <w:ilvl w:val="0"/>
          <w:numId w:val="1007"/>
        </w:numPr>
      </w:pPr>
      <w:r>
        <w:rPr>
          <w:b/>
          <w:bCs/>
        </w:rPr>
        <w:t xml:space="preserve">Service implementation</w:t>
      </w:r>
      <w:r>
        <w:t xml:space="preserve"> </w:t>
      </w:r>
      <w:r>
        <w:t xml:space="preserve">connecting ErisML’s full DEME pipeline</w:t>
      </w:r>
    </w:p>
    <w:p>
      <w:pPr>
        <w:pStyle w:val="Compact"/>
        <w:numPr>
          <w:ilvl w:val="0"/>
          <w:numId w:val="1007"/>
        </w:numPr>
      </w:pPr>
      <w:r>
        <w:rPr>
          <w:b/>
          <w:bCs/>
        </w:rPr>
        <w:t xml:space="preserve">DEME profile tuning</w:t>
      </w:r>
      <w:r>
        <w:t xml:space="preserve"> </w:t>
      </w:r>
      <w:r>
        <w:t xml:space="preserve">for embodied robotics domains</w:t>
      </w:r>
    </w:p>
    <w:p>
      <w:pPr>
        <w:pStyle w:val="Compact"/>
        <w:numPr>
          <w:ilvl w:val="0"/>
          <w:numId w:val="1007"/>
        </w:numPr>
      </w:pPr>
      <w:r>
        <w:rPr>
          <w:b/>
          <w:bCs/>
        </w:rPr>
        <w:t xml:space="preserve">Episodic memory integration</w:t>
      </w:r>
      <w:r>
        <w:t xml:space="preserve"> </w:t>
      </w:r>
      <w:r>
        <w:t xml:space="preserve">for learning from ethical outcomes</w:t>
      </w:r>
    </w:p>
    <w:p>
      <w:pPr>
        <w:pStyle w:val="Compact"/>
        <w:numPr>
          <w:ilvl w:val="0"/>
          <w:numId w:val="1007"/>
        </w:numPr>
      </w:pPr>
      <w:r>
        <w:rPr>
          <w:b/>
          <w:bCs/>
        </w:rPr>
        <w:t xml:space="preserve">Multi-agent coordination</w:t>
      </w:r>
      <w:r>
        <w:t xml:space="preserve"> </w:t>
      </w:r>
      <w:r>
        <w:t xml:space="preserve">with shared ethical constraints</w:t>
      </w:r>
    </w:p>
    <w:bookmarkEnd w:id="21"/>
    <w:bookmarkStart w:id="22" w:name="try-it-yourself"/>
    <w:p>
      <w:pPr>
        <w:pStyle w:val="Heading2"/>
      </w:pPr>
      <w:r>
        <w:t xml:space="preserve">Try It Yourself</w:t>
      </w:r>
    </w:p>
    <w:p>
      <w:pPr>
        <w:pStyle w:val="FirstParagraph"/>
      </w:pPr>
      <w:r>
        <w:t xml:space="preserve">The code is available on GitHub. Start with:</w:t>
      </w:r>
    </w:p>
    <w:p>
      <w:pPr>
        <w:pStyle w:val="SourceCode"/>
      </w:pPr>
      <w:r>
        <w:rPr>
          <w:rStyle w:val="ImportTok"/>
        </w:rPr>
        <w:t xml:space="preserve">from</w:t>
      </w:r>
      <w:r>
        <w:rPr>
          <w:rStyle w:val="NormalTok"/>
        </w:rPr>
        <w:t xml:space="preserve"> agi.safety </w:t>
      </w:r>
      <w:r>
        <w:rPr>
          <w:rStyle w:val="ImportTok"/>
        </w:rPr>
        <w:t xml:space="preserve">import</w:t>
      </w:r>
      <w:r>
        <w:rPr>
          <w:rStyle w:val="NormalTok"/>
        </w:rPr>
        <w:t xml:space="preserve"> SafetyGateway</w:t>
      </w:r>
      <w:r>
        <w:br/>
      </w:r>
      <w:r>
        <w:br/>
      </w:r>
      <w:r>
        <w:rPr>
          <w:rStyle w:val="NormalTok"/>
        </w:rPr>
        <w:t xml:space="preserve">gateway </w:t>
      </w:r>
      <w:r>
        <w:rPr>
          <w:rStyle w:val="OperatorTok"/>
        </w:rPr>
        <w:t xml:space="preserve">=</w:t>
      </w:r>
      <w:r>
        <w:rPr>
          <w:rStyle w:val="NormalTok"/>
        </w:rPr>
        <w:t xml:space="preserve"> SafetyGateway(erisml_address</w:t>
      </w:r>
      <w:r>
        <w:rPr>
          <w:rStyle w:val="OperatorTok"/>
        </w:rPr>
        <w:t xml:space="preserve">=</w:t>
      </w:r>
      <w:r>
        <w:rPr>
          <w:rStyle w:val="StringTok"/>
        </w:rPr>
        <w:t xml:space="preserve">"localhost:50060"</w:t>
      </w:r>
      <w:r>
        <w:rPr>
          <w:rStyle w:val="NormalTok"/>
        </w:rPr>
        <w:t xml:space="preserve">)</w:t>
      </w:r>
      <w:r>
        <w:br/>
      </w:r>
      <w:r>
        <w:rPr>
          <w:rStyle w:val="NormalTok"/>
        </w:rPr>
        <w:t xml:space="preserve">result </w:t>
      </w:r>
      <w:r>
        <w:rPr>
          <w:rStyle w:val="OperatorTok"/>
        </w:rPr>
        <w:t xml:space="preserve">=</w:t>
      </w:r>
      <w:r>
        <w:rPr>
          <w:rStyle w:val="NormalTok"/>
        </w:rPr>
        <w:t xml:space="preserve"> gateway.check_plan(plan)</w:t>
      </w:r>
      <w:r>
        <w:br/>
      </w:r>
      <w:r>
        <w:br/>
      </w:r>
      <w:r>
        <w:rPr>
          <w:rStyle w:val="ControlFlowTok"/>
        </w:rPr>
        <w:t xml:space="preserve">if</w:t>
      </w:r>
      <w:r>
        <w:rPr>
          <w:rStyle w:val="NormalTok"/>
        </w:rPr>
        <w:t xml:space="preserve"> result.decision </w:t>
      </w:r>
      <w:r>
        <w:rPr>
          <w:rStyle w:val="OperatorTok"/>
        </w:rPr>
        <w:t xml:space="preserve">==</w:t>
      </w:r>
      <w:r>
        <w:rPr>
          <w:rStyle w:val="NormalTok"/>
        </w:rPr>
        <w:t xml:space="preserve"> SafetyDecision.ALLOW:</w:t>
      </w:r>
      <w:r>
        <w:br/>
      </w:r>
      <w:r>
        <w:rPr>
          <w:rStyle w:val="NormalTok"/>
        </w:rPr>
        <w:t xml:space="preserve">    execute_plan(plan)</w:t>
      </w:r>
    </w:p>
    <w:p>
      <w:r>
        <w:pict>
          <v:rect style="width:0;height:1.5pt" o:hralign="center" o:hrstd="t" o:hr="t"/>
        </w:pict>
      </w:r>
    </w:p>
    <w:p>
      <w:pPr>
        <w:pStyle w:val="FirstParagraph"/>
      </w:pPr>
      <w:r>
        <w:rPr>
          <w:i/>
          <w:iCs/>
        </w:rPr>
        <w:t xml:space="preserve">This work represents a step toward AGI systems that are safe by design rather than safe by hope. We believe the path to beneficial AI requires this kind of principled, mathematically grounded approach to ethics—one that can be verified, audited, and improved through empirical feedback.</w:t>
      </w:r>
    </w:p>
    <w:p>
      <w:pPr>
        <w:pStyle w:val="BodyText"/>
      </w:pPr>
      <w:r>
        <w:rPr>
          <w:i/>
          <w:iCs/>
        </w:rPr>
        <w:t xml:space="preserve">Interested in AI safety research? Let’s connect.</w:t>
      </w:r>
    </w:p>
    <w:p>
      <w:r>
        <w:pict>
          <v:rect style="width:0;height:1.5pt" o:hralign="center" o:hrstd="t" o:hr="t"/>
        </w:pict>
      </w:r>
    </w:p>
    <w:p>
      <w:pPr>
        <w:pStyle w:val="FirstParagraph"/>
      </w:pPr>
      <w:r>
        <w:rPr>
          <w:b/>
          <w:bCs/>
        </w:rPr>
        <w:t xml:space="preserve">Andrew H. Bond, Senior Member IEEE</w:t>
      </w:r>
      <w:r>
        <w:t xml:space="preserve"> </w:t>
      </w:r>
      <w:r>
        <w:t xml:space="preserve">Department of Computer Engineering</w:t>
      </w:r>
      <w:r>
        <w:t xml:space="preserve"> </w:t>
      </w:r>
      <w:r>
        <w:t xml:space="preserve">San Jose State University</w:t>
      </w:r>
    </w:p>
    <w:p>
      <w:pPr>
        <w:pStyle w:val="BodyText"/>
      </w:pPr>
      <w:r>
        <w:t xml:space="preserve">#AISafety #AGI #EthicalAI #MachineLearning #Research #SJSU #Robotics #SafetyEngineering</w:t>
      </w:r>
    </w:p>
    <w:p>
      <w:r>
        <w:pict>
          <v:rect style="width:0;height:1.5pt" o:hralign="center" o:hrstd="t" o:hr="t"/>
        </w:pict>
      </w:r>
    </w:p>
    <w:bookmarkEnd w:id="22"/>
    <w:bookmarkStart w:id="23" w:name="technical-details"/>
    <w:p>
      <w:pPr>
        <w:pStyle w:val="Heading2"/>
      </w:pPr>
      <w:r>
        <w:t xml:space="preserve">Technical Details</w:t>
      </w:r>
    </w:p>
    <w:p>
      <w:pPr>
        <w:pStyle w:val="FirstParagraph"/>
      </w:pPr>
      <w:r>
        <w:rPr>
          <w:b/>
          <w:bCs/>
        </w:rPr>
        <w:t xml:space="preserve">Repository</w:t>
      </w:r>
      <w:r>
        <w:t xml:space="preserve">: github.com/ahb-sjsu/agi-hpc</w:t>
      </w:r>
    </w:p>
    <w:p>
      <w:pPr>
        <w:pStyle w:val="BodyText"/>
      </w:pPr>
      <w:r>
        <w:rPr>
          <w:b/>
          <w:bCs/>
        </w:rPr>
        <w:t xml:space="preserve">New Components</w:t>
      </w:r>
      <w:r>
        <w:t xml:space="preserve">:</w:t>
      </w:r>
      <w:r>
        <w:t xml:space="preserve"> </w:t>
      </w:r>
      <w:r>
        <w:t xml:space="preserve">-</w:t>
      </w:r>
      <w:r>
        <w:t xml:space="preserve"> </w:t>
      </w:r>
      <w:r>
        <w:rPr>
          <w:rStyle w:val="VerbatimChar"/>
        </w:rPr>
        <w:t xml:space="preserve">proto/erisml.proto</w:t>
      </w:r>
      <w:r>
        <w:t xml:space="preserve"> </w:t>
      </w:r>
      <w:r>
        <w:t xml:space="preserve">— 180 lines of protocol definitions</w:t>
      </w:r>
      <w:r>
        <w:t xml:space="preserve"> </w:t>
      </w:r>
      <w:r>
        <w:t xml:space="preserve">-</w:t>
      </w:r>
      <w:r>
        <w:t xml:space="preserve"> </w:t>
      </w:r>
      <w:r>
        <w:rPr>
          <w:rStyle w:val="VerbatimChar"/>
        </w:rPr>
        <w:t xml:space="preserve">proto/safety.proto</w:t>
      </w:r>
      <w:r>
        <w:t xml:space="preserve"> </w:t>
      </w:r>
      <w:r>
        <w:t xml:space="preserve">— 220 lines of protocol definitions</w:t>
      </w:r>
      <w:r>
        <w:t xml:space="preserve"> </w:t>
      </w:r>
      <w:r>
        <w:t xml:space="preserve">-</w:t>
      </w:r>
      <w:r>
        <w:t xml:space="preserve"> </w:t>
      </w:r>
      <w:r>
        <w:rPr>
          <w:rStyle w:val="VerbatimChar"/>
        </w:rPr>
        <w:t xml:space="preserve">src/agi/safety/</w:t>
      </w:r>
      <w:r>
        <w:t xml:space="preserve"> </w:t>
      </w:r>
      <w:r>
        <w:t xml:space="preserve">— Reference implementation (~800 lines)</w:t>
      </w:r>
      <w:r>
        <w:t xml:space="preserve"> </w:t>
      </w:r>
      <w:r>
        <w:t xml:space="preserve">-</w:t>
      </w:r>
      <w:r>
        <w:t xml:space="preserve"> </w:t>
      </w:r>
      <w:r>
        <w:rPr>
          <w:rStyle w:val="VerbatimChar"/>
        </w:rPr>
        <w:t xml:space="preserve">docs/ERISML_API.md</w:t>
      </w:r>
      <w:r>
        <w:t xml:space="preserve"> </w:t>
      </w:r>
      <w:r>
        <w:t xml:space="preserve">— Full API documentation</w:t>
      </w:r>
    </w:p>
    <w:p>
      <w:pPr>
        <w:pStyle w:val="BodyText"/>
      </w:pPr>
      <w:r>
        <w:rPr>
          <w:b/>
          <w:bCs/>
        </w:rPr>
        <w:t xml:space="preserve">Test Coverage</w:t>
      </w:r>
      <w:r>
        <w:t xml:space="preserve">: 285 tests passing</w:t>
      </w:r>
    </w:p>
    <w:p>
      <w:pPr>
        <w:pStyle w:val="BodyText"/>
      </w:pPr>
      <w:r>
        <w:rPr>
          <w:b/>
          <w:bCs/>
        </w:rPr>
        <w:t xml:space="preserve">Key Dependencies</w:t>
      </w:r>
      <w:r>
        <w:t xml:space="preserve">: gRPC, Protocol Buffers, Python 3.10+</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2026-02-08T20:28:22Z</dcterms:created>
  <dcterms:modified xsi:type="dcterms:W3CDTF">2026-02-08T20:28:22Z</dcterms:modified>
</cp:coreProperties>
</file>

<file path=docProps/custom.xml><?xml version="1.0" encoding="utf-8"?>
<Properties xmlns="http://schemas.openxmlformats.org/officeDocument/2006/custom-properties" xmlns:vt="http://schemas.openxmlformats.org/officeDocument/2006/docPropsVTypes"/>
</file>