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ndrew-h.-bond"/>
    <w:p>
      <w:pPr>
        <w:pStyle w:val="Heading1"/>
      </w:pPr>
      <w:r>
        <w:t xml:space="preserve">Andrew H. Bond</w:t>
      </w:r>
    </w:p>
    <w:p>
      <w:pPr>
        <w:pStyle w:val="FirstParagraph"/>
      </w:pPr>
      <w:r>
        <w:t xml:space="preserve">Network engineer, educator, and independent AI researcher. Senior Member IEEE.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30+ years in telecommunications and distributed systems at AT&amp;T. Lectures in Computer Engineering at San Jose State University. Researches geometric approaches to AI reasoning and interpretable machine learning. Maintains 26 open-source repositories and 7 published PyPI packages.</w:t>
      </w:r>
    </w:p>
    <w:bookmarkEnd w:id="9"/>
    <w:bookmarkStart w:id="10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M.S.S.E., San Jose State University</w:t>
      </w:r>
    </w:p>
    <w:p>
      <w:pPr>
        <w:pStyle w:val="Compact"/>
        <w:numPr>
          <w:ilvl w:val="0"/>
          <w:numId w:val="1001"/>
        </w:numPr>
      </w:pPr>
      <w:r>
        <w:t xml:space="preserve">B.S.E.E., North Carolina State University</w:t>
      </w:r>
    </w:p>
    <w:bookmarkEnd w:id="10"/>
    <w:bookmarkStart w:id="11" w:name="professional"/>
    <w:p>
      <w:pPr>
        <w:pStyle w:val="Heading2"/>
      </w:pPr>
      <w:r>
        <w:t xml:space="preserve">Professional</w:t>
      </w:r>
    </w:p>
    <w:p>
      <w:pPr>
        <w:pStyle w:val="FirstParagraph"/>
      </w:pPr>
      <w:r>
        <w:t xml:space="preserve">Lead Consultant, AT&amp;T. Senior Member IEEE (since 1989).</w:t>
      </w:r>
    </w:p>
    <w:bookmarkEnd w:id="11"/>
    <w:bookmarkStart w:id="12" w:name="academic"/>
    <w:p>
      <w:pPr>
        <w:pStyle w:val="Heading2"/>
      </w:pPr>
      <w:r>
        <w:t xml:space="preserve">Academic</w:t>
      </w:r>
    </w:p>
    <w:p>
      <w:pPr>
        <w:pStyle w:val="FirstParagraph"/>
      </w:pPr>
      <w:r>
        <w:t xml:space="preserve">Lecturer, Computer Engineering Department, San Jose State University (CMPE 148, 180b, 272/282). Lecturer, Computer Science Department, Sonoma State University (CS 115, 480, 385). Graduate thesis advisor at both institutions.</w:t>
      </w:r>
    </w:p>
    <w:bookmarkEnd w:id="12"/>
    <w:bookmarkStart w:id="13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Software / DevOps:</w:t>
      </w:r>
      <w:r>
        <w:t xml:space="preserve"> </w:t>
      </w:r>
      <w:r>
        <w:t xml:space="preserve">SDLC, Scrum/Kanban, Jenkins, CI/CD (GitHub Actions, ruff, pytest)</w:t>
      </w:r>
    </w:p>
    <w:p>
      <w:pPr>
        <w:pStyle w:val="BodyText"/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Python, Java, C++, Bash</w:t>
      </w:r>
    </w:p>
    <w:p>
      <w:pPr>
        <w:pStyle w:val="BodyText"/>
      </w:pPr>
      <w:r>
        <w:rPr>
          <w:b/>
          <w:bCs/>
        </w:rPr>
        <w:t xml:space="preserve">Technologies:</w:t>
      </w:r>
      <w:r>
        <w:t xml:space="preserve"> </w:t>
      </w:r>
      <w:r>
        <w:t xml:space="preserve">Ansible, Kubernetes, Terraform, VMware vSphere, OpenStack, Docker, systemd</w:t>
      </w:r>
    </w:p>
    <w:p>
      <w:pPr>
        <w:pStyle w:val="BodyText"/>
      </w:pPr>
      <w:r>
        <w:rPr>
          <w:b/>
          <w:bCs/>
        </w:rPr>
        <w:t xml:space="preserve">AI/ML:</w:t>
      </w:r>
      <w:r>
        <w:t xml:space="preserve"> </w:t>
      </w:r>
      <w:r>
        <w:t xml:space="preserve">PyTorch, CuPy, cuML, scikit-learn, TensorFlow/Keras, HuggingFace Transformers, PEFT/LoRA, LangChain, OpenAI APIs, CUDA 12.8, RAPIDS, llama.cpp</w:t>
      </w:r>
    </w:p>
    <w:p>
      <w:pPr>
        <w:pStyle w:val="BodyText"/>
      </w:pPr>
      <w:r>
        <w:rPr>
          <w:b/>
          <w:bCs/>
        </w:rPr>
        <w:t xml:space="preserve">Data Science:</w:t>
      </w:r>
      <w:r>
        <w:t xml:space="preserve"> </w:t>
      </w:r>
      <w:r>
        <w:t xml:space="preserve">Pandas, NumPy, SciPy, Matplotlib, Plotly, Dash, Spark, Kafka, Tableau, Splunk, NoSQL</w:t>
      </w:r>
    </w:p>
    <w:p>
      <w:pPr>
        <w:pStyle w:val="BodyText"/>
      </w:pPr>
      <w:r>
        <w:rPr>
          <w:b/>
          <w:bCs/>
        </w:rPr>
        <w:t xml:space="preserve">HPC / GPU Computing:</w:t>
      </w:r>
      <w:r>
        <w:t xml:space="preserve"> </w:t>
      </w:r>
      <w:r>
        <w:t xml:space="preserve">Multi-GPU workstation management, CuPy GPU-accelerated search, thermal management (batch-probe), NVIDIA driver/CUDA stack, process orchestration</w:t>
      </w:r>
    </w:p>
    <w:p>
      <w:pPr>
        <w:pStyle w:val="BodyText"/>
      </w:pPr>
      <w:r>
        <w:rPr>
          <w:b/>
          <w:bCs/>
        </w:rPr>
        <w:t xml:space="preserve">SD-WAN &amp; Network Security:</w:t>
      </w:r>
      <w:r>
        <w:t xml:space="preserve"> </w:t>
      </w:r>
      <w:r>
        <w:t xml:space="preserve">Cisco SD-WAN (Catalyst/Viptela) architecture, design, segmentation, policy-based steering, application-aware routing. SSE/SASE integration (Palo Alto Prisma Access, Zscaler, Cisco Umbrella). Zero-trust architecture, micro-segmentation. Target-state architecture assessment and HLD/LLD development.</w:t>
      </w:r>
    </w:p>
    <w:p>
      <w:pPr>
        <w:pStyle w:val="BodyText"/>
      </w:pPr>
      <w:r>
        <w:rPr>
          <w:b/>
          <w:bCs/>
        </w:rPr>
        <w:t xml:space="preserve">Data Networking:</w:t>
      </w:r>
      <w:r>
        <w:t xml:space="preserve"> </w:t>
      </w:r>
      <w:r>
        <w:t xml:space="preserve">IP Routing (BGP, EIGRP, OSPF, IS-IS), WAN transport (IPSEC VPN, MPLS, DMVPN, SD-WAN), network modeling/simulation, L2 design</w:t>
      </w:r>
    </w:p>
    <w:bookmarkEnd w:id="13"/>
    <w:bookmarkStart w:id="14" w:name="research"/>
    <w:p>
      <w:pPr>
        <w:pStyle w:val="Heading2"/>
      </w:pPr>
      <w:r>
        <w:t xml:space="preserve">Research</w:t>
      </w:r>
    </w:p>
    <w:p>
      <w:pPr>
        <w:pStyle w:val="FirstParagraph"/>
      </w:pPr>
      <w:r>
        <w:rPr>
          <w:b/>
          <w:bCs/>
        </w:rPr>
        <w:t xml:space="preserve">Geometric AI Theory</w:t>
      </w:r>
      <w:r>
        <w:t xml:space="preserve"> </w:t>
      </w:r>
      <w:r>
        <w:t xml:space="preserve">— A mathematical framework modeling reasoning as geodesic search on Riemannian manifolds. Published as a book series (2026):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Geometric Ethics: The Mathematical Structure of Moral Reasoning</w:t>
      </w:r>
      <w:r>
        <w:t xml:space="preserve"> </w:t>
      </w:r>
      <w:r>
        <w:t xml:space="preserve">(v1.24, 30 chapters)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Geometric Reasoning: From Search to Manifolds</w:t>
      </w:r>
      <w:r>
        <w:t xml:space="preserve"> </w:t>
      </w:r>
      <w:r>
        <w:t xml:space="preserve">(in progress, 16 chapters)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Geometric Cognition</w:t>
      </w:r>
      <w:r>
        <w:t xml:space="preserve">,</w:t>
      </w:r>
      <w:r>
        <w:t xml:space="preserve"> </w:t>
      </w:r>
      <w:r>
        <w:rPr>
          <w:i/>
          <w:iCs/>
        </w:rPr>
        <w:t xml:space="preserve">Geometric Economics</w:t>
      </w:r>
      <w:r>
        <w:t xml:space="preserve">,</w:t>
      </w:r>
      <w:r>
        <w:t xml:space="preserve"> </w:t>
      </w:r>
      <w:r>
        <w:rPr>
          <w:i/>
          <w:iCs/>
        </w:rPr>
        <w:t xml:space="preserve">Geometric Law</w:t>
      </w:r>
      <w:r>
        <w:t xml:space="preserve">,</w:t>
      </w:r>
      <w:r>
        <w:t xml:space="preserve"> </w:t>
      </w:r>
      <w:r>
        <w:rPr>
          <w:i/>
          <w:iCs/>
        </w:rPr>
        <w:t xml:space="preserve">Geometric Medicine</w:t>
      </w:r>
      <w:r>
        <w:t xml:space="preserve">,</w:t>
      </w:r>
      <w:r>
        <w:t xml:space="preserve"> </w:t>
      </w:r>
      <w:r>
        <w:rPr>
          <w:i/>
          <w:iCs/>
        </w:rPr>
        <w:t xml:space="preserve">Geometric Communication</w:t>
      </w:r>
      <w:r>
        <w:t xml:space="preserve"> </w:t>
      </w:r>
      <w:r>
        <w:t xml:space="preserve">(planned/in progress)</w:t>
      </w:r>
    </w:p>
    <w:p>
      <w:pPr>
        <w:pStyle w:val="FirstParagraph"/>
      </w:pPr>
      <w:r>
        <w:rPr>
          <w:b/>
          <w:bCs/>
        </w:rPr>
        <w:t xml:space="preserve">Theory Radar</w:t>
      </w:r>
      <w:r>
        <w:t xml:space="preserve"> </w:t>
      </w:r>
      <w:r>
        <w:t xml:space="preserve">— Symbolic formula search engine for interpretable binary classification. GPU-accelerated beam search with PLS projections, meta-learned pruning, and TurboQuant-compressed beam storage. Paper under review at IEEE Transactions on Artificial Intelligence.</w:t>
      </w:r>
    </w:p>
    <w:p>
      <w:pPr>
        <w:pStyle w:val="BodyText"/>
      </w:pPr>
      <w:r>
        <w:rPr>
          <w:b/>
          <w:bCs/>
        </w:rPr>
        <w:t xml:space="preserve">Measuring Progress Toward AGI</w:t>
      </w:r>
      <w:r>
        <w:t xml:space="preserve"> </w:t>
      </w:r>
      <w:r>
        <w:t xml:space="preserve">— Kaggle competition across five cognitive tracks, applying geometric methods including symmetry augmentation, SPD manifolds, Poincare ball embeddings, and topological data analysis.</w:t>
      </w:r>
    </w:p>
    <w:bookmarkEnd w:id="14"/>
    <w:bookmarkStart w:id="22" w:name="open-source-software-pypi"/>
    <w:p>
      <w:pPr>
        <w:pStyle w:val="Heading2"/>
      </w:pPr>
      <w:r>
        <w:t xml:space="preserve">Open-Source Software (PyPI)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  <w:b/>
            <w:bCs/>
          </w:rPr>
          <w:t xml:space="preserve">erisml-lib</w:t>
        </w:r>
      </w:hyperlink>
      <w:r>
        <w:t xml:space="preserve"> </w:t>
      </w:r>
      <w:r>
        <w:t xml:space="preserve">v3.0 — Modeling language for governed, foundation-model-enabled agents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  <w:b/>
            <w:bCs/>
          </w:rPr>
          <w:t xml:space="preserve">research-portal</w:t>
        </w:r>
      </w:hyperlink>
      <w:r>
        <w:t xml:space="preserve"> </w:t>
      </w:r>
      <w:r>
        <w:t xml:space="preserve">v0.1.6 — Zero-config research workstation dashboard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  <w:b/>
            <w:bCs/>
          </w:rPr>
          <w:t xml:space="preserve">batch-probe</w:t>
        </w:r>
      </w:hyperlink>
      <w:r>
        <w:t xml:space="preserve"> </w:t>
      </w:r>
      <w:r>
        <w:t xml:space="preserve">v0.4.0 — GPU batch size probing and thermal management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  <w:b/>
            <w:bCs/>
          </w:rPr>
          <w:t xml:space="preserve">theory-radar</w:t>
        </w:r>
      </w:hyperlink>
      <w:r>
        <w:t xml:space="preserve"> </w:t>
      </w:r>
      <w:r>
        <w:t xml:space="preserve">v0.4.0 — Symbolic formula search for interpretable classification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  <w:b/>
            <w:bCs/>
          </w:rPr>
          <w:t xml:space="preserve">prometheus-analyzer</w:t>
        </w:r>
      </w:hyperlink>
      <w:r>
        <w:t xml:space="preserve"> </w:t>
      </w:r>
      <w:r>
        <w:t xml:space="preserve">v0.2.2 — Codebase complexity measurement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  <w:b/>
            <w:bCs/>
          </w:rPr>
          <w:t xml:space="preserve">polite-submit</w:t>
        </w:r>
      </w:hyperlink>
      <w:r>
        <w:t xml:space="preserve"> </w:t>
      </w:r>
      <w:r>
        <w:t xml:space="preserve">v0.1.1 — CSMA/CA-inspired HPC job submission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  <w:b/>
            <w:bCs/>
          </w:rPr>
          <w:t xml:space="preserve">structural-fuzzing</w:t>
        </w:r>
      </w:hyperlink>
      <w:r>
        <w:t xml:space="preserve"> </w:t>
      </w:r>
      <w:r>
        <w:t xml:space="preserve">v0.2.0 — Parameterized model validation</w:t>
      </w:r>
    </w:p>
    <w:bookmarkEnd w:id="22"/>
    <w:bookmarkStart w:id="24" w:name="open-source-software-github"/>
    <w:p>
      <w:pPr>
        <w:pStyle w:val="Heading2"/>
      </w:pPr>
      <w:r>
        <w:t xml:space="preserve">Open-Source Software (GitHub)</w:t>
      </w:r>
    </w:p>
    <w:p>
      <w:pPr>
        <w:pStyle w:val="FirstParagraph"/>
      </w:pPr>
      <w:r>
        <w:t xml:space="preserve">26 repositories at</w:t>
      </w:r>
      <w:r>
        <w:t xml:space="preserve"> </w:t>
      </w:r>
      <w:hyperlink r:id="rId23">
        <w:r>
          <w:rPr>
            <w:rStyle w:val="Hyperlink"/>
          </w:rPr>
          <w:t xml:space="preserve">github.com/ahb-sjsu</w:t>
        </w:r>
      </w:hyperlink>
      <w:r>
        <w:t xml:space="preserve">, including: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AGI-HPC</w:t>
      </w:r>
      <w:r>
        <w:t xml:space="preserve"> </w:t>
      </w:r>
      <w:r>
        <w:t xml:space="preserve">— Distributed, safety-gated cognitive architecture (10 subsystems, 786 tests)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eris-econ</w:t>
      </w:r>
      <w:r>
        <w:t xml:space="preserve"> </w:t>
      </w:r>
      <w:r>
        <w:t xml:space="preserve">— Geometric economics with A* pathfinding and Bond Geodesic Equilibrium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eris-ketos</w:t>
      </w:r>
      <w:r>
        <w:t xml:space="preserve"> </w:t>
      </w:r>
      <w:r>
        <w:t xml:space="preserve">— Geometric analysis of cetacean communication (Poincare embeddings, TDA, SPD manifolds)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arc-prize</w:t>
      </w:r>
      <w:r>
        <w:t xml:space="preserve"> </w:t>
      </w:r>
      <w:r>
        <w:t xml:space="preserve">— ARC-AGI-2 solver using geometric embeddings and hyperbolic rule inference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geometric-moderation</w:t>
      </w:r>
      <w:r>
        <w:t xml:space="preserve"> </w:t>
      </w:r>
      <w:r>
        <w:t xml:space="preserve">— Hyperbolic policy embeddings for content moderation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non-abelian-sqnd</w:t>
      </w:r>
      <w:r>
        <w:t xml:space="preserve"> </w:t>
      </w:r>
      <w:r>
        <w:t xml:space="preserve">— Non-Abelian gauge structure in Stratified Quantum Normative Dynamics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altscribe</w:t>
      </w:r>
      <w:r>
        <w:t xml:space="preserve"> </w:t>
      </w:r>
      <w:r>
        <w:t xml:space="preserve">— AI-powered WCAG 2.1 AA image alt-text generator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San Jose, California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3" Target="https://github.com/ahb-sjsu" TargetMode="External" /><Relationship Type="http://schemas.openxmlformats.org/officeDocument/2006/relationships/hyperlink" Id="rId17" Target="https://pypi.org/project/batch-probe/" TargetMode="External" /><Relationship Type="http://schemas.openxmlformats.org/officeDocument/2006/relationships/hyperlink" Id="rId15" Target="https://pypi.org/project/erisml-lib/" TargetMode="External" /><Relationship Type="http://schemas.openxmlformats.org/officeDocument/2006/relationships/hyperlink" Id="rId20" Target="https://pypi.org/project/polite-submit/" TargetMode="External" /><Relationship Type="http://schemas.openxmlformats.org/officeDocument/2006/relationships/hyperlink" Id="rId19" Target="https://pypi.org/project/prometheus-analyzer/" TargetMode="External" /><Relationship Type="http://schemas.openxmlformats.org/officeDocument/2006/relationships/hyperlink" Id="rId16" Target="https://pypi.org/project/research-portal/" TargetMode="External" /><Relationship Type="http://schemas.openxmlformats.org/officeDocument/2006/relationships/hyperlink" Id="rId21" Target="https://pypi.org/project/structural-fuzzing/" TargetMode="External" /><Relationship Type="http://schemas.openxmlformats.org/officeDocument/2006/relationships/hyperlink" Id="rId18" Target="https://pypi.org/project/theory-rada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ahb-sjsu" TargetMode="External" /><Relationship Type="http://schemas.openxmlformats.org/officeDocument/2006/relationships/hyperlink" Id="rId17" Target="https://pypi.org/project/batch-probe/" TargetMode="External" /><Relationship Type="http://schemas.openxmlformats.org/officeDocument/2006/relationships/hyperlink" Id="rId15" Target="https://pypi.org/project/erisml-lib/" TargetMode="External" /><Relationship Type="http://schemas.openxmlformats.org/officeDocument/2006/relationships/hyperlink" Id="rId20" Target="https://pypi.org/project/polite-submit/" TargetMode="External" /><Relationship Type="http://schemas.openxmlformats.org/officeDocument/2006/relationships/hyperlink" Id="rId19" Target="https://pypi.org/project/prometheus-analyzer/" TargetMode="External" /><Relationship Type="http://schemas.openxmlformats.org/officeDocument/2006/relationships/hyperlink" Id="rId16" Target="https://pypi.org/project/research-portal/" TargetMode="External" /><Relationship Type="http://schemas.openxmlformats.org/officeDocument/2006/relationships/hyperlink" Id="rId21" Target="https://pypi.org/project/structural-fuzzing/" TargetMode="External" /><Relationship Type="http://schemas.openxmlformats.org/officeDocument/2006/relationships/hyperlink" Id="rId18" Target="https://pypi.org/project/theory-rada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2026-03-31T20:24:23Z</dcterms:created>
  <dcterms:modified xsi:type="dcterms:W3CDTF">2026-03-31T20:24:23Z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