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18A2D" w14:textId="77777777" w:rsidR="007B2C4A" w:rsidRPr="00027A22" w:rsidRDefault="00000000" w:rsidP="00027A22">
      <w:pPr>
        <w:pStyle w:val="Heading1"/>
        <w:rPr>
          <w:rFonts w:ascii="Garamond" w:hAnsi="Garamond"/>
        </w:rPr>
      </w:pPr>
      <w:r w:rsidRPr="00027A22">
        <w:rPr>
          <w:rFonts w:ascii="Garamond" w:hAnsi="Garamond"/>
        </w:rPr>
        <w:t>The Temple Incident and the Problem of Sinlessness:</w:t>
      </w:r>
    </w:p>
    <w:p w14:paraId="7EDEA4E7" w14:textId="77777777" w:rsidR="007B2C4A" w:rsidRPr="00027A22" w:rsidRDefault="00000000" w:rsidP="00027A22">
      <w:pPr>
        <w:pStyle w:val="Heading1"/>
        <w:rPr>
          <w:rFonts w:ascii="Garamond" w:hAnsi="Garamond"/>
        </w:rPr>
      </w:pPr>
      <w:r w:rsidRPr="00027A22">
        <w:rPr>
          <w:rFonts w:ascii="Garamond" w:hAnsi="Garamond"/>
        </w:rPr>
        <w:t>A Mosaic Law Analysis of the Cleansing of the Temple</w:t>
      </w:r>
    </w:p>
    <w:p w14:paraId="4C298289" w14:textId="36CF0175" w:rsidR="00027A22" w:rsidRPr="00027A22" w:rsidRDefault="00027A22" w:rsidP="00027A22">
      <w:pPr>
        <w:jc w:val="center"/>
        <w:rPr>
          <w:rFonts w:ascii="Garamond" w:hAnsi="Garamond"/>
        </w:rPr>
      </w:pPr>
      <w:r w:rsidRPr="00027A22">
        <w:rPr>
          <w:rFonts w:ascii="Garamond" w:hAnsi="Garamond"/>
        </w:rPr>
        <w:t>Andrew H. Bond</w:t>
      </w:r>
    </w:p>
    <w:p w14:paraId="12CC2674" w14:textId="1713782E" w:rsidR="00027A22" w:rsidRPr="00027A22" w:rsidRDefault="00027A22" w:rsidP="00027A22">
      <w:pPr>
        <w:jc w:val="center"/>
        <w:rPr>
          <w:rFonts w:ascii="Garamond" w:hAnsi="Garamond"/>
        </w:rPr>
      </w:pPr>
      <w:hyperlink r:id="rId7" w:history="1">
        <w:r w:rsidRPr="00027A22">
          <w:rPr>
            <w:rStyle w:val="Hyperlink"/>
            <w:rFonts w:ascii="Garamond" w:hAnsi="Garamond"/>
          </w:rPr>
          <w:t>andrew.bond@sjsu.edu</w:t>
        </w:r>
      </w:hyperlink>
    </w:p>
    <w:p w14:paraId="3E6939D7" w14:textId="77777777" w:rsidR="007B2C4A" w:rsidRPr="00027A22" w:rsidRDefault="00000000">
      <w:pPr>
        <w:spacing w:before="240" w:after="240"/>
        <w:jc w:val="center"/>
        <w:rPr>
          <w:rFonts w:ascii="Garamond" w:hAnsi="Garamond"/>
        </w:rPr>
      </w:pPr>
      <w:r w:rsidRPr="00027A22">
        <w:rPr>
          <w:rFonts w:ascii="Garamond" w:hAnsi="Garamond"/>
          <w:b/>
          <w:bCs/>
          <w:i/>
          <w:iCs/>
        </w:rPr>
        <w:t>Abstract</w:t>
      </w:r>
    </w:p>
    <w:p w14:paraId="65DCB3C3" w14:textId="77777777" w:rsidR="007B2C4A" w:rsidRPr="00027A22" w:rsidRDefault="00000000">
      <w:pPr>
        <w:spacing w:after="360" w:line="276" w:lineRule="auto"/>
        <w:ind w:left="720" w:right="720" w:firstLine="0"/>
        <w:rPr>
          <w:rFonts w:ascii="Garamond" w:hAnsi="Garamond"/>
        </w:rPr>
      </w:pPr>
      <w:r w:rsidRPr="00027A22">
        <w:rPr>
          <w:rFonts w:ascii="Garamond" w:hAnsi="Garamond"/>
          <w:sz w:val="22"/>
          <w:szCs w:val="22"/>
        </w:rPr>
        <w:t>This paper examines a tension within orthodox Christian theology that has received insufficient critical attention: the relationship between Jesus’s actions during the so-called “Cleansing of the Temple” and the doctrine of his sinlessness. The argument proceeds as follows: (1) Christian scripture explicitly places Jesus under the jurisdiction of the Mosaic Law during his earthly ministry; (2) the Mosaic Law prohibits assault and property destruction without legitimate judicial authority; (3) the temple incident, as recorded in all four canonical Gospels, constitutes precisely such prohibited conduct; (4) therefore, Jesus transgressed the Law; (5) since sin is defined as transgression of the Law, Jesus sinned. The theological implications are severe: a sinful Jesus cannot serve as the unblemished sacrificial lamb required for substitutionary atonement, thereby undermining a central pillar of Christian soteriology. This paper surveys the standard apologetic responses—including appeals to righteous anger, divine authority, and the exploitation of merchants—and argues that each either fails to address the legal question or collapses into a form of divine command theory that abandons objective morality. The analysis concludes that this tension represents a genuine unresolved problem for orthodox Christology.</w:t>
      </w:r>
    </w:p>
    <w:p w14:paraId="5EE924B1" w14:textId="77777777" w:rsidR="007B2C4A" w:rsidRPr="00027A22" w:rsidRDefault="00000000">
      <w:pPr>
        <w:spacing w:after="480"/>
        <w:ind w:left="720" w:right="720" w:firstLine="0"/>
        <w:rPr>
          <w:rFonts w:ascii="Garamond" w:hAnsi="Garamond"/>
        </w:rPr>
      </w:pPr>
      <w:r w:rsidRPr="00027A22">
        <w:rPr>
          <w:rFonts w:ascii="Garamond" w:hAnsi="Garamond"/>
          <w:b/>
          <w:bCs/>
          <w:i/>
          <w:iCs/>
          <w:sz w:val="22"/>
          <w:szCs w:val="22"/>
        </w:rPr>
        <w:t xml:space="preserve">Keywords: </w:t>
      </w:r>
      <w:r w:rsidRPr="00027A22">
        <w:rPr>
          <w:rFonts w:ascii="Garamond" w:hAnsi="Garamond"/>
          <w:i/>
          <w:iCs/>
          <w:sz w:val="22"/>
          <w:szCs w:val="22"/>
        </w:rPr>
        <w:t>Christology, sinlessness, Mosaic Law, temple cleansing, atonement, Euthyphro dilemma, divine command theory</w:t>
      </w:r>
    </w:p>
    <w:p w14:paraId="313186E0" w14:textId="77777777" w:rsidR="007B2C4A" w:rsidRPr="00027A22" w:rsidRDefault="00000000">
      <w:pPr>
        <w:pStyle w:val="Heading1"/>
        <w:rPr>
          <w:rFonts w:ascii="Garamond" w:hAnsi="Garamond"/>
        </w:rPr>
      </w:pPr>
      <w:r w:rsidRPr="00027A22">
        <w:rPr>
          <w:rFonts w:ascii="Garamond" w:hAnsi="Garamond"/>
        </w:rPr>
        <w:t>I. Introduction</w:t>
      </w:r>
    </w:p>
    <w:p w14:paraId="540FFA6B" w14:textId="77777777" w:rsidR="007B2C4A" w:rsidRPr="00027A22" w:rsidRDefault="00000000">
      <w:pPr>
        <w:rPr>
          <w:rFonts w:ascii="Garamond" w:hAnsi="Garamond"/>
        </w:rPr>
      </w:pPr>
      <w:r w:rsidRPr="00027A22">
        <w:rPr>
          <w:rFonts w:ascii="Garamond" w:hAnsi="Garamond"/>
        </w:rPr>
        <w:t>The doctrine of Christ’s sinlessness (</w:t>
      </w:r>
      <w:proofErr w:type="spellStart"/>
      <w:r w:rsidRPr="00027A22">
        <w:rPr>
          <w:rFonts w:ascii="Garamond" w:hAnsi="Garamond"/>
        </w:rPr>
        <w:t>impeccantia</w:t>
      </w:r>
      <w:proofErr w:type="spellEnd"/>
      <w:r w:rsidRPr="00027A22">
        <w:rPr>
          <w:rFonts w:ascii="Garamond" w:hAnsi="Garamond"/>
        </w:rPr>
        <w:t xml:space="preserve"> Christi) stands as a non-negotiable premise of orthodox Christian theology. Multiple New Testament texts assert this claim explicitly: “For we do not have a high priest who is unable to sympathize with our weaknesses, but one who in every respect has been tempted as we are, yet without sin” (Hebrews 4:15); “For our sake he made him to be sin who knew no sin” (2 Corinthians 5:21); “He committed no sin, neither was deceit found in his mouth” (1 Peter 2:22). The theological stakes are considerable: the doctrine of substitutionary </w:t>
      </w:r>
      <w:r w:rsidRPr="00027A22">
        <w:rPr>
          <w:rFonts w:ascii="Garamond" w:hAnsi="Garamond"/>
        </w:rPr>
        <w:lastRenderedPageBreak/>
        <w:t>atonement requires an unblemished sacrifice, and a Jesus who sinned—even once—would be disqualified from serving as such.</w:t>
      </w:r>
    </w:p>
    <w:p w14:paraId="0406B9CF" w14:textId="77777777" w:rsidR="007B2C4A" w:rsidRPr="00027A22" w:rsidRDefault="00000000">
      <w:pPr>
        <w:rPr>
          <w:rFonts w:ascii="Garamond" w:hAnsi="Garamond"/>
        </w:rPr>
      </w:pPr>
      <w:r w:rsidRPr="00027A22">
        <w:rPr>
          <w:rFonts w:ascii="Garamond" w:hAnsi="Garamond"/>
        </w:rPr>
        <w:t>Yet the canonical Gospels record an incident that, upon careful legal analysis, appears to constitute a violation of the very Mosaic Law under which Jesus operated. The episode commonly called the “Cleansing of the Temple” appears in all four Gospels (Matthew 21:12-13; Mark 11:15-19; Luke 19:45-48; John 2:13-17), making it among the best-attested events in Jesus’s ministry. The accounts describe Jesus entering the temple courts, overturning the tables of money changers, scattering their coins, and—in John’s account—fashioning a whip of cords to drive out both animals and people.</w:t>
      </w:r>
    </w:p>
    <w:p w14:paraId="1112F300" w14:textId="77777777" w:rsidR="007B2C4A" w:rsidRPr="00027A22" w:rsidRDefault="00000000">
      <w:pPr>
        <w:rPr>
          <w:rFonts w:ascii="Garamond" w:hAnsi="Garamond"/>
        </w:rPr>
      </w:pPr>
      <w:r w:rsidRPr="00027A22">
        <w:rPr>
          <w:rFonts w:ascii="Garamond" w:hAnsi="Garamond"/>
        </w:rPr>
        <w:t>This paper argues that the temple incident presents a genuine and largely unaddressed problem for orthodox Christology. The argument is not that Jesus’s critique of temple commerce was unwarranted, nor that righteous anger is inherently sinful. Rather, the argument concerns the method: the use of physical force against persons engaged in legally sanctioned activity, without judicial authority to do so. If Jesus was subject to the Mosaic Law—as Christian scripture explicitly claims—then the legal question cannot be evaded by appeals to the justice of his cause.</w:t>
      </w:r>
    </w:p>
    <w:p w14:paraId="1F00EE57" w14:textId="77777777" w:rsidR="007B2C4A" w:rsidRPr="00027A22" w:rsidRDefault="00000000">
      <w:pPr>
        <w:pStyle w:val="Heading1"/>
        <w:rPr>
          <w:rFonts w:ascii="Garamond" w:hAnsi="Garamond"/>
        </w:rPr>
      </w:pPr>
      <w:r w:rsidRPr="00027A22">
        <w:rPr>
          <w:rFonts w:ascii="Garamond" w:hAnsi="Garamond"/>
        </w:rPr>
        <w:t>II. The Biblical Evidence</w:t>
      </w:r>
    </w:p>
    <w:p w14:paraId="01C440F2" w14:textId="77777777" w:rsidR="007B2C4A" w:rsidRPr="00027A22" w:rsidRDefault="00000000">
      <w:pPr>
        <w:pStyle w:val="Heading2"/>
        <w:rPr>
          <w:rFonts w:ascii="Garamond" w:hAnsi="Garamond"/>
        </w:rPr>
      </w:pPr>
      <w:r w:rsidRPr="00027A22">
        <w:rPr>
          <w:rFonts w:ascii="Garamond" w:hAnsi="Garamond"/>
        </w:rPr>
        <w:t>A. The Synoptic Accounts</w:t>
      </w:r>
    </w:p>
    <w:p w14:paraId="60FC4660" w14:textId="77777777" w:rsidR="007B2C4A" w:rsidRPr="00027A22" w:rsidRDefault="00000000">
      <w:pPr>
        <w:rPr>
          <w:rFonts w:ascii="Garamond" w:hAnsi="Garamond"/>
        </w:rPr>
      </w:pPr>
      <w:r w:rsidRPr="00027A22">
        <w:rPr>
          <w:rFonts w:ascii="Garamond" w:hAnsi="Garamond"/>
        </w:rPr>
        <w:t>Matthew’s account is representative of the Synoptic tradition: “And Jesus entered the temple and drove out all who sold and bought in the temple, and he overturned the tables of the money-changers and the seats of those who sold pigeons. He said to them, ‘It is written, My house shall be called a house of prayer, but you make it a den of robbers’” (Matthew 21:12-13). Mark adds that Jesus “would not allow anyone to carry anything through the temple” (Mark 11:16), indicating a sustained disruption rather than a momentary outburst. All three Synoptic Gospels place this event during the final week of Jesus’s life, immediately following the triumphal entry into Jerusalem.</w:t>
      </w:r>
    </w:p>
    <w:p w14:paraId="4924AF23" w14:textId="77777777" w:rsidR="007B2C4A" w:rsidRPr="00027A22" w:rsidRDefault="00000000">
      <w:pPr>
        <w:pStyle w:val="Heading2"/>
        <w:rPr>
          <w:rFonts w:ascii="Garamond" w:hAnsi="Garamond"/>
        </w:rPr>
      </w:pPr>
      <w:r w:rsidRPr="00027A22">
        <w:rPr>
          <w:rFonts w:ascii="Garamond" w:hAnsi="Garamond"/>
        </w:rPr>
        <w:t>B. The Johannine Account</w:t>
      </w:r>
    </w:p>
    <w:p w14:paraId="1F5FAF87" w14:textId="77777777" w:rsidR="007B2C4A" w:rsidRPr="00027A22" w:rsidRDefault="00000000">
      <w:pPr>
        <w:rPr>
          <w:rFonts w:ascii="Garamond" w:hAnsi="Garamond"/>
        </w:rPr>
      </w:pPr>
      <w:r w:rsidRPr="00027A22">
        <w:rPr>
          <w:rFonts w:ascii="Garamond" w:hAnsi="Garamond"/>
        </w:rPr>
        <w:t xml:space="preserve">John’s Gospel provides the most detailed—and most forceful—account: “In the temple he found those who were selling oxen and sheep and pigeons, and the money-changers sitting there. </w:t>
      </w:r>
      <w:r w:rsidRPr="00027A22">
        <w:rPr>
          <w:rFonts w:ascii="Garamond" w:hAnsi="Garamond"/>
        </w:rPr>
        <w:lastRenderedPageBreak/>
        <w:t>And making a whip of cords, he drove them all out of the temple, with the sheep and oxen. And he poured out the coins of the money-changers and overturned their tables. And he told those who sold the pigeons, ‘Take these things away; do not make my Father’s house a house of trade’” (John 2:14-16). The reference to a “whip of cords” (</w:t>
      </w:r>
      <w:proofErr w:type="spellStart"/>
      <w:r w:rsidRPr="00027A22">
        <w:rPr>
          <w:rFonts w:ascii="Garamond" w:hAnsi="Garamond"/>
        </w:rPr>
        <w:t>phragellion</w:t>
      </w:r>
      <w:proofErr w:type="spellEnd"/>
      <w:r w:rsidRPr="00027A22">
        <w:rPr>
          <w:rFonts w:ascii="Garamond" w:hAnsi="Garamond"/>
        </w:rPr>
        <w:t xml:space="preserve"> ek </w:t>
      </w:r>
      <w:proofErr w:type="spellStart"/>
      <w:r w:rsidRPr="00027A22">
        <w:rPr>
          <w:rFonts w:ascii="Garamond" w:hAnsi="Garamond"/>
        </w:rPr>
        <w:t>schoinion</w:t>
      </w:r>
      <w:proofErr w:type="spellEnd"/>
      <w:r w:rsidRPr="00027A22">
        <w:rPr>
          <w:rFonts w:ascii="Garamond" w:hAnsi="Garamond"/>
        </w:rPr>
        <w:t>) is unique to John and intensifies the physical nature of the encounter. John places this event near the beginning of Jesus’s ministry rather than the end, creating a well-known chronological discrepancy with the Synoptics.</w:t>
      </w:r>
    </w:p>
    <w:p w14:paraId="34DD9168" w14:textId="77777777" w:rsidR="007B2C4A" w:rsidRPr="00027A22" w:rsidRDefault="00000000">
      <w:pPr>
        <w:pStyle w:val="Heading2"/>
        <w:rPr>
          <w:rFonts w:ascii="Garamond" w:hAnsi="Garamond"/>
        </w:rPr>
      </w:pPr>
      <w:r w:rsidRPr="00027A22">
        <w:rPr>
          <w:rFonts w:ascii="Garamond" w:hAnsi="Garamond"/>
        </w:rPr>
        <w:t>C. Textual Authenticity</w:t>
      </w:r>
    </w:p>
    <w:p w14:paraId="33200193" w14:textId="77777777" w:rsidR="007B2C4A" w:rsidRPr="00027A22" w:rsidRDefault="00000000">
      <w:pPr>
        <w:rPr>
          <w:rFonts w:ascii="Garamond" w:hAnsi="Garamond"/>
        </w:rPr>
      </w:pPr>
      <w:r w:rsidRPr="00027A22">
        <w:rPr>
          <w:rFonts w:ascii="Garamond" w:hAnsi="Garamond"/>
        </w:rPr>
        <w:t>Unlike certain other Gospel passages (such as Mark 16:9-20 or John 7:53-8:11), the temple cleansing narratives are not subject to significant textual dispute. They appear in all major manuscript traditions and are not among the passages scholars identify as later interpolations. The differences between the accounts concern chronology and detail, not the existence of the event itself. This is significant because it forecloses one potential escape route: one cannot dismiss the incident as a scribal addition or legendary accretion without undermining the reliability of the Gospel tradition more broadly.</w:t>
      </w:r>
    </w:p>
    <w:p w14:paraId="6DE9201E" w14:textId="77777777" w:rsidR="007B2C4A" w:rsidRPr="00027A22" w:rsidRDefault="00000000">
      <w:pPr>
        <w:pStyle w:val="Heading1"/>
        <w:rPr>
          <w:rFonts w:ascii="Garamond" w:hAnsi="Garamond"/>
        </w:rPr>
      </w:pPr>
      <w:r w:rsidRPr="00027A22">
        <w:rPr>
          <w:rFonts w:ascii="Garamond" w:hAnsi="Garamond"/>
        </w:rPr>
        <w:t>III. Jesus Under the Mosaic Law</w:t>
      </w:r>
    </w:p>
    <w:p w14:paraId="23821630" w14:textId="77777777" w:rsidR="007B2C4A" w:rsidRPr="00027A22" w:rsidRDefault="00000000">
      <w:pPr>
        <w:rPr>
          <w:rFonts w:ascii="Garamond" w:hAnsi="Garamond"/>
        </w:rPr>
      </w:pPr>
      <w:r w:rsidRPr="00027A22">
        <w:rPr>
          <w:rFonts w:ascii="Garamond" w:hAnsi="Garamond"/>
        </w:rPr>
        <w:t>A crucial premise of this argument is that Jesus was subject to the Mosaic Law during his earthly ministry. This is not a controversial claim within Christian theology; indeed, it is explicitly affirmed by the New Testament itself.</w:t>
      </w:r>
    </w:p>
    <w:p w14:paraId="5099E982" w14:textId="77777777" w:rsidR="007B2C4A" w:rsidRPr="00027A22" w:rsidRDefault="00000000">
      <w:pPr>
        <w:rPr>
          <w:rFonts w:ascii="Garamond" w:hAnsi="Garamond"/>
        </w:rPr>
      </w:pPr>
      <w:r w:rsidRPr="00027A22">
        <w:rPr>
          <w:rFonts w:ascii="Garamond" w:hAnsi="Garamond"/>
        </w:rPr>
        <w:t>Paul writes in Galatians 4:4: “But when the fullness of time had come, God sent forth his Son, born of woman, born under the law.” The phrase “born under the law” (</w:t>
      </w:r>
      <w:proofErr w:type="spellStart"/>
      <w:r w:rsidRPr="00027A22">
        <w:rPr>
          <w:rFonts w:ascii="Garamond" w:hAnsi="Garamond"/>
        </w:rPr>
        <w:t>genomenon</w:t>
      </w:r>
      <w:proofErr w:type="spellEnd"/>
      <w:r w:rsidRPr="00027A22">
        <w:rPr>
          <w:rFonts w:ascii="Garamond" w:hAnsi="Garamond"/>
        </w:rPr>
        <w:t xml:space="preserve"> hypo </w:t>
      </w:r>
      <w:proofErr w:type="spellStart"/>
      <w:r w:rsidRPr="00027A22">
        <w:rPr>
          <w:rFonts w:ascii="Garamond" w:hAnsi="Garamond"/>
        </w:rPr>
        <w:t>nomon</w:t>
      </w:r>
      <w:proofErr w:type="spellEnd"/>
      <w:r w:rsidRPr="00027A22">
        <w:rPr>
          <w:rFonts w:ascii="Garamond" w:hAnsi="Garamond"/>
        </w:rPr>
        <w:t>) indicates that Jesus entered into the covenant relationship that bound all Jews to the Mosaic legislation. Jesus himself affirms this in Matthew 5:17-19: “Do not think that I have come to abolish the Law or the Prophets; I have not come to abolish them but to fulfill them. For truly, I say to you, until heaven and earth pass away, not an iota, not a dot, will pass from the Law until all is accomplished.”</w:t>
      </w:r>
    </w:p>
    <w:p w14:paraId="3B9FF14D" w14:textId="77777777" w:rsidR="007B2C4A" w:rsidRPr="00027A22" w:rsidRDefault="00000000">
      <w:pPr>
        <w:rPr>
          <w:rFonts w:ascii="Garamond" w:hAnsi="Garamond"/>
        </w:rPr>
      </w:pPr>
      <w:r w:rsidRPr="00027A22">
        <w:rPr>
          <w:rFonts w:ascii="Garamond" w:hAnsi="Garamond"/>
        </w:rPr>
        <w:t xml:space="preserve">The Gospels consistently portray Jesus as observing the Law: he was circumcised on the eighth day (Luke 2:21), presented at the temple according to Mosaic requirements (Luke 2:22-24), attended synagogue regularly (Luke 4:16), celebrated Passover (Matthew 26:17-19), and instructed </w:t>
      </w:r>
      <w:r w:rsidRPr="00027A22">
        <w:rPr>
          <w:rFonts w:ascii="Garamond" w:hAnsi="Garamond"/>
        </w:rPr>
        <w:lastRenderedPageBreak/>
        <w:t>those he healed to fulfill the Mosaic requirements for cleansing (Matthew 8:4). When accused of violating the Sabbath, Jesus did not claim exemption from the Law but rather argued that his actions were consistent with its proper interpretation (Matthew 12:1-14).</w:t>
      </w:r>
    </w:p>
    <w:p w14:paraId="01F8DEFC" w14:textId="77777777" w:rsidR="007B2C4A" w:rsidRPr="00027A22" w:rsidRDefault="00000000">
      <w:pPr>
        <w:rPr>
          <w:rFonts w:ascii="Garamond" w:hAnsi="Garamond"/>
        </w:rPr>
      </w:pPr>
      <w:r w:rsidRPr="00027A22">
        <w:rPr>
          <w:rFonts w:ascii="Garamond" w:hAnsi="Garamond"/>
        </w:rPr>
        <w:t>The theological logic requires this premise. The entire claim that Jesus was “sinless” depends on his being subject to a moral law he could violate. Sin, in the Jewish framework that Christianity inherited, is defined as transgression of the Law (1 John 3:4: “sin is lawlessness”). If Jesus was not bound by the Law, the concept of sinlessness becomes incoherent—there would be nothing to transgress. The claim that Jesus lived without sin presupposes that he lived under a standard against which sin could be measured.</w:t>
      </w:r>
    </w:p>
    <w:p w14:paraId="438F0C04" w14:textId="77777777" w:rsidR="007B2C4A" w:rsidRPr="00027A22" w:rsidRDefault="00000000">
      <w:pPr>
        <w:rPr>
          <w:rFonts w:ascii="Garamond" w:hAnsi="Garamond"/>
        </w:rPr>
      </w:pPr>
      <w:r w:rsidRPr="00027A22">
        <w:rPr>
          <w:rFonts w:ascii="Garamond" w:hAnsi="Garamond"/>
        </w:rPr>
        <w:t>Christian theology generally holds that the Mosaic Law remained in full effect until the crucifixion, when the “new covenant” was established through Jesus’s death (cf. Hebrews 9:15-17). The temple incident, occurring during Jesus’s ministry, falls within the period when the Law was operative.</w:t>
      </w:r>
    </w:p>
    <w:p w14:paraId="61CCBE36" w14:textId="77777777" w:rsidR="007B2C4A" w:rsidRPr="00027A22" w:rsidRDefault="00000000">
      <w:pPr>
        <w:pStyle w:val="Heading1"/>
        <w:rPr>
          <w:rFonts w:ascii="Garamond" w:hAnsi="Garamond"/>
        </w:rPr>
      </w:pPr>
      <w:r w:rsidRPr="00027A22">
        <w:rPr>
          <w:rFonts w:ascii="Garamond" w:hAnsi="Garamond"/>
        </w:rPr>
        <w:t>IV. The Mosaic Law on Assault</w:t>
      </w:r>
    </w:p>
    <w:p w14:paraId="06A9F669" w14:textId="77777777" w:rsidR="007B2C4A" w:rsidRPr="00027A22" w:rsidRDefault="00000000">
      <w:pPr>
        <w:rPr>
          <w:rFonts w:ascii="Garamond" w:hAnsi="Garamond"/>
        </w:rPr>
      </w:pPr>
      <w:r w:rsidRPr="00027A22">
        <w:rPr>
          <w:rFonts w:ascii="Garamond" w:hAnsi="Garamond"/>
        </w:rPr>
        <w:t>Having established that Jesus was under the Mosaic Law, we must examine what that Law says about the use of force against other persons. The relevant provisions appear in Exodus 21, within the section of case law (</w:t>
      </w:r>
      <w:proofErr w:type="spellStart"/>
      <w:r w:rsidRPr="00027A22">
        <w:rPr>
          <w:rFonts w:ascii="Garamond" w:hAnsi="Garamond"/>
        </w:rPr>
        <w:t>mishpatim</w:t>
      </w:r>
      <w:proofErr w:type="spellEnd"/>
      <w:r w:rsidRPr="00027A22">
        <w:rPr>
          <w:rFonts w:ascii="Garamond" w:hAnsi="Garamond"/>
        </w:rPr>
        <w:t>) that follows the Decalogue.</w:t>
      </w:r>
    </w:p>
    <w:p w14:paraId="415ED6FD" w14:textId="77777777" w:rsidR="007B2C4A" w:rsidRPr="00027A22" w:rsidRDefault="00000000">
      <w:pPr>
        <w:rPr>
          <w:rFonts w:ascii="Garamond" w:hAnsi="Garamond"/>
        </w:rPr>
      </w:pPr>
      <w:r w:rsidRPr="00027A22">
        <w:rPr>
          <w:rFonts w:ascii="Garamond" w:hAnsi="Garamond"/>
        </w:rPr>
        <w:t>Exodus 21:12 states: “Whoever strikes a man so that he dies shall be put to death.” For non-fatal assault, Exodus 21:18-19 provides: “When men quarrel and one strikes the other with a stone or with his fist and the man does not die but takes to his bed, then if the man rises again and walks outdoors with his staff, he who struck him shall be clear; only he shall pay for the loss of his time, and shall have him thoroughly healed.” The famous lex talionis follows in Exodus 21:23-25: “But if there is harm, then you shall pay life for life, eye for eye, tooth for tooth, hand for hand, foot for foot, burn for burn, wound for wound, stripe for stripe.”</w:t>
      </w:r>
    </w:p>
    <w:p w14:paraId="6E6A6E44" w14:textId="77777777" w:rsidR="007B2C4A" w:rsidRPr="00027A22" w:rsidRDefault="00000000">
      <w:pPr>
        <w:rPr>
          <w:rFonts w:ascii="Garamond" w:hAnsi="Garamond"/>
        </w:rPr>
      </w:pPr>
      <w:r w:rsidRPr="00027A22">
        <w:rPr>
          <w:rFonts w:ascii="Garamond" w:hAnsi="Garamond"/>
        </w:rPr>
        <w:t xml:space="preserve">Several observations are critical here. First, the Law addresses assault in terms of outcomes: fatal assault incurs the death penalty; non-fatal but incapacitating assault requires compensation for lost wages and medical care; lesser injuries invoke proportional response. Second, and more </w:t>
      </w:r>
      <w:r w:rsidRPr="00027A22">
        <w:rPr>
          <w:rFonts w:ascii="Garamond" w:hAnsi="Garamond"/>
        </w:rPr>
        <w:lastRenderedPageBreak/>
        <w:t>importantly for our purposes, the Law contains no exception for “righteous anger” or “good intentions.” It is outcome-based. If you strike someone, you are liable regardless of your reasons.</w:t>
      </w:r>
    </w:p>
    <w:p w14:paraId="0415160D" w14:textId="77777777" w:rsidR="007B2C4A" w:rsidRPr="00027A22" w:rsidRDefault="00000000">
      <w:pPr>
        <w:rPr>
          <w:rFonts w:ascii="Garamond" w:hAnsi="Garamond"/>
        </w:rPr>
      </w:pPr>
      <w:r w:rsidRPr="00027A22">
        <w:rPr>
          <w:rFonts w:ascii="Garamond" w:hAnsi="Garamond"/>
        </w:rPr>
        <w:t>Third, and most significantly, there is no provision in the Mosaic Law allowing private individuals to use force to enforce religious purity. That authority belonged to the priests and the Sanhedrin. The Law establishes judicial procedures for addressing wrongdoing (Deuteronomy 16:18-20, 17:8-13); it does not authorize vigilante action, however well-motivated.</w:t>
      </w:r>
    </w:p>
    <w:p w14:paraId="37FBA134" w14:textId="77777777" w:rsidR="007B2C4A" w:rsidRPr="00027A22" w:rsidRDefault="00000000">
      <w:pPr>
        <w:rPr>
          <w:rFonts w:ascii="Garamond" w:hAnsi="Garamond"/>
        </w:rPr>
      </w:pPr>
      <w:r w:rsidRPr="00027A22">
        <w:rPr>
          <w:rFonts w:ascii="Garamond" w:hAnsi="Garamond"/>
        </w:rPr>
        <w:t xml:space="preserve">An important distinction must be made here between liability and sin. One might argue that the Mosaic provisions concern penalties (what happens after the fact) rather than the threshold for transgression. But this </w:t>
      </w:r>
      <w:proofErr w:type="gramStart"/>
      <w:r w:rsidRPr="00027A22">
        <w:rPr>
          <w:rFonts w:ascii="Garamond" w:hAnsi="Garamond"/>
        </w:rPr>
        <w:t>conflates</w:t>
      </w:r>
      <w:proofErr w:type="gramEnd"/>
      <w:r w:rsidRPr="00027A22">
        <w:rPr>
          <w:rFonts w:ascii="Garamond" w:hAnsi="Garamond"/>
        </w:rPr>
        <w:t xml:space="preserve"> two separate questions. The penalties exist precisely because the underlying act is wrong. You do not compensate someone for something that was not a transgression in the first place. The sin occurs at the moment of the unlawful act; the varying penalties address degrees of harm. Even if Jesus injured no one, the act of using force against persons without lawful authority constitutes the transgression. The sin is not contingent on someone ending up bedridden.</w:t>
      </w:r>
    </w:p>
    <w:p w14:paraId="4B640F5F" w14:textId="77777777" w:rsidR="007B2C4A" w:rsidRPr="00027A22" w:rsidRDefault="00000000">
      <w:pPr>
        <w:pStyle w:val="Heading1"/>
        <w:rPr>
          <w:rFonts w:ascii="Garamond" w:hAnsi="Garamond"/>
        </w:rPr>
      </w:pPr>
      <w:r w:rsidRPr="00027A22">
        <w:rPr>
          <w:rFonts w:ascii="Garamond" w:hAnsi="Garamond"/>
        </w:rPr>
        <w:t>V. The Theological Stakes</w:t>
      </w:r>
    </w:p>
    <w:p w14:paraId="58AE944A" w14:textId="77777777" w:rsidR="007B2C4A" w:rsidRPr="00027A22" w:rsidRDefault="00000000">
      <w:pPr>
        <w:rPr>
          <w:rFonts w:ascii="Garamond" w:hAnsi="Garamond"/>
        </w:rPr>
      </w:pPr>
      <w:r w:rsidRPr="00027A22">
        <w:rPr>
          <w:rFonts w:ascii="Garamond" w:hAnsi="Garamond"/>
        </w:rPr>
        <w:t>If the argument presented thus far is sound, the implications for Christian theology are severe. They may be summarized in a logical chain:</w:t>
      </w:r>
    </w:p>
    <w:p w14:paraId="3C7BC07C" w14:textId="77777777" w:rsidR="007B2C4A" w:rsidRPr="00027A22" w:rsidRDefault="00000000">
      <w:pPr>
        <w:ind w:left="720" w:firstLine="0"/>
        <w:rPr>
          <w:rFonts w:ascii="Garamond" w:hAnsi="Garamond"/>
        </w:rPr>
      </w:pPr>
      <w:r w:rsidRPr="00027A22">
        <w:rPr>
          <w:rFonts w:ascii="Garamond" w:hAnsi="Garamond"/>
        </w:rPr>
        <w:t>(1) Jesus was under the Mosaic Law (scripture explicitly states this).</w:t>
      </w:r>
    </w:p>
    <w:p w14:paraId="72943A92" w14:textId="77777777" w:rsidR="007B2C4A" w:rsidRPr="00027A22" w:rsidRDefault="00000000">
      <w:pPr>
        <w:ind w:left="720" w:firstLine="0"/>
        <w:rPr>
          <w:rFonts w:ascii="Garamond" w:hAnsi="Garamond"/>
        </w:rPr>
      </w:pPr>
      <w:r w:rsidRPr="00027A22">
        <w:rPr>
          <w:rFonts w:ascii="Garamond" w:hAnsi="Garamond"/>
        </w:rPr>
        <w:t>(2) The Mosaic Law prohibits using force against others without lawful authority.</w:t>
      </w:r>
    </w:p>
    <w:p w14:paraId="3B97F7F6" w14:textId="77777777" w:rsidR="007B2C4A" w:rsidRPr="00027A22" w:rsidRDefault="00000000">
      <w:pPr>
        <w:ind w:left="720" w:firstLine="0"/>
        <w:rPr>
          <w:rFonts w:ascii="Garamond" w:hAnsi="Garamond"/>
        </w:rPr>
      </w:pPr>
      <w:r w:rsidRPr="00027A22">
        <w:rPr>
          <w:rFonts w:ascii="Garamond" w:hAnsi="Garamond"/>
        </w:rPr>
        <w:t>(3) Jesus used force in the temple (whip, physical expulsion, property destruction).</w:t>
      </w:r>
    </w:p>
    <w:p w14:paraId="50107B32" w14:textId="77777777" w:rsidR="007B2C4A" w:rsidRPr="00027A22" w:rsidRDefault="00000000">
      <w:pPr>
        <w:ind w:left="720" w:firstLine="0"/>
        <w:rPr>
          <w:rFonts w:ascii="Garamond" w:hAnsi="Garamond"/>
        </w:rPr>
      </w:pPr>
      <w:r w:rsidRPr="00027A22">
        <w:rPr>
          <w:rFonts w:ascii="Garamond" w:hAnsi="Garamond"/>
        </w:rPr>
        <w:t>(4) Therefore, Jesus transgressed the Law.</w:t>
      </w:r>
    </w:p>
    <w:p w14:paraId="23531D69" w14:textId="77777777" w:rsidR="007B2C4A" w:rsidRPr="00027A22" w:rsidRDefault="00000000">
      <w:pPr>
        <w:ind w:left="720" w:firstLine="0"/>
        <w:rPr>
          <w:rFonts w:ascii="Garamond" w:hAnsi="Garamond"/>
        </w:rPr>
      </w:pPr>
      <w:r w:rsidRPr="00027A22">
        <w:rPr>
          <w:rFonts w:ascii="Garamond" w:hAnsi="Garamond"/>
        </w:rPr>
        <w:t>(5) Transgressing the Law is sin (1 John 3:4).</w:t>
      </w:r>
    </w:p>
    <w:p w14:paraId="469BFC5E" w14:textId="77777777" w:rsidR="007B2C4A" w:rsidRPr="00027A22" w:rsidRDefault="00000000">
      <w:pPr>
        <w:ind w:left="720" w:firstLine="0"/>
        <w:rPr>
          <w:rFonts w:ascii="Garamond" w:hAnsi="Garamond"/>
        </w:rPr>
      </w:pPr>
      <w:r w:rsidRPr="00027A22">
        <w:rPr>
          <w:rFonts w:ascii="Garamond" w:hAnsi="Garamond"/>
        </w:rPr>
        <w:t>(6) Therefore, Jesus sinned.</w:t>
      </w:r>
    </w:p>
    <w:p w14:paraId="692D76F7" w14:textId="77777777" w:rsidR="007B2C4A" w:rsidRPr="00027A22" w:rsidRDefault="00000000">
      <w:pPr>
        <w:ind w:left="720" w:firstLine="0"/>
        <w:rPr>
          <w:rFonts w:ascii="Garamond" w:hAnsi="Garamond"/>
        </w:rPr>
      </w:pPr>
      <w:r w:rsidRPr="00027A22">
        <w:rPr>
          <w:rFonts w:ascii="Garamond" w:hAnsi="Garamond"/>
        </w:rPr>
        <w:t>(7) A sinful Jesus cannot be the unblemished sacrifice.</w:t>
      </w:r>
    </w:p>
    <w:p w14:paraId="1039D340" w14:textId="77777777" w:rsidR="007B2C4A" w:rsidRPr="00027A22" w:rsidRDefault="00000000">
      <w:pPr>
        <w:ind w:left="720" w:firstLine="0"/>
        <w:rPr>
          <w:rFonts w:ascii="Garamond" w:hAnsi="Garamond"/>
        </w:rPr>
      </w:pPr>
      <w:r w:rsidRPr="00027A22">
        <w:rPr>
          <w:rFonts w:ascii="Garamond" w:hAnsi="Garamond"/>
        </w:rPr>
        <w:t>(8) Atonement doctrine fails.</w:t>
      </w:r>
    </w:p>
    <w:p w14:paraId="1569F8D9" w14:textId="77777777" w:rsidR="007B2C4A" w:rsidRPr="00027A22" w:rsidRDefault="00000000">
      <w:pPr>
        <w:spacing w:after="240"/>
        <w:ind w:left="720" w:firstLine="0"/>
        <w:rPr>
          <w:rFonts w:ascii="Garamond" w:hAnsi="Garamond"/>
        </w:rPr>
      </w:pPr>
      <w:r w:rsidRPr="00027A22">
        <w:rPr>
          <w:rFonts w:ascii="Garamond" w:hAnsi="Garamond"/>
        </w:rPr>
        <w:lastRenderedPageBreak/>
        <w:t>(9) Christianity’s core soteriological claim collapses.</w:t>
      </w:r>
    </w:p>
    <w:p w14:paraId="1D7C51F5" w14:textId="77777777" w:rsidR="007B2C4A" w:rsidRPr="00027A22" w:rsidRDefault="00000000">
      <w:pPr>
        <w:rPr>
          <w:rFonts w:ascii="Garamond" w:hAnsi="Garamond"/>
        </w:rPr>
      </w:pPr>
      <w:r w:rsidRPr="00027A22">
        <w:rPr>
          <w:rFonts w:ascii="Garamond" w:hAnsi="Garamond"/>
        </w:rPr>
        <w:t>The doctrine of substitutionary atonement is grounded in the Levitical sacrificial system, which required offerings to be “without blemish” (Leviticus 1:3, 10; 3:1, 6; 4:3, etc.). Paul explicitly makes this connection: Christ is “our Passover lamb” (1 Corinthians 5:7). The author of Hebrews develops this at length, describing Jesus as a high priest who “has no need, like those high priests, to offer sacrifices daily, first for his own sins and then for those of the people” (Hebrews 7:27). If Jesus did have his own sins, this entire framework dissolves.</w:t>
      </w:r>
    </w:p>
    <w:p w14:paraId="4560F587" w14:textId="77777777" w:rsidR="007B2C4A" w:rsidRPr="00027A22" w:rsidRDefault="00000000">
      <w:pPr>
        <w:rPr>
          <w:rFonts w:ascii="Garamond" w:hAnsi="Garamond"/>
        </w:rPr>
      </w:pPr>
      <w:r w:rsidRPr="00027A22">
        <w:rPr>
          <w:rFonts w:ascii="Garamond" w:hAnsi="Garamond"/>
        </w:rPr>
        <w:t>Moreover, if the claim of sinlessness is false, then the multiple scriptural assertions of that claim are false, raising broader questions about scriptural reliability. And if Jesus sinned, his resurrection—theologically framed as God’s vindication of his life and mission—becomes problematic: what exactly is being vindicated?</w:t>
      </w:r>
    </w:p>
    <w:p w14:paraId="33B8077F" w14:textId="77777777" w:rsidR="007B2C4A" w:rsidRPr="00027A22" w:rsidRDefault="00000000">
      <w:pPr>
        <w:pStyle w:val="Heading1"/>
        <w:rPr>
          <w:rFonts w:ascii="Garamond" w:hAnsi="Garamond"/>
        </w:rPr>
      </w:pPr>
      <w:r w:rsidRPr="00027A22">
        <w:rPr>
          <w:rFonts w:ascii="Garamond" w:hAnsi="Garamond"/>
        </w:rPr>
        <w:t>VI. Standard Apologetic Responses</w:t>
      </w:r>
    </w:p>
    <w:p w14:paraId="3604699B" w14:textId="77777777" w:rsidR="007B2C4A" w:rsidRPr="00027A22" w:rsidRDefault="00000000">
      <w:pPr>
        <w:rPr>
          <w:rFonts w:ascii="Garamond" w:hAnsi="Garamond"/>
        </w:rPr>
      </w:pPr>
      <w:r w:rsidRPr="00027A22">
        <w:rPr>
          <w:rFonts w:ascii="Garamond" w:hAnsi="Garamond"/>
        </w:rPr>
        <w:t>Christian apologists have offered various defenses of Jesus’s conduct in the temple. This section surveys the most common responses and explains why each fails to resolve the difficulty.</w:t>
      </w:r>
    </w:p>
    <w:p w14:paraId="62542A4F" w14:textId="77777777" w:rsidR="007B2C4A" w:rsidRPr="00027A22" w:rsidRDefault="00000000">
      <w:pPr>
        <w:pStyle w:val="Heading2"/>
        <w:rPr>
          <w:rFonts w:ascii="Garamond" w:hAnsi="Garamond"/>
        </w:rPr>
      </w:pPr>
      <w:r w:rsidRPr="00027A22">
        <w:rPr>
          <w:rFonts w:ascii="Garamond" w:hAnsi="Garamond"/>
        </w:rPr>
        <w:t>A. The Righteous Anger Defense</w:t>
      </w:r>
    </w:p>
    <w:p w14:paraId="51E81215" w14:textId="77777777" w:rsidR="007B2C4A" w:rsidRPr="00027A22" w:rsidRDefault="00000000">
      <w:pPr>
        <w:rPr>
          <w:rFonts w:ascii="Garamond" w:hAnsi="Garamond"/>
        </w:rPr>
      </w:pPr>
      <w:r w:rsidRPr="00027A22">
        <w:rPr>
          <w:rFonts w:ascii="Garamond" w:hAnsi="Garamond"/>
        </w:rPr>
        <w:t>The most common response appeals to the concept of “righteous anger.” Ephesians 4:26 instructs, “Be angry and do not sin,” indicating that anger itself is not necessarily sinful. Apologists argue that Jesus’s anger was directed at genuine wrongdoing—the exploitation of poor worshippers, the commercialization of sacred space—and was therefore justified.</w:t>
      </w:r>
    </w:p>
    <w:p w14:paraId="4F0A935C" w14:textId="77777777" w:rsidR="007B2C4A" w:rsidRPr="00027A22" w:rsidRDefault="00000000">
      <w:pPr>
        <w:rPr>
          <w:rFonts w:ascii="Garamond" w:hAnsi="Garamond"/>
        </w:rPr>
      </w:pPr>
      <w:r w:rsidRPr="00027A22">
        <w:rPr>
          <w:rFonts w:ascii="Garamond" w:hAnsi="Garamond"/>
        </w:rPr>
        <w:t>This response misses the point. The argument is not that Jesus’s anger was sinful, but that his actions were. One can be righteously angry and still respond sinfully. A man who discovers his employer has been cheating workers may be righteously angry, but if he responds by assaulting the employer and destroying his property, he has committed crimes regardless of his justified emotional state. The question is not whether Jesus had good reason to be upset, but whether his method of expressing that upset violated the Law.</w:t>
      </w:r>
    </w:p>
    <w:p w14:paraId="744E27D1" w14:textId="77777777" w:rsidR="00027A22" w:rsidRPr="00027A22" w:rsidRDefault="00027A22">
      <w:pPr>
        <w:spacing w:after="0" w:line="240" w:lineRule="auto"/>
        <w:ind w:firstLine="0"/>
        <w:rPr>
          <w:rFonts w:ascii="Garamond" w:hAnsi="Garamond"/>
          <w:b/>
          <w:bCs/>
        </w:rPr>
      </w:pPr>
      <w:r w:rsidRPr="00027A22">
        <w:rPr>
          <w:rFonts w:ascii="Garamond" w:hAnsi="Garamond"/>
        </w:rPr>
        <w:br w:type="page"/>
      </w:r>
    </w:p>
    <w:p w14:paraId="63C40131" w14:textId="3511509B" w:rsidR="007B2C4A" w:rsidRPr="00027A22" w:rsidRDefault="00000000">
      <w:pPr>
        <w:pStyle w:val="Heading2"/>
        <w:rPr>
          <w:rFonts w:ascii="Garamond" w:hAnsi="Garamond"/>
        </w:rPr>
      </w:pPr>
      <w:r w:rsidRPr="00027A22">
        <w:rPr>
          <w:rFonts w:ascii="Garamond" w:hAnsi="Garamond"/>
        </w:rPr>
        <w:lastRenderedPageBreak/>
        <w:t>B. The Exploitation Defense</w:t>
      </w:r>
    </w:p>
    <w:p w14:paraId="716EADA8" w14:textId="77777777" w:rsidR="007B2C4A" w:rsidRPr="00027A22" w:rsidRDefault="00000000">
      <w:pPr>
        <w:rPr>
          <w:rFonts w:ascii="Garamond" w:hAnsi="Garamond"/>
        </w:rPr>
      </w:pPr>
      <w:r w:rsidRPr="00027A22">
        <w:rPr>
          <w:rFonts w:ascii="Garamond" w:hAnsi="Garamond"/>
        </w:rPr>
        <w:t>A related defense emphasizes that the money changers and animal sellers were exploiting worshippers through inflated prices and unfair exchange rates. Jesus’s reference to a “den of robbers” (Mark 11:17, citing Jeremiah 7:11) suggests criminal activity. If the merchants were themselves violating the Law, does this not justify Jesus’s response?</w:t>
      </w:r>
    </w:p>
    <w:p w14:paraId="3E0905B6" w14:textId="77777777" w:rsidR="007B2C4A" w:rsidRPr="00027A22" w:rsidRDefault="00000000">
      <w:pPr>
        <w:rPr>
          <w:rFonts w:ascii="Garamond" w:hAnsi="Garamond"/>
        </w:rPr>
      </w:pPr>
      <w:r w:rsidRPr="00027A22">
        <w:rPr>
          <w:rFonts w:ascii="Garamond" w:hAnsi="Garamond"/>
        </w:rPr>
        <w:t>It does not. Even if the merchants were engaged in unethical or illegal practices, the appropriate response under the Mosaic system was to report them to the appropriate authorities—the priests or the Sanhedrin—not to take vigilante action. The Law establishes judicial procedures for precisely this reason. Moreover, it is not clear that the merchants were violating any law. Their presence in the Court of the Gentiles was sanctioned by the temple authorities. Jesus’s objection appears to be that commerce of any kind was inappropriate in that space, not that this particular commerce was fraudulent.</w:t>
      </w:r>
    </w:p>
    <w:p w14:paraId="7B2CDE5F" w14:textId="77777777" w:rsidR="007B2C4A" w:rsidRPr="00027A22" w:rsidRDefault="00000000">
      <w:pPr>
        <w:pStyle w:val="Heading2"/>
        <w:rPr>
          <w:rFonts w:ascii="Garamond" w:hAnsi="Garamond"/>
        </w:rPr>
      </w:pPr>
      <w:r w:rsidRPr="00027A22">
        <w:rPr>
          <w:rFonts w:ascii="Garamond" w:hAnsi="Garamond"/>
        </w:rPr>
        <w:t>C. The Divine Authority Defense</w:t>
      </w:r>
    </w:p>
    <w:p w14:paraId="035BD8C1" w14:textId="77777777" w:rsidR="007B2C4A" w:rsidRPr="00027A22" w:rsidRDefault="00000000">
      <w:pPr>
        <w:rPr>
          <w:rFonts w:ascii="Garamond" w:hAnsi="Garamond"/>
        </w:rPr>
      </w:pPr>
      <w:r w:rsidRPr="00027A22">
        <w:rPr>
          <w:rFonts w:ascii="Garamond" w:hAnsi="Garamond"/>
        </w:rPr>
        <w:t>Perhaps the most sophisticated defense argues that Jesus, as God incarnate, had unique authority over the temple—“my Father’s house” (John 2:16). Just as a property owner may evict trespassers, Jesus had jurisdiction that superseded any permission the Sanhedrin had granted. On this view, Jesus was not a private citizen taking the law into his own hands, but the owner exercising his rightful authority.</w:t>
      </w:r>
    </w:p>
    <w:p w14:paraId="75970980" w14:textId="77777777" w:rsidR="007B2C4A" w:rsidRPr="00027A22" w:rsidRDefault="00000000">
      <w:pPr>
        <w:rPr>
          <w:rFonts w:ascii="Garamond" w:hAnsi="Garamond"/>
        </w:rPr>
      </w:pPr>
      <w:r w:rsidRPr="00027A22">
        <w:rPr>
          <w:rFonts w:ascii="Garamond" w:hAnsi="Garamond"/>
        </w:rPr>
        <w:t>This response is more serious but ultimately fails for two reasons. First, it amounts to special pleading. The defense essentially argues that Jesus was subject to the Law except when his divine nature provided an exemption. But this creates a two-tiered morality: actions that would be sinful for any other Jew were not sinful for Jesus because of who he was. This may be coherent, but it abandons the premise that Jesus was meaningfully “under the Law.”</w:t>
      </w:r>
    </w:p>
    <w:p w14:paraId="3E5465D7" w14:textId="77777777" w:rsidR="007B2C4A" w:rsidRPr="00027A22" w:rsidRDefault="00000000">
      <w:pPr>
        <w:rPr>
          <w:rFonts w:ascii="Garamond" w:hAnsi="Garamond"/>
        </w:rPr>
      </w:pPr>
      <w:r w:rsidRPr="00027A22">
        <w:rPr>
          <w:rFonts w:ascii="Garamond" w:hAnsi="Garamond"/>
        </w:rPr>
        <w:t>Second, and more fundamentally, this defense collapses into a form of divine command theory that evacuates the concept of objective morality. If “whatever Jesus does is righteous because he is God,” then the claim of sinlessness becomes circular and unfalsifiable. It would be impossible for Jesus to sin, not because he chose righteousness over temptation, but because “sin” is simply redefined to exclude whatever he did. This renders the sinlessness claim theologically empty—and creates serious problems for the Euthyphro dilemma, to which we now turn.</w:t>
      </w:r>
    </w:p>
    <w:p w14:paraId="46D3CA23" w14:textId="77777777" w:rsidR="007B2C4A" w:rsidRPr="00027A22" w:rsidRDefault="00000000">
      <w:pPr>
        <w:pStyle w:val="Heading2"/>
        <w:rPr>
          <w:rFonts w:ascii="Garamond" w:hAnsi="Garamond"/>
        </w:rPr>
      </w:pPr>
      <w:r w:rsidRPr="00027A22">
        <w:rPr>
          <w:rFonts w:ascii="Garamond" w:hAnsi="Garamond"/>
        </w:rPr>
        <w:lastRenderedPageBreak/>
        <w:t>D. The Whip Was for Animals Defense</w:t>
      </w:r>
    </w:p>
    <w:p w14:paraId="45FE832C" w14:textId="77777777" w:rsidR="007B2C4A" w:rsidRPr="00027A22" w:rsidRDefault="00000000">
      <w:pPr>
        <w:rPr>
          <w:rFonts w:ascii="Garamond" w:hAnsi="Garamond"/>
        </w:rPr>
      </w:pPr>
      <w:r w:rsidRPr="00027A22">
        <w:rPr>
          <w:rFonts w:ascii="Garamond" w:hAnsi="Garamond"/>
        </w:rPr>
        <w:t>Some apologists argue that the whip mentioned in John’s account was used only on the animals, not the people. The Greek text can be read to support this: “he drove them all out of the temple, with the sheep and oxen” (John 2:15) might mean he drove out the animals, not the merchants themselves.</w:t>
      </w:r>
    </w:p>
    <w:p w14:paraId="4FFAFC62" w14:textId="77777777" w:rsidR="007B2C4A" w:rsidRPr="00027A22" w:rsidRDefault="00000000">
      <w:pPr>
        <w:rPr>
          <w:rFonts w:ascii="Garamond" w:hAnsi="Garamond"/>
        </w:rPr>
      </w:pPr>
      <w:r w:rsidRPr="00027A22">
        <w:rPr>
          <w:rFonts w:ascii="Garamond" w:hAnsi="Garamond"/>
        </w:rPr>
        <w:t>Even granting this reading, it does not resolve the difficulty. The Synoptic accounts, which do not mention a whip, still describe Jesus physically driving out people and overturning their tables. Mark explicitly states he “would not allow anyone to carry anything through the temple” (11:16)—physical prevention of lawful activity. The whip is a detail; the broader pattern of using force to expel people from a space where they were legally permitted to be is consistent across all four accounts.</w:t>
      </w:r>
    </w:p>
    <w:p w14:paraId="6AB12DCA" w14:textId="77777777" w:rsidR="007B2C4A" w:rsidRPr="00027A22" w:rsidRDefault="00000000">
      <w:pPr>
        <w:pStyle w:val="Heading2"/>
        <w:rPr>
          <w:rFonts w:ascii="Garamond" w:hAnsi="Garamond"/>
        </w:rPr>
      </w:pPr>
      <w:r w:rsidRPr="00027A22">
        <w:rPr>
          <w:rFonts w:ascii="Garamond" w:hAnsi="Garamond"/>
        </w:rPr>
        <w:t>E. The Prophetic Action Defense</w:t>
      </w:r>
    </w:p>
    <w:p w14:paraId="2A3697B2" w14:textId="77777777" w:rsidR="007B2C4A" w:rsidRPr="00027A22" w:rsidRDefault="00000000">
      <w:pPr>
        <w:rPr>
          <w:rFonts w:ascii="Garamond" w:hAnsi="Garamond"/>
        </w:rPr>
      </w:pPr>
      <w:r w:rsidRPr="00027A22">
        <w:rPr>
          <w:rFonts w:ascii="Garamond" w:hAnsi="Garamond"/>
        </w:rPr>
        <w:t>Some defenders appeal to the tradition of prophetic symbolic action. Prophets like Ezekiel and Jeremiah performed strange, dramatic acts to make theological points. Could the temple incident be understood as prophetic theater rather than genuine violence?</w:t>
      </w:r>
    </w:p>
    <w:p w14:paraId="0B663E11" w14:textId="77777777" w:rsidR="007B2C4A" w:rsidRPr="00027A22" w:rsidRDefault="00000000">
      <w:pPr>
        <w:rPr>
          <w:rFonts w:ascii="Garamond" w:hAnsi="Garamond"/>
        </w:rPr>
      </w:pPr>
      <w:r w:rsidRPr="00027A22">
        <w:rPr>
          <w:rFonts w:ascii="Garamond" w:hAnsi="Garamond"/>
        </w:rPr>
        <w:t>This defense has some merit but does not fully address the problem. Prophetic symbolic actions in the Hebrew Bible typically involved the prophet’s own person or property—Jeremiah breaking his own pot (Jeremiah 19), Ezekiel lying on his side (Ezekiel 4)—not the use of force against others. There is a significant difference between breaking your own pottery to make a point and overturning someone else’s table. Moreover, this defense does not engage with the legal question: even a prophetic purpose does not exempt one from the Law.</w:t>
      </w:r>
    </w:p>
    <w:p w14:paraId="6C67C0B4" w14:textId="77777777" w:rsidR="007B2C4A" w:rsidRPr="00027A22" w:rsidRDefault="00000000">
      <w:pPr>
        <w:pStyle w:val="Heading2"/>
        <w:rPr>
          <w:rFonts w:ascii="Garamond" w:hAnsi="Garamond"/>
        </w:rPr>
      </w:pPr>
      <w:r w:rsidRPr="00027A22">
        <w:rPr>
          <w:rFonts w:ascii="Garamond" w:hAnsi="Garamond"/>
        </w:rPr>
        <w:t>F. The Phinehas Precedent</w:t>
      </w:r>
    </w:p>
    <w:p w14:paraId="6358B1E0" w14:textId="77777777" w:rsidR="007B2C4A" w:rsidRPr="00027A22" w:rsidRDefault="00000000">
      <w:pPr>
        <w:rPr>
          <w:rFonts w:ascii="Garamond" w:hAnsi="Garamond"/>
        </w:rPr>
      </w:pPr>
      <w:r w:rsidRPr="00027A22">
        <w:rPr>
          <w:rFonts w:ascii="Garamond" w:hAnsi="Garamond"/>
        </w:rPr>
        <w:t>A more interesting defense appeals to Numbers 25, where Phinehas kills an Israelite and his Midianite wife for apostasy—without prior authorization—and is praised by God for his “zeal.” Does this establish a precedent for extrajudicial action in defense of God’s honor?</w:t>
      </w:r>
    </w:p>
    <w:p w14:paraId="5CACBB36" w14:textId="77777777" w:rsidR="007B2C4A" w:rsidRPr="00027A22" w:rsidRDefault="00000000">
      <w:pPr>
        <w:rPr>
          <w:rFonts w:ascii="Garamond" w:hAnsi="Garamond"/>
        </w:rPr>
      </w:pPr>
      <w:r w:rsidRPr="00027A22">
        <w:rPr>
          <w:rFonts w:ascii="Garamond" w:hAnsi="Garamond"/>
        </w:rPr>
        <w:t xml:space="preserve">The Phinehas narrative is indeed striking, but it raises as many problems as it solves. First, God explicitly endorses Phinehas’s action after the fact (Numbers 25:10-13); we have no such endorsement for the temple incident. Second, if we accept that God can authorize actions that </w:t>
      </w:r>
      <w:r w:rsidRPr="00027A22">
        <w:rPr>
          <w:rFonts w:ascii="Garamond" w:hAnsi="Garamond"/>
        </w:rPr>
        <w:lastRenderedPageBreak/>
        <w:t>would otherwise violate the moral law, we have again collapsed into divine command theory: morality becomes whatever God happens to approve. Third, and most importantly, one cannot know in advance whether one’s extrajudicial violence will receive divine endorsement. If the defense is “Jesus knew because he was God,” we are back to the circularity problem: his actions were right because he was God, and we know he was God because his actions were right.</w:t>
      </w:r>
    </w:p>
    <w:p w14:paraId="6996E27A" w14:textId="77777777" w:rsidR="007B2C4A" w:rsidRPr="00027A22" w:rsidRDefault="00000000">
      <w:pPr>
        <w:pStyle w:val="Heading1"/>
        <w:rPr>
          <w:rFonts w:ascii="Garamond" w:hAnsi="Garamond"/>
        </w:rPr>
      </w:pPr>
      <w:r w:rsidRPr="00027A22">
        <w:rPr>
          <w:rFonts w:ascii="Garamond" w:hAnsi="Garamond"/>
        </w:rPr>
        <w:t>VII. The Euthyphro Problem</w:t>
      </w:r>
    </w:p>
    <w:p w14:paraId="5C7B56AF" w14:textId="77777777" w:rsidR="007B2C4A" w:rsidRPr="00027A22" w:rsidRDefault="00000000">
      <w:pPr>
        <w:rPr>
          <w:rFonts w:ascii="Garamond" w:hAnsi="Garamond"/>
        </w:rPr>
      </w:pPr>
      <w:r w:rsidRPr="00027A22">
        <w:rPr>
          <w:rFonts w:ascii="Garamond" w:hAnsi="Garamond"/>
        </w:rPr>
        <w:t>The divine authority defense exposes a deeper philosophical problem. If we maintain that Jesus’s actions were righteous simply because Jesus did them, we have endorsed a form of divine command theory that faces the classical Euthyphro dilemma: Is an action good because God commands (or performs) it, or does God command (or perform) it because it is good?</w:t>
      </w:r>
    </w:p>
    <w:p w14:paraId="02B954CA" w14:textId="77777777" w:rsidR="007B2C4A" w:rsidRPr="00027A22" w:rsidRDefault="00000000">
      <w:pPr>
        <w:rPr>
          <w:rFonts w:ascii="Garamond" w:hAnsi="Garamond"/>
        </w:rPr>
      </w:pPr>
      <w:r w:rsidRPr="00027A22">
        <w:rPr>
          <w:rFonts w:ascii="Garamond" w:hAnsi="Garamond"/>
        </w:rPr>
        <w:t>If we take the first horn—actions are good because God does them—then morality becomes arbitrary. There is no independent standard of goodness; “good” simply means “whatever God does.” The claim that Jesus was “sinless” becomes trivially true: he cannot sin by definition, since sin is whatever God doesn’t do. But this empties the concept of moral content. It would have been impossible for Jesus to sin, not through moral achievement, but through definitional fiat.</w:t>
      </w:r>
    </w:p>
    <w:p w14:paraId="1AF67B5D" w14:textId="77777777" w:rsidR="007B2C4A" w:rsidRPr="00027A22" w:rsidRDefault="00000000">
      <w:pPr>
        <w:rPr>
          <w:rFonts w:ascii="Garamond" w:hAnsi="Garamond"/>
        </w:rPr>
      </w:pPr>
      <w:r w:rsidRPr="00027A22">
        <w:rPr>
          <w:rFonts w:ascii="Garamond" w:hAnsi="Garamond"/>
        </w:rPr>
        <w:t>If we take the second horn—God acts according to an independent standard of goodness—then that standard can be applied to evaluate divine actions. And if the standard includes prohibitions on assault and property destruction without legitimate authority, then Jesus’s actions in the temple were violations of that standard.</w:t>
      </w:r>
    </w:p>
    <w:p w14:paraId="7CE7582E" w14:textId="77777777" w:rsidR="007B2C4A" w:rsidRPr="00027A22" w:rsidRDefault="00000000">
      <w:pPr>
        <w:rPr>
          <w:rFonts w:ascii="Garamond" w:hAnsi="Garamond"/>
        </w:rPr>
      </w:pPr>
      <w:r w:rsidRPr="00027A22">
        <w:rPr>
          <w:rFonts w:ascii="Garamond" w:hAnsi="Garamond"/>
        </w:rPr>
        <w:t>Catholic theology, following Aquinas, has traditionally sought a middle path: God neither conforms to an external standard nor arbitrarily wills morality; rather, God’s nature is goodness itself, and moral truths flow necessarily from the divine essence. This is philosophically elegant, but it does not resolve the present difficulty. If assault without authority is contrary to the divine nature—and the Mosaic Law, which purportedly expresses that nature, suggests it is—then Jesus’s temple conduct requires explanation. The Thomistic response would presumably appeal to Jesus’s divine authority, but this returns us to the special pleading objection: if different moral rules apply to God than to creatures, the concept of objective morality applicable to both becomes strained.</w:t>
      </w:r>
    </w:p>
    <w:p w14:paraId="62F39112" w14:textId="77777777" w:rsidR="00027A22" w:rsidRPr="00027A22" w:rsidRDefault="00027A22">
      <w:pPr>
        <w:spacing w:after="0" w:line="240" w:lineRule="auto"/>
        <w:ind w:firstLine="0"/>
        <w:rPr>
          <w:rFonts w:ascii="Garamond" w:hAnsi="Garamond"/>
          <w:b/>
          <w:bCs/>
          <w:sz w:val="28"/>
          <w:szCs w:val="28"/>
        </w:rPr>
      </w:pPr>
      <w:r w:rsidRPr="00027A22">
        <w:rPr>
          <w:rFonts w:ascii="Garamond" w:hAnsi="Garamond"/>
        </w:rPr>
        <w:br w:type="page"/>
      </w:r>
    </w:p>
    <w:p w14:paraId="522ED2CC" w14:textId="357BA19B" w:rsidR="007B2C4A" w:rsidRPr="00027A22" w:rsidRDefault="00000000">
      <w:pPr>
        <w:pStyle w:val="Heading1"/>
        <w:rPr>
          <w:rFonts w:ascii="Garamond" w:hAnsi="Garamond"/>
        </w:rPr>
      </w:pPr>
      <w:r w:rsidRPr="00027A22">
        <w:rPr>
          <w:rFonts w:ascii="Garamond" w:hAnsi="Garamond"/>
        </w:rPr>
        <w:lastRenderedPageBreak/>
        <w:t>VIII. The Unavailable Alternative</w:t>
      </w:r>
    </w:p>
    <w:p w14:paraId="6959C023" w14:textId="77777777" w:rsidR="007B2C4A" w:rsidRPr="00027A22" w:rsidRDefault="00000000">
      <w:pPr>
        <w:rPr>
          <w:rFonts w:ascii="Garamond" w:hAnsi="Garamond"/>
        </w:rPr>
      </w:pPr>
      <w:r w:rsidRPr="00027A22">
        <w:rPr>
          <w:rFonts w:ascii="Garamond" w:hAnsi="Garamond"/>
        </w:rPr>
        <w:t>The force of this argument depends on Jesus having had viable alternatives. If driving out the merchants by force was the only available option, the moral calculus might be different. But this was clearly not the case.</w:t>
      </w:r>
    </w:p>
    <w:p w14:paraId="332CEB5D" w14:textId="77777777" w:rsidR="007B2C4A" w:rsidRPr="00027A22" w:rsidRDefault="00000000">
      <w:pPr>
        <w:rPr>
          <w:rFonts w:ascii="Garamond" w:hAnsi="Garamond"/>
        </w:rPr>
      </w:pPr>
      <w:r w:rsidRPr="00027A22">
        <w:rPr>
          <w:rFonts w:ascii="Garamond" w:hAnsi="Garamond"/>
        </w:rPr>
        <w:t>Jesus was, by all accounts, a skilled teacher and persuader. His dialogues with religious authorities demonstrate sophisticated argumentation. He had followers and growing influence. Peaceful alternatives were readily available: he could have petitioned the Sanhedrin, preached publicly against the practice, organized a boycott among his followers, or appealed to sympathetic Pharisees (some of whom likely shared concerns about temple commerce). He chose none of these. Instead, he fashioned a weapon and used physical force.</w:t>
      </w:r>
    </w:p>
    <w:p w14:paraId="5D4E10CC" w14:textId="77777777" w:rsidR="007B2C4A" w:rsidRPr="00027A22" w:rsidRDefault="00000000">
      <w:pPr>
        <w:rPr>
          <w:rFonts w:ascii="Garamond" w:hAnsi="Garamond"/>
        </w:rPr>
      </w:pPr>
      <w:r w:rsidRPr="00027A22">
        <w:rPr>
          <w:rFonts w:ascii="Garamond" w:hAnsi="Garamond"/>
        </w:rPr>
        <w:t>Moreover, the action was not effective. The money changers were almost certainly back the next day. If Jesus was omniscient, as traditional theology maintains, he knew this. The action was therefore expressive rather than corrective—a demonstration of anger rather than a practical solution. This makes the moral problem worse, not better: he used force not because it was necessary to achieve a legitimate end, but as an emotional expression. Whatever else it was, this was not the response of a being exercising perfect wisdom.</w:t>
      </w:r>
    </w:p>
    <w:p w14:paraId="16E73CED" w14:textId="77777777" w:rsidR="007B2C4A" w:rsidRPr="00027A22" w:rsidRDefault="00000000">
      <w:pPr>
        <w:pStyle w:val="Heading1"/>
        <w:rPr>
          <w:rFonts w:ascii="Garamond" w:hAnsi="Garamond"/>
        </w:rPr>
      </w:pPr>
      <w:r w:rsidRPr="00027A22">
        <w:rPr>
          <w:rFonts w:ascii="Garamond" w:hAnsi="Garamond"/>
        </w:rPr>
        <w:t>IX. The Binary</w:t>
      </w:r>
    </w:p>
    <w:p w14:paraId="40190945" w14:textId="77777777" w:rsidR="007B2C4A" w:rsidRPr="00027A22" w:rsidRDefault="00000000">
      <w:pPr>
        <w:rPr>
          <w:rFonts w:ascii="Garamond" w:hAnsi="Garamond"/>
        </w:rPr>
      </w:pPr>
      <w:r w:rsidRPr="00027A22">
        <w:rPr>
          <w:rFonts w:ascii="Garamond" w:hAnsi="Garamond"/>
        </w:rPr>
        <w:t>Apologists may attempt various combinations of the defenses surveyed above, but they must ultimately confront a binary that admits no third option: either Jesus was under the Mosaic Law, or he was not.</w:t>
      </w:r>
    </w:p>
    <w:p w14:paraId="1B85663F" w14:textId="77777777" w:rsidR="007B2C4A" w:rsidRPr="00027A22" w:rsidRDefault="00000000">
      <w:pPr>
        <w:rPr>
          <w:rFonts w:ascii="Garamond" w:hAnsi="Garamond"/>
        </w:rPr>
      </w:pPr>
      <w:r w:rsidRPr="00027A22">
        <w:rPr>
          <w:rFonts w:ascii="Garamond" w:hAnsi="Garamond"/>
        </w:rPr>
        <w:t xml:space="preserve">If yes, then his actions are judged by it, and the temple incident was a transgression. The theological consequences </w:t>
      </w:r>
      <w:proofErr w:type="gramStart"/>
      <w:r w:rsidRPr="00027A22">
        <w:rPr>
          <w:rFonts w:ascii="Garamond" w:hAnsi="Garamond"/>
        </w:rPr>
        <w:t>follow:</w:t>
      </w:r>
      <w:proofErr w:type="gramEnd"/>
      <w:r w:rsidRPr="00027A22">
        <w:rPr>
          <w:rFonts w:ascii="Garamond" w:hAnsi="Garamond"/>
        </w:rPr>
        <w:t xml:space="preserve"> sinlessness fails, atonement doctrine is undermined, the core soteriological claim of Christianity collapses.</w:t>
      </w:r>
    </w:p>
    <w:p w14:paraId="67B051FB" w14:textId="77777777" w:rsidR="007B2C4A" w:rsidRPr="00027A22" w:rsidRDefault="00000000">
      <w:pPr>
        <w:rPr>
          <w:rFonts w:ascii="Garamond" w:hAnsi="Garamond"/>
        </w:rPr>
      </w:pPr>
      <w:r w:rsidRPr="00027A22">
        <w:rPr>
          <w:rFonts w:ascii="Garamond" w:hAnsi="Garamond"/>
        </w:rPr>
        <w:t>If no, then “sinlessness” is an empty claim. Sin is defined as transgression of the Law. No Law, no sin, no meaning to the claim. It would be like saying Jesus never broke the rules of a game he was not playing.</w:t>
      </w:r>
    </w:p>
    <w:p w14:paraId="7245F4E1" w14:textId="77777777" w:rsidR="007B2C4A" w:rsidRPr="00027A22" w:rsidRDefault="00000000">
      <w:pPr>
        <w:rPr>
          <w:rFonts w:ascii="Garamond" w:hAnsi="Garamond"/>
        </w:rPr>
      </w:pPr>
      <w:r w:rsidRPr="00027A22">
        <w:rPr>
          <w:rFonts w:ascii="Garamond" w:hAnsi="Garamond"/>
        </w:rPr>
        <w:lastRenderedPageBreak/>
        <w:t xml:space="preserve">Most of the apologetic responses surveyed above attempt to smuggle in a third position: “under the Law, but with exceptions” or “under the Law, but with special divine authority.” But this is evasion, not resolution. Either the Law applied to </w:t>
      </w:r>
      <w:proofErr w:type="gramStart"/>
      <w:r w:rsidRPr="00027A22">
        <w:rPr>
          <w:rFonts w:ascii="Garamond" w:hAnsi="Garamond"/>
        </w:rPr>
        <w:t>him</w:t>
      </w:r>
      <w:proofErr w:type="gramEnd"/>
      <w:r w:rsidRPr="00027A22">
        <w:rPr>
          <w:rFonts w:ascii="Garamond" w:hAnsi="Garamond"/>
        </w:rPr>
        <w:t xml:space="preserve"> or it did not. Scripture’s own position, as demonstrated above, is clear: Jesus was “born under the Law” (Galatians 4:4) and came “not to abolish but to fulfill” it (Matthew 5:17). The sinlessness claim only works if there was a standard to meet.</w:t>
      </w:r>
    </w:p>
    <w:p w14:paraId="00D04EC2" w14:textId="77777777" w:rsidR="007B2C4A" w:rsidRPr="00027A22" w:rsidRDefault="00000000">
      <w:pPr>
        <w:pStyle w:val="Heading1"/>
        <w:rPr>
          <w:rFonts w:ascii="Garamond" w:hAnsi="Garamond"/>
        </w:rPr>
      </w:pPr>
      <w:r w:rsidRPr="00027A22">
        <w:rPr>
          <w:rFonts w:ascii="Garamond" w:hAnsi="Garamond"/>
        </w:rPr>
        <w:t>X. Possible Reconciliations and Their Costs</w:t>
      </w:r>
    </w:p>
    <w:p w14:paraId="526A150F" w14:textId="77777777" w:rsidR="007B2C4A" w:rsidRPr="00027A22" w:rsidRDefault="00000000">
      <w:pPr>
        <w:rPr>
          <w:rFonts w:ascii="Garamond" w:hAnsi="Garamond"/>
        </w:rPr>
      </w:pPr>
      <w:r w:rsidRPr="00027A22">
        <w:rPr>
          <w:rFonts w:ascii="Garamond" w:hAnsi="Garamond"/>
        </w:rPr>
        <w:t>If the argument of this paper is sound, what options remain for those who wish to maintain Christian faith? Several possibilities present themselves, though each carries significant costs.</w:t>
      </w:r>
    </w:p>
    <w:p w14:paraId="4AB6BD36" w14:textId="77777777" w:rsidR="007B2C4A" w:rsidRPr="00027A22" w:rsidRDefault="00000000">
      <w:pPr>
        <w:rPr>
          <w:rFonts w:ascii="Garamond" w:hAnsi="Garamond"/>
        </w:rPr>
      </w:pPr>
      <w:r w:rsidRPr="00027A22">
        <w:rPr>
          <w:rFonts w:ascii="Garamond" w:hAnsi="Garamond"/>
        </w:rPr>
        <w:t>First, one could dispute the historicity of the temple incident. Perhaps the Gospel accounts exaggerate or theologize a less violent encounter. Perhaps Jesus made a provocative speech, and the “whip” and “driving out” were later embellishments. This preserves sinlessness but at the cost of undermining scriptural reliability on one of the best-attested events in Jesus’s ministry.</w:t>
      </w:r>
    </w:p>
    <w:p w14:paraId="5F85A0F9" w14:textId="77777777" w:rsidR="007B2C4A" w:rsidRPr="00027A22" w:rsidRDefault="00000000">
      <w:pPr>
        <w:rPr>
          <w:rFonts w:ascii="Garamond" w:hAnsi="Garamond"/>
        </w:rPr>
      </w:pPr>
      <w:r w:rsidRPr="00027A22">
        <w:rPr>
          <w:rFonts w:ascii="Garamond" w:hAnsi="Garamond"/>
        </w:rPr>
        <w:t>Second, one could argue that no law was actually broken. Perhaps driving people out of a space and overturning their tables falls short of criminal assault under a strict reading of Exodus 21. This is legalistic and somewhat strained, but not impossible.</w:t>
      </w:r>
    </w:p>
    <w:p w14:paraId="247D60ED" w14:textId="77777777" w:rsidR="007B2C4A" w:rsidRPr="00027A22" w:rsidRDefault="00000000">
      <w:pPr>
        <w:rPr>
          <w:rFonts w:ascii="Garamond" w:hAnsi="Garamond"/>
        </w:rPr>
      </w:pPr>
      <w:r w:rsidRPr="00027A22">
        <w:rPr>
          <w:rFonts w:ascii="Garamond" w:hAnsi="Garamond"/>
        </w:rPr>
        <w:t>Third, one could accept that Jesus was imperfect and reframe Christian theology accordingly. Liberal and progressive Christian traditions have done precisely this, treating Jesus as a profound moral teacher and prophet without requiring metaphysical sinlessness or substitutionary atonement. Salvation is reframed as moral example, participation in divine life, or solidarity with human suffering. This preserves intellectual honesty but abandons orthodox Christianity as traditionally understood.</w:t>
      </w:r>
    </w:p>
    <w:p w14:paraId="78FC3039" w14:textId="77777777" w:rsidR="007B2C4A" w:rsidRPr="00027A22" w:rsidRDefault="00000000">
      <w:pPr>
        <w:rPr>
          <w:rFonts w:ascii="Garamond" w:hAnsi="Garamond"/>
        </w:rPr>
      </w:pPr>
      <w:r w:rsidRPr="00027A22">
        <w:rPr>
          <w:rFonts w:ascii="Garamond" w:hAnsi="Garamond"/>
        </w:rPr>
        <w:t>Fourth, one could embrace mystery—holding both premises (sinlessness and the temple incident) in tension, trusting that resolution lies beyond human understanding. This is intellectually unsatisfying but has a long pedigree in theological tradition.</w:t>
      </w:r>
    </w:p>
    <w:p w14:paraId="636F0765" w14:textId="77777777" w:rsidR="00027A22" w:rsidRPr="00027A22" w:rsidRDefault="00027A22">
      <w:pPr>
        <w:spacing w:after="0" w:line="240" w:lineRule="auto"/>
        <w:ind w:firstLine="0"/>
        <w:rPr>
          <w:rFonts w:ascii="Garamond" w:hAnsi="Garamond"/>
          <w:b/>
          <w:bCs/>
          <w:sz w:val="28"/>
          <w:szCs w:val="28"/>
        </w:rPr>
      </w:pPr>
      <w:r w:rsidRPr="00027A22">
        <w:rPr>
          <w:rFonts w:ascii="Garamond" w:hAnsi="Garamond"/>
        </w:rPr>
        <w:br w:type="page"/>
      </w:r>
    </w:p>
    <w:p w14:paraId="7DD2E986" w14:textId="60F64983" w:rsidR="007B2C4A" w:rsidRPr="00027A22" w:rsidRDefault="00000000">
      <w:pPr>
        <w:pStyle w:val="Heading1"/>
        <w:rPr>
          <w:rFonts w:ascii="Garamond" w:hAnsi="Garamond"/>
        </w:rPr>
      </w:pPr>
      <w:r w:rsidRPr="00027A22">
        <w:rPr>
          <w:rFonts w:ascii="Garamond" w:hAnsi="Garamond"/>
        </w:rPr>
        <w:lastRenderedPageBreak/>
        <w:t>XI. Conclusion</w:t>
      </w:r>
    </w:p>
    <w:p w14:paraId="1F55AC66" w14:textId="77777777" w:rsidR="007B2C4A" w:rsidRPr="00027A22" w:rsidRDefault="00000000">
      <w:pPr>
        <w:rPr>
          <w:rFonts w:ascii="Garamond" w:hAnsi="Garamond"/>
        </w:rPr>
      </w:pPr>
      <w:r w:rsidRPr="00027A22">
        <w:rPr>
          <w:rFonts w:ascii="Garamond" w:hAnsi="Garamond"/>
        </w:rPr>
        <w:t xml:space="preserve">This paper has argued that the temple cleansing presents a genuine and largely unaddressed problem for orthodox Christology. The argument is not that Jesus’s critique of temple commerce was wrong, nor that the doctrine of sinlessness is incoherent in principle. Rather, the problem is specific: Jesus was under the Mosaic Law; the Mosaic Law prohibits the use of force against persons without legitimate authority; the temple incident constituted such prohibited conduct; </w:t>
      </w:r>
      <w:proofErr w:type="gramStart"/>
      <w:r w:rsidRPr="00027A22">
        <w:rPr>
          <w:rFonts w:ascii="Garamond" w:hAnsi="Garamond"/>
        </w:rPr>
        <w:t>therefore</w:t>
      </w:r>
      <w:proofErr w:type="gramEnd"/>
      <w:r w:rsidRPr="00027A22">
        <w:rPr>
          <w:rFonts w:ascii="Garamond" w:hAnsi="Garamond"/>
        </w:rPr>
        <w:t xml:space="preserve"> Jesus transgressed the Law and sinned.</w:t>
      </w:r>
    </w:p>
    <w:p w14:paraId="34C37C21" w14:textId="77777777" w:rsidR="007B2C4A" w:rsidRPr="00027A22" w:rsidRDefault="00000000">
      <w:pPr>
        <w:rPr>
          <w:rFonts w:ascii="Garamond" w:hAnsi="Garamond"/>
        </w:rPr>
      </w:pPr>
      <w:r w:rsidRPr="00027A22">
        <w:rPr>
          <w:rFonts w:ascii="Garamond" w:hAnsi="Garamond"/>
        </w:rPr>
        <w:t>The standard apologetic responses fail to engage the legal question at its core. Appeals to righteous anger, exploitation of merchants, or prophetic purpose do not address whether the method—physical force—was lawful. Appeals to divine authority either create a two-tiered morality or collapse into divine command theory, abandoning objective moral standards.</w:t>
      </w:r>
    </w:p>
    <w:p w14:paraId="4A7DC4DF" w14:textId="77777777" w:rsidR="007B2C4A" w:rsidRPr="00027A22" w:rsidRDefault="00000000">
      <w:pPr>
        <w:rPr>
          <w:rFonts w:ascii="Garamond" w:hAnsi="Garamond"/>
        </w:rPr>
      </w:pPr>
      <w:r w:rsidRPr="00027A22">
        <w:rPr>
          <w:rFonts w:ascii="Garamond" w:hAnsi="Garamond"/>
        </w:rPr>
        <w:t>This argument appears to be a relatively novel formulation, or at least one that has not gained traction in mainstream theological or counter-apologetic discourse. The literature on the temple cleansing focuses primarily on chronological discrepancies between the Gospels, the historical plausibility of the event, and questions about Jesus’s character and temperament. The specific legal argument—framed around the Mosaic Law and its implications for the doctrine of sinlessness and atonement—has received insufficient attention.</w:t>
      </w:r>
    </w:p>
    <w:p w14:paraId="55F67268" w14:textId="77777777" w:rsidR="007B2C4A" w:rsidRPr="00027A22" w:rsidRDefault="00000000">
      <w:pPr>
        <w:rPr>
          <w:rFonts w:ascii="Garamond" w:hAnsi="Garamond"/>
        </w:rPr>
      </w:pPr>
      <w:r w:rsidRPr="00027A22">
        <w:rPr>
          <w:rFonts w:ascii="Garamond" w:hAnsi="Garamond"/>
        </w:rPr>
        <w:t>Christianity has survived challenges to its coherence before, often through assertion rather than resolution. The tension identified here may prove similarly survivable. But for those who care about intellectual honesty and the internal consistency of theological claims, it represents a genuine crack in the foundation—one that deserves more serious engagement than it has received.</w:t>
      </w:r>
    </w:p>
    <w:p w14:paraId="6A8FDFFD" w14:textId="77777777" w:rsidR="007B2C4A" w:rsidRPr="00027A22" w:rsidRDefault="00000000">
      <w:pPr>
        <w:pStyle w:val="Heading1"/>
        <w:pageBreakBefore/>
        <w:rPr>
          <w:rFonts w:ascii="Garamond" w:hAnsi="Garamond"/>
        </w:rPr>
      </w:pPr>
      <w:r w:rsidRPr="00027A22">
        <w:rPr>
          <w:rFonts w:ascii="Garamond" w:hAnsi="Garamond"/>
        </w:rPr>
        <w:lastRenderedPageBreak/>
        <w:t>Bibliography</w:t>
      </w:r>
    </w:p>
    <w:p w14:paraId="2C90CF71" w14:textId="77777777" w:rsidR="007B2C4A" w:rsidRPr="00027A22" w:rsidRDefault="00000000">
      <w:pPr>
        <w:spacing w:after="120"/>
        <w:ind w:left="720" w:hanging="720"/>
        <w:rPr>
          <w:rFonts w:ascii="Garamond" w:hAnsi="Garamond"/>
        </w:rPr>
      </w:pPr>
      <w:r w:rsidRPr="00027A22">
        <w:rPr>
          <w:rFonts w:ascii="Garamond" w:hAnsi="Garamond"/>
        </w:rPr>
        <w:t xml:space="preserve">Aquinas, Thomas. </w:t>
      </w:r>
      <w:r w:rsidRPr="00027A22">
        <w:rPr>
          <w:rFonts w:ascii="Garamond" w:hAnsi="Garamond"/>
          <w:i/>
          <w:iCs/>
        </w:rPr>
        <w:t>Summa Theologica</w:t>
      </w:r>
      <w:r w:rsidRPr="00027A22">
        <w:rPr>
          <w:rFonts w:ascii="Garamond" w:hAnsi="Garamond"/>
        </w:rPr>
        <w:t>. Translated by Fathers of the English Dominican Province. New York: Benziger Bros., 1948.</w:t>
      </w:r>
    </w:p>
    <w:p w14:paraId="4A72F66B" w14:textId="77777777" w:rsidR="007B2C4A" w:rsidRPr="00027A22" w:rsidRDefault="00000000">
      <w:pPr>
        <w:spacing w:after="120"/>
        <w:ind w:left="720" w:hanging="720"/>
        <w:rPr>
          <w:rFonts w:ascii="Garamond" w:hAnsi="Garamond"/>
        </w:rPr>
      </w:pPr>
      <w:r w:rsidRPr="00027A22">
        <w:rPr>
          <w:rFonts w:ascii="Garamond" w:hAnsi="Garamond"/>
        </w:rPr>
        <w:t xml:space="preserve">Bauckham, Richard. </w:t>
      </w:r>
      <w:r w:rsidRPr="00027A22">
        <w:rPr>
          <w:rFonts w:ascii="Garamond" w:hAnsi="Garamond"/>
          <w:i/>
          <w:iCs/>
        </w:rPr>
        <w:t>Jesus and the Eyewitnesses: The Gospels as Eyewitness Testimony</w:t>
      </w:r>
      <w:r w:rsidRPr="00027A22">
        <w:rPr>
          <w:rFonts w:ascii="Garamond" w:hAnsi="Garamond"/>
        </w:rPr>
        <w:t>. Grand Rapids: Eerdmans, 2006.</w:t>
      </w:r>
    </w:p>
    <w:p w14:paraId="376454F1" w14:textId="77777777" w:rsidR="007B2C4A" w:rsidRPr="00027A22" w:rsidRDefault="00000000">
      <w:pPr>
        <w:spacing w:after="120"/>
        <w:ind w:left="720" w:hanging="720"/>
        <w:rPr>
          <w:rFonts w:ascii="Garamond" w:hAnsi="Garamond"/>
        </w:rPr>
      </w:pPr>
      <w:r w:rsidRPr="00027A22">
        <w:rPr>
          <w:rFonts w:ascii="Garamond" w:hAnsi="Garamond"/>
        </w:rPr>
        <w:t xml:space="preserve">Brown, Raymond E. </w:t>
      </w:r>
      <w:r w:rsidRPr="00027A22">
        <w:rPr>
          <w:rFonts w:ascii="Garamond" w:hAnsi="Garamond"/>
          <w:i/>
          <w:iCs/>
        </w:rPr>
        <w:t>The Gospel According to John I-XII</w:t>
      </w:r>
      <w:r w:rsidRPr="00027A22">
        <w:rPr>
          <w:rFonts w:ascii="Garamond" w:hAnsi="Garamond"/>
        </w:rPr>
        <w:t>. Anchor Bible 29. Garden City: Doubleday, 1966.</w:t>
      </w:r>
    </w:p>
    <w:p w14:paraId="1F1B74E0" w14:textId="77777777" w:rsidR="007B2C4A" w:rsidRPr="00027A22" w:rsidRDefault="00000000">
      <w:pPr>
        <w:spacing w:after="120"/>
        <w:ind w:left="720" w:hanging="720"/>
        <w:rPr>
          <w:rFonts w:ascii="Garamond" w:hAnsi="Garamond"/>
        </w:rPr>
      </w:pPr>
      <w:r w:rsidRPr="00027A22">
        <w:rPr>
          <w:rFonts w:ascii="Garamond" w:hAnsi="Garamond"/>
        </w:rPr>
        <w:t xml:space="preserve">Ehrman, Bart D. </w:t>
      </w:r>
      <w:r w:rsidRPr="00027A22">
        <w:rPr>
          <w:rFonts w:ascii="Garamond" w:hAnsi="Garamond"/>
          <w:i/>
          <w:iCs/>
        </w:rPr>
        <w:t>Jesus, Interrupted: Revealing the Hidden Contradictions in the Bible</w:t>
      </w:r>
      <w:r w:rsidRPr="00027A22">
        <w:rPr>
          <w:rFonts w:ascii="Garamond" w:hAnsi="Garamond"/>
        </w:rPr>
        <w:t xml:space="preserve">. New York: </w:t>
      </w:r>
      <w:proofErr w:type="spellStart"/>
      <w:r w:rsidRPr="00027A22">
        <w:rPr>
          <w:rFonts w:ascii="Garamond" w:hAnsi="Garamond"/>
        </w:rPr>
        <w:t>HarperOne</w:t>
      </w:r>
      <w:proofErr w:type="spellEnd"/>
      <w:r w:rsidRPr="00027A22">
        <w:rPr>
          <w:rFonts w:ascii="Garamond" w:hAnsi="Garamond"/>
        </w:rPr>
        <w:t>, 2009.</w:t>
      </w:r>
    </w:p>
    <w:p w14:paraId="7B5F683F" w14:textId="77777777" w:rsidR="007B2C4A" w:rsidRPr="00027A22" w:rsidRDefault="00000000">
      <w:pPr>
        <w:spacing w:after="120"/>
        <w:ind w:left="720" w:hanging="720"/>
        <w:rPr>
          <w:rFonts w:ascii="Garamond" w:hAnsi="Garamond"/>
        </w:rPr>
      </w:pPr>
      <w:r w:rsidRPr="00027A22">
        <w:rPr>
          <w:rFonts w:ascii="Garamond" w:hAnsi="Garamond"/>
        </w:rPr>
        <w:t xml:space="preserve">Evans, Craig A. </w:t>
      </w:r>
      <w:r w:rsidRPr="00027A22">
        <w:rPr>
          <w:rFonts w:ascii="Garamond" w:hAnsi="Garamond"/>
          <w:i/>
          <w:iCs/>
        </w:rPr>
        <w:t>Mark 8:27–16:20</w:t>
      </w:r>
      <w:r w:rsidRPr="00027A22">
        <w:rPr>
          <w:rFonts w:ascii="Garamond" w:hAnsi="Garamond"/>
        </w:rPr>
        <w:t>. Word Biblical Commentary 34B. Nashville: Thomas Nelson, 2001.</w:t>
      </w:r>
    </w:p>
    <w:p w14:paraId="162F45E8" w14:textId="77777777" w:rsidR="007B2C4A" w:rsidRPr="00027A22" w:rsidRDefault="00000000">
      <w:pPr>
        <w:spacing w:after="120"/>
        <w:ind w:left="720" w:hanging="720"/>
        <w:rPr>
          <w:rFonts w:ascii="Garamond" w:hAnsi="Garamond"/>
        </w:rPr>
      </w:pPr>
      <w:r w:rsidRPr="00027A22">
        <w:rPr>
          <w:rFonts w:ascii="Garamond" w:hAnsi="Garamond"/>
        </w:rPr>
        <w:t xml:space="preserve">Fredriksen, Paula. </w:t>
      </w:r>
      <w:r w:rsidRPr="00027A22">
        <w:rPr>
          <w:rFonts w:ascii="Garamond" w:hAnsi="Garamond"/>
          <w:i/>
          <w:iCs/>
        </w:rPr>
        <w:t>Jesus of Nazareth, King of the Jews: A Jewish Life and the Emergence of Christianity</w:t>
      </w:r>
      <w:r w:rsidRPr="00027A22">
        <w:rPr>
          <w:rFonts w:ascii="Garamond" w:hAnsi="Garamond"/>
        </w:rPr>
        <w:t>. New York: Vintage, 2000.</w:t>
      </w:r>
    </w:p>
    <w:p w14:paraId="2E998310" w14:textId="77777777" w:rsidR="007B2C4A" w:rsidRPr="00027A22" w:rsidRDefault="00000000">
      <w:pPr>
        <w:spacing w:after="120"/>
        <w:ind w:left="720" w:hanging="720"/>
        <w:rPr>
          <w:rFonts w:ascii="Garamond" w:hAnsi="Garamond"/>
        </w:rPr>
      </w:pPr>
      <w:r w:rsidRPr="00027A22">
        <w:rPr>
          <w:rFonts w:ascii="Garamond" w:hAnsi="Garamond"/>
        </w:rPr>
        <w:t xml:space="preserve">Hays, Richard B. </w:t>
      </w:r>
      <w:r w:rsidRPr="00027A22">
        <w:rPr>
          <w:rFonts w:ascii="Garamond" w:hAnsi="Garamond"/>
          <w:i/>
          <w:iCs/>
        </w:rPr>
        <w:t>Reading Backwards: Figural Christology and the Fourfold Gospel Witness</w:t>
      </w:r>
      <w:r w:rsidRPr="00027A22">
        <w:rPr>
          <w:rFonts w:ascii="Garamond" w:hAnsi="Garamond"/>
        </w:rPr>
        <w:t>. Waco: Baylor University Press, 2014.</w:t>
      </w:r>
    </w:p>
    <w:p w14:paraId="5245D5FA" w14:textId="77777777" w:rsidR="007B2C4A" w:rsidRPr="00027A22" w:rsidRDefault="00000000">
      <w:pPr>
        <w:spacing w:after="120"/>
        <w:ind w:left="720" w:hanging="720"/>
        <w:rPr>
          <w:rFonts w:ascii="Garamond" w:hAnsi="Garamond"/>
        </w:rPr>
      </w:pPr>
      <w:r w:rsidRPr="00027A22">
        <w:rPr>
          <w:rFonts w:ascii="Garamond" w:hAnsi="Garamond"/>
        </w:rPr>
        <w:t xml:space="preserve">Mackie, J. L. </w:t>
      </w:r>
      <w:r w:rsidRPr="00027A22">
        <w:rPr>
          <w:rFonts w:ascii="Garamond" w:hAnsi="Garamond"/>
          <w:i/>
          <w:iCs/>
        </w:rPr>
        <w:t>Ethics: Inventing Right and Wrong</w:t>
      </w:r>
      <w:r w:rsidRPr="00027A22">
        <w:rPr>
          <w:rFonts w:ascii="Garamond" w:hAnsi="Garamond"/>
        </w:rPr>
        <w:t>. London: Penguin, 1977.</w:t>
      </w:r>
    </w:p>
    <w:p w14:paraId="5C2EB781" w14:textId="77777777" w:rsidR="007B2C4A" w:rsidRPr="00027A22" w:rsidRDefault="00000000">
      <w:pPr>
        <w:spacing w:after="120"/>
        <w:ind w:left="720" w:hanging="720"/>
        <w:rPr>
          <w:rFonts w:ascii="Garamond" w:hAnsi="Garamond"/>
        </w:rPr>
      </w:pPr>
      <w:r w:rsidRPr="00027A22">
        <w:rPr>
          <w:rFonts w:ascii="Garamond" w:hAnsi="Garamond"/>
        </w:rPr>
        <w:t xml:space="preserve">Metzger, Bruce M. </w:t>
      </w:r>
      <w:r w:rsidRPr="00027A22">
        <w:rPr>
          <w:rFonts w:ascii="Garamond" w:hAnsi="Garamond"/>
          <w:i/>
          <w:iCs/>
        </w:rPr>
        <w:t>A Textual Commentary on the Greek New Testament</w:t>
      </w:r>
      <w:r w:rsidRPr="00027A22">
        <w:rPr>
          <w:rFonts w:ascii="Garamond" w:hAnsi="Garamond"/>
        </w:rPr>
        <w:t xml:space="preserve">. 2nd ed. Stuttgart: Deutsche </w:t>
      </w:r>
      <w:proofErr w:type="spellStart"/>
      <w:r w:rsidRPr="00027A22">
        <w:rPr>
          <w:rFonts w:ascii="Garamond" w:hAnsi="Garamond"/>
        </w:rPr>
        <w:t>Bibelgesellschaft</w:t>
      </w:r>
      <w:proofErr w:type="spellEnd"/>
      <w:r w:rsidRPr="00027A22">
        <w:rPr>
          <w:rFonts w:ascii="Garamond" w:hAnsi="Garamond"/>
        </w:rPr>
        <w:t>, 1994.</w:t>
      </w:r>
    </w:p>
    <w:p w14:paraId="0742A7FC" w14:textId="77777777" w:rsidR="007B2C4A" w:rsidRPr="00027A22" w:rsidRDefault="00000000">
      <w:pPr>
        <w:spacing w:after="120"/>
        <w:ind w:left="720" w:hanging="720"/>
        <w:rPr>
          <w:rFonts w:ascii="Garamond" w:hAnsi="Garamond"/>
        </w:rPr>
      </w:pPr>
      <w:r w:rsidRPr="00027A22">
        <w:rPr>
          <w:rFonts w:ascii="Garamond" w:hAnsi="Garamond"/>
        </w:rPr>
        <w:t xml:space="preserve">Morris, Leon. </w:t>
      </w:r>
      <w:r w:rsidRPr="00027A22">
        <w:rPr>
          <w:rFonts w:ascii="Garamond" w:hAnsi="Garamond"/>
          <w:i/>
          <w:iCs/>
        </w:rPr>
        <w:t>The Gospel According to John</w:t>
      </w:r>
      <w:r w:rsidRPr="00027A22">
        <w:rPr>
          <w:rFonts w:ascii="Garamond" w:hAnsi="Garamond"/>
        </w:rPr>
        <w:t>. Rev. ed. Grand Rapids: Eerdmans, 1995.</w:t>
      </w:r>
    </w:p>
    <w:p w14:paraId="2333130A" w14:textId="77777777" w:rsidR="007B2C4A" w:rsidRPr="00027A22" w:rsidRDefault="00000000">
      <w:pPr>
        <w:spacing w:after="120"/>
        <w:ind w:left="720" w:hanging="720"/>
        <w:rPr>
          <w:rFonts w:ascii="Garamond" w:hAnsi="Garamond"/>
        </w:rPr>
      </w:pPr>
      <w:r w:rsidRPr="00027A22">
        <w:rPr>
          <w:rFonts w:ascii="Garamond" w:hAnsi="Garamond"/>
        </w:rPr>
        <w:t xml:space="preserve">Sanders, E. P. </w:t>
      </w:r>
      <w:r w:rsidRPr="00027A22">
        <w:rPr>
          <w:rFonts w:ascii="Garamond" w:hAnsi="Garamond"/>
          <w:i/>
          <w:iCs/>
        </w:rPr>
        <w:t>Jesus and Judaism</w:t>
      </w:r>
      <w:r w:rsidRPr="00027A22">
        <w:rPr>
          <w:rFonts w:ascii="Garamond" w:hAnsi="Garamond"/>
        </w:rPr>
        <w:t>. Philadelphia: Fortress Press, 1985.</w:t>
      </w:r>
    </w:p>
    <w:p w14:paraId="796E2BB7" w14:textId="77777777" w:rsidR="007B2C4A" w:rsidRPr="00027A22" w:rsidRDefault="00000000">
      <w:pPr>
        <w:spacing w:after="120"/>
        <w:ind w:left="720" w:hanging="720"/>
        <w:rPr>
          <w:rFonts w:ascii="Garamond" w:hAnsi="Garamond"/>
        </w:rPr>
      </w:pPr>
      <w:r w:rsidRPr="00027A22">
        <w:rPr>
          <w:rFonts w:ascii="Garamond" w:hAnsi="Garamond"/>
        </w:rPr>
        <w:t xml:space="preserve">Wright, N. T. </w:t>
      </w:r>
      <w:r w:rsidRPr="00027A22">
        <w:rPr>
          <w:rFonts w:ascii="Garamond" w:hAnsi="Garamond"/>
          <w:i/>
          <w:iCs/>
        </w:rPr>
        <w:t>Jesus and the Victory of God</w:t>
      </w:r>
      <w:r w:rsidRPr="00027A22">
        <w:rPr>
          <w:rFonts w:ascii="Garamond" w:hAnsi="Garamond"/>
        </w:rPr>
        <w:t>. Minneapolis: Fortress Press, 1996.</w:t>
      </w:r>
    </w:p>
    <w:sectPr w:rsidR="007B2C4A" w:rsidRPr="00027A22">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737A7" w14:textId="77777777" w:rsidR="00B65672" w:rsidRDefault="00B65672">
      <w:pPr>
        <w:spacing w:after="0" w:line="240" w:lineRule="auto"/>
      </w:pPr>
      <w:r>
        <w:separator/>
      </w:r>
    </w:p>
  </w:endnote>
  <w:endnote w:type="continuationSeparator" w:id="0">
    <w:p w14:paraId="70E93613" w14:textId="77777777" w:rsidR="00B65672" w:rsidRDefault="00B656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7EC4" w14:textId="77777777" w:rsidR="007B2C4A" w:rsidRDefault="00000000">
    <w:pPr>
      <w:jc w:val="center"/>
    </w:pPr>
    <w:r>
      <w:rPr>
        <w:sz w:val="20"/>
        <w:szCs w:val="20"/>
      </w:rPr>
      <w:fldChar w:fldCharType="begin"/>
    </w:r>
    <w:r>
      <w:rPr>
        <w:sz w:val="20"/>
        <w:szCs w:val="20"/>
      </w:rPr>
      <w:instrText>PAGE</w:instrText>
    </w:r>
    <w:r>
      <w:rPr>
        <w:sz w:val="20"/>
        <w:szCs w:val="20"/>
      </w:rPr>
      <w:fldChar w:fldCharType="separate"/>
    </w:r>
    <w:r w:rsidR="00027A2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4482D" w14:textId="77777777" w:rsidR="00B65672" w:rsidRDefault="00B65672">
      <w:pPr>
        <w:spacing w:after="0" w:line="240" w:lineRule="auto"/>
      </w:pPr>
      <w:r>
        <w:separator/>
      </w:r>
    </w:p>
  </w:footnote>
  <w:footnote w:type="continuationSeparator" w:id="0">
    <w:p w14:paraId="055EB06F" w14:textId="77777777" w:rsidR="00B65672" w:rsidRDefault="00B656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047743"/>
    <w:multiLevelType w:val="hybridMultilevel"/>
    <w:tmpl w:val="44783418"/>
    <w:lvl w:ilvl="0" w:tplc="D710FE9A">
      <w:start w:val="1"/>
      <w:numFmt w:val="bullet"/>
      <w:lvlText w:val="●"/>
      <w:lvlJc w:val="left"/>
      <w:pPr>
        <w:ind w:left="720" w:hanging="360"/>
      </w:pPr>
    </w:lvl>
    <w:lvl w:ilvl="1" w:tplc="EEA0F320">
      <w:start w:val="1"/>
      <w:numFmt w:val="bullet"/>
      <w:lvlText w:val="○"/>
      <w:lvlJc w:val="left"/>
      <w:pPr>
        <w:ind w:left="1440" w:hanging="360"/>
      </w:pPr>
    </w:lvl>
    <w:lvl w:ilvl="2" w:tplc="CDBE6D16">
      <w:start w:val="1"/>
      <w:numFmt w:val="bullet"/>
      <w:lvlText w:val="■"/>
      <w:lvlJc w:val="left"/>
      <w:pPr>
        <w:ind w:left="2160" w:hanging="360"/>
      </w:pPr>
    </w:lvl>
    <w:lvl w:ilvl="3" w:tplc="6900949A">
      <w:start w:val="1"/>
      <w:numFmt w:val="bullet"/>
      <w:lvlText w:val="●"/>
      <w:lvlJc w:val="left"/>
      <w:pPr>
        <w:ind w:left="2880" w:hanging="360"/>
      </w:pPr>
    </w:lvl>
    <w:lvl w:ilvl="4" w:tplc="866AF310">
      <w:start w:val="1"/>
      <w:numFmt w:val="bullet"/>
      <w:lvlText w:val="○"/>
      <w:lvlJc w:val="left"/>
      <w:pPr>
        <w:ind w:left="3600" w:hanging="360"/>
      </w:pPr>
    </w:lvl>
    <w:lvl w:ilvl="5" w:tplc="6F245186">
      <w:start w:val="1"/>
      <w:numFmt w:val="bullet"/>
      <w:lvlText w:val="■"/>
      <w:lvlJc w:val="left"/>
      <w:pPr>
        <w:ind w:left="4320" w:hanging="360"/>
      </w:pPr>
    </w:lvl>
    <w:lvl w:ilvl="6" w:tplc="F9FCFDE0">
      <w:start w:val="1"/>
      <w:numFmt w:val="bullet"/>
      <w:lvlText w:val="●"/>
      <w:lvlJc w:val="left"/>
      <w:pPr>
        <w:ind w:left="5040" w:hanging="360"/>
      </w:pPr>
    </w:lvl>
    <w:lvl w:ilvl="7" w:tplc="1E4CB6FC">
      <w:start w:val="1"/>
      <w:numFmt w:val="bullet"/>
      <w:lvlText w:val="●"/>
      <w:lvlJc w:val="left"/>
      <w:pPr>
        <w:ind w:left="5760" w:hanging="360"/>
      </w:pPr>
    </w:lvl>
    <w:lvl w:ilvl="8" w:tplc="554A7F40">
      <w:start w:val="1"/>
      <w:numFmt w:val="bullet"/>
      <w:lvlText w:val="●"/>
      <w:lvlJc w:val="left"/>
      <w:pPr>
        <w:ind w:left="6480" w:hanging="360"/>
      </w:pPr>
    </w:lvl>
  </w:abstractNum>
  <w:num w:numId="1" w16cid:durableId="18384995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2C4A"/>
    <w:rsid w:val="00027A22"/>
    <w:rsid w:val="000F277C"/>
    <w:rsid w:val="00202360"/>
    <w:rsid w:val="00606812"/>
    <w:rsid w:val="007B2C4A"/>
    <w:rsid w:val="00B65672"/>
    <w:rsid w:val="00C438A7"/>
    <w:rsid w:val="00C45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0D6F6"/>
  <w15:docId w15:val="{ECAB2418-6179-4A77-84C1-CB69B7686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60" w:lineRule="auto"/>
      <w:ind w:firstLine="720"/>
    </w:pPr>
  </w:style>
  <w:style w:type="paragraph" w:styleId="Heading1">
    <w:name w:val="heading 1"/>
    <w:basedOn w:val="Normal"/>
    <w:next w:val="Normal"/>
    <w:uiPriority w:val="9"/>
    <w:qFormat/>
    <w:pPr>
      <w:spacing w:before="360" w:after="240"/>
      <w:jc w:val="center"/>
      <w:outlineLvl w:val="0"/>
    </w:pPr>
    <w:rPr>
      <w:b/>
      <w:bCs/>
      <w:sz w:val="28"/>
      <w:szCs w:val="28"/>
    </w:rPr>
  </w:style>
  <w:style w:type="paragraph" w:styleId="Heading2">
    <w:name w:val="heading 2"/>
    <w:basedOn w:val="Normal"/>
    <w:next w:val="Normal"/>
    <w:uiPriority w:val="9"/>
    <w:unhideWhenUsed/>
    <w:qFormat/>
    <w:pPr>
      <w:spacing w:before="300" w:after="180"/>
      <w:outlineLvl w:val="1"/>
    </w:pPr>
    <w:rPr>
      <w:b/>
      <w:bCs/>
    </w:rPr>
  </w:style>
  <w:style w:type="paragraph" w:styleId="Heading3">
    <w:name w:val="heading 3"/>
    <w:basedOn w:val="Normal"/>
    <w:next w:val="Normal"/>
    <w:uiPriority w:val="9"/>
    <w:semiHidden/>
    <w:unhideWhenUsed/>
    <w:qFormat/>
    <w:pPr>
      <w:outlineLvl w:val="2"/>
    </w:pPr>
    <w:rPr>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UnresolvedMention">
    <w:name w:val="Unresolved Mention"/>
    <w:basedOn w:val="DefaultParagraphFont"/>
    <w:uiPriority w:val="99"/>
    <w:semiHidden/>
    <w:unhideWhenUsed/>
    <w:rsid w:val="00027A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andrew.bond@sjs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13</Pages>
  <Words>4067</Words>
  <Characters>23185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Andrew Bond</cp:lastModifiedBy>
  <cp:revision>2</cp:revision>
  <cp:lastPrinted>2026-01-24T09:48:00Z</cp:lastPrinted>
  <dcterms:created xsi:type="dcterms:W3CDTF">2026-02-09T21:14:00Z</dcterms:created>
  <dcterms:modified xsi:type="dcterms:W3CDTF">2026-02-09T21:14:00Z</dcterms:modified>
</cp:coreProperties>
</file>