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Bdr>
          <w:bottom w:val="single" w:sz="18" w:space="1" w:color="1F6D78"/>
        </w:pBdr>
      </w:pPr>
      <w:r>
        <w:t>RESEARCH CAMPAIGN BRIEF</w:t>
      </w:r>
    </w:p>
    <w:p>
      <w:pPr>
        <w:pStyle w:val="Title"/>
        <w:spacing w:before="700" w:after="160"/>
      </w:pPr>
      <w:r>
        <w:rPr>
          <w:rFonts w:ascii="Liberation Sans" w:hAnsi="Liberation Sans"/>
          <w:b/>
          <w:color w:val="17365D"/>
          <w:sz w:val="56"/>
        </w:rPr>
        <w:t>The Mathematics of</w:t>
        <w:br/>
        <w:t>Distributed Decision-Making</w:t>
      </w:r>
    </w:p>
    <w:p>
      <w:pPr>
        <w:pStyle w:val="SubtitleCustom"/>
      </w:pPr>
      <w:r>
        <w:rPr>
          <w:rFonts w:ascii="Liberation Sans" w:hAnsi="Liberation Sans"/>
          <w:color w:val="5A6573"/>
          <w:sz w:val="30"/>
        </w:rPr>
        <w:t>A staged research program testing ErisML-Lib against human cognitive dynamics</w:t>
      </w:r>
    </w:p>
    <w:tbl>
      <w:tblPr>
        <w:tblW w:type="auto" w:w="0"/>
        <w:jc w:val="center"/>
        <w:tblLayout w:type="autofit"/>
        <w:tblLook w:firstColumn="1" w:firstRow="1" w:lastColumn="0" w:lastRow="0" w:noHBand="0" w:noVBand="1" w:val="04A0"/>
      </w:tblPr>
      <w:tblGrid>
        <w:gridCol w:w="9994"/>
      </w:tblGrid>
      <w:tr>
        <w:tc>
          <w:tcPr>
            <w:tcW w:type="dxa" w:w="9994"/>
            <w:shd w:fill="EAF0F7"/>
            <w:tcMar>
              <w:top w:w="180" w:type="dxa"/>
              <w:start w:w="220" w:type="dxa"/>
              <w:bottom w:w="180" w:type="dxa"/>
              <w:end w:w="220" w:type="dxa"/>
            </w:tcMar>
            <w:vAlign w:val="center"/>
          </w:tcPr>
          <w:p>
            <w:pPr>
              <w:jc w:val="left"/>
            </w:pPr>
            <w:r>
              <w:rPr>
                <w:rFonts w:ascii="Liberation Sans" w:hAnsi="Liberation Sans"/>
                <w:b/>
                <w:color w:val="1F6D78"/>
                <w:sz w:val="17"/>
              </w:rPr>
              <w:t>CAMPAIGN THESIS</w:t>
              <w:br/>
            </w:r>
            <w:r>
              <w:rPr>
                <w:rFonts w:ascii="Liberation Sans" w:hAnsi="Liberation Sans"/>
                <w:b/>
                <w:color w:val="17365D"/>
                <w:sz w:val="22"/>
              </w:rPr>
              <w:t>Eagleman’s neuroscience describes human choice as the output of interacting and competing processes. ErisML-Lib independently provides mathematical machinery for order sensitivity, context dependence, higher-order interaction, temporal evolution, distributed contribution, and internal-state invariance. This campaign tests whether those structures can predict human behavior and, only if warranted, correspond to neural dynamics.</w:t>
            </w:r>
          </w:p>
        </w:tc>
      </w:tr>
    </w:tbl>
    <w:p>
      <w:pPr>
        <w:spacing w:before="360"/>
      </w:pPr>
      <w:r>
        <w:rPr>
          <w:rFonts w:ascii="Liberation Sans" w:hAnsi="Liberation Sans"/>
          <w:b/>
          <w:color w:val="1F6D78"/>
          <w:sz w:val="16"/>
        </w:rPr>
        <w:t xml:space="preserve">PREPARED BY: </w:t>
      </w:r>
      <w:r>
        <w:rPr>
          <w:rFonts w:ascii="Liberation Sans" w:hAnsi="Liberation Sans"/>
          <w:color w:val="1C2430"/>
          <w:sz w:val="19"/>
        </w:rPr>
        <w:t>Kim Baley, Justice Innovations</w:t>
        <w:br/>
      </w:r>
      <w:r>
        <w:rPr>
          <w:rFonts w:ascii="Liberation Sans" w:hAnsi="Liberation Sans"/>
          <w:b/>
          <w:color w:val="1F6D78"/>
          <w:sz w:val="16"/>
        </w:rPr>
        <w:t xml:space="preserve">MATHEMATICAL FRAMEWORK: </w:t>
      </w:r>
      <w:r>
        <w:rPr>
          <w:rFonts w:ascii="Liberation Sans" w:hAnsi="Liberation Sans"/>
          <w:color w:val="1C2430"/>
          <w:sz w:val="19"/>
        </w:rPr>
        <w:t>ErisML-Lib — Andrew Bond</w:t>
        <w:br/>
      </w:r>
      <w:r>
        <w:rPr>
          <w:rFonts w:ascii="Liberation Sans" w:hAnsi="Liberation Sans"/>
          <w:b/>
          <w:color w:val="1F6D78"/>
          <w:sz w:val="16"/>
        </w:rPr>
        <w:t xml:space="preserve">PROSPECTIVE SCIENTIFIC COLLABORATOR: </w:t>
      </w:r>
      <w:r>
        <w:rPr>
          <w:rFonts w:ascii="Liberation Sans" w:hAnsi="Liberation Sans"/>
          <w:color w:val="1C2430"/>
          <w:sz w:val="19"/>
        </w:rPr>
        <w:t>David Eagleman — Stanford University / Center for Science and Law</w:t>
        <w:br/>
      </w:r>
      <w:r>
        <w:rPr>
          <w:rFonts w:ascii="Liberation Sans" w:hAnsi="Liberation Sans"/>
          <w:b/>
          <w:color w:val="1F6D78"/>
          <w:sz w:val="16"/>
        </w:rPr>
        <w:t xml:space="preserve">SCOPE: </w:t>
      </w:r>
      <w:r>
        <w:rPr>
          <w:rFonts w:ascii="Liberation Sans" w:hAnsi="Liberation Sans"/>
          <w:color w:val="1C2430"/>
          <w:sz w:val="19"/>
        </w:rPr>
        <w:t>ErisML-Lib only; related repositories are intentionally out of scope for this brief</w:t>
        <w:br/>
      </w:r>
      <w:r>
        <w:rPr>
          <w:rFonts w:ascii="Liberation Sans" w:hAnsi="Liberation Sans"/>
          <w:b/>
          <w:color w:val="1F6D78"/>
          <w:sz w:val="16"/>
        </w:rPr>
        <w:t xml:space="preserve">DATE: </w:t>
      </w:r>
      <w:r>
        <w:rPr>
          <w:rFonts w:ascii="Liberation Sans" w:hAnsi="Liberation Sans"/>
          <w:color w:val="1C2430"/>
          <w:sz w:val="19"/>
        </w:rPr>
        <w:t>August 22, 2026</w:t>
        <w:br/>
      </w:r>
    </w:p>
    <w:p>
      <w:pPr>
        <w:pStyle w:val="Small"/>
        <w:spacing w:before="240"/>
      </w:pPr>
      <w:r>
        <w:rPr>
          <w:rFonts w:ascii="Liberation Sans" w:hAnsi="Liberation Sans"/>
          <w:i/>
          <w:color w:val="5A6573"/>
          <w:sz w:val="16"/>
        </w:rPr>
        <w:t>Research-development document. Not a claim of neuroscientific validation, clinical utility, or biological mechanism.</w:t>
      </w:r>
    </w:p>
    <w:p>
      <w:r>
        <w:br w:type="page"/>
      </w:r>
    </w:p>
    <w:p>
      <w:pPr>
        <w:pStyle w:val="Heading1"/>
        <w:pBdr>
          <w:bottom w:val="single" w:sz="10" w:space="1" w:color="17365D"/>
        </w:pBdr>
      </w:pPr>
      <w:r>
        <w:t>Executive Summary</w:t>
      </w:r>
    </w:p>
    <w:p>
      <w:r>
        <w:rPr>
          <w:rFonts w:ascii="Liberation Sans" w:hAnsi="Liberation Sans"/>
          <w:b/>
          <w:color w:val="17365D"/>
        </w:rPr>
        <w:t xml:space="preserve">The opportunity. </w:t>
      </w:r>
      <w:r>
        <w:rPr>
          <w:rFonts w:ascii="Liberation Sans" w:hAnsi="Liberation Sans"/>
        </w:rPr>
        <w:t>David Eagleman has repeatedly described decision-making as competition among distributed neural processes — a “team of rivals” — and has argued that brain complexity requires new mathematical tools. ErisML-Lib, developed independently as a governed-agent and tensorial-ethics framework, now contains a set of measurements and representations that can be turned into testable hypotheses about distributed decision systems. The scientifically interesting question is not whether the mathematics resembles Eagleman’s language; it is whether the mathematics predicts human decision trajectories better than established alternatives.</w:t>
      </w:r>
    </w:p>
    <w:p>
      <w:r>
        <w:rPr>
          <w:rFonts w:ascii="Liberation Sans" w:hAnsi="Liberation Sans"/>
          <w:b/>
          <w:color w:val="17365D"/>
        </w:rPr>
        <w:t xml:space="preserve">The standard of proof. </w:t>
      </w:r>
      <w:r>
        <w:rPr>
          <w:rFonts w:ascii="Liberation Sans" w:hAnsi="Liberation Sans"/>
        </w:rPr>
        <w:t>The campaign is explicitly falsifiable. It must distinguish repository-verified implementation from repository-reported empirical results, analogy from demonstrated correspondence, and mathematical convenience from biological mechanism. Before outreach, the core ErisML results used in the pitch should be reproduced from the current repository and archived with code, configuration, seeds, and commit identifiers.</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2498"/>
        <w:gridCol w:w="2498"/>
        <w:gridCol w:w="2498"/>
        <w:gridCol w:w="2498"/>
      </w:tblGrid>
      <w:tr>
        <w:trPr>
          <w:tblHeader w:val="true"/>
        </w:trPr>
        <w:tc>
          <w:tcPr>
            <w:tcW w:type="dxa" w:w="2498"/>
            <w:shd w:fill="17365D"/>
            <w:tcMar>
              <w:top w:w="80" w:type="dxa"/>
              <w:start w:w="100" w:type="dxa"/>
              <w:bottom w:w="80" w:type="dxa"/>
              <w:end w:w="100" w:type="dxa"/>
            </w:tcMar>
            <w:vAlign w:val="center"/>
          </w:tcPr>
          <w:p>
            <w:r>
              <w:rPr>
                <w:rFonts w:ascii="Liberation Sans" w:hAnsi="Liberation Sans"/>
                <w:b/>
                <w:color w:val="FFFFFF"/>
                <w:sz w:val="16"/>
              </w:rPr>
              <w:t>Gate</w:t>
            </w:r>
          </w:p>
        </w:tc>
        <w:tc>
          <w:tcPr>
            <w:tcW w:type="dxa" w:w="2498"/>
            <w:shd w:fill="17365D"/>
            <w:tcMar>
              <w:top w:w="80" w:type="dxa"/>
              <w:start w:w="100" w:type="dxa"/>
              <w:bottom w:w="80" w:type="dxa"/>
              <w:end w:w="100" w:type="dxa"/>
            </w:tcMar>
            <w:vAlign w:val="center"/>
          </w:tcPr>
          <w:p>
            <w:r>
              <w:rPr>
                <w:rFonts w:ascii="Liberation Sans" w:hAnsi="Liberation Sans"/>
                <w:b/>
                <w:color w:val="FFFFFF"/>
                <w:sz w:val="16"/>
              </w:rPr>
              <w:t>Workstream</w:t>
            </w:r>
          </w:p>
        </w:tc>
        <w:tc>
          <w:tcPr>
            <w:tcW w:type="dxa" w:w="2498"/>
            <w:shd w:fill="17365D"/>
            <w:tcMar>
              <w:top w:w="80" w:type="dxa"/>
              <w:start w:w="100" w:type="dxa"/>
              <w:bottom w:w="80" w:type="dxa"/>
              <w:end w:w="100" w:type="dxa"/>
            </w:tcMar>
            <w:vAlign w:val="center"/>
          </w:tcPr>
          <w:p>
            <w:r>
              <w:rPr>
                <w:rFonts w:ascii="Liberation Sans" w:hAnsi="Liberation Sans"/>
                <w:b/>
                <w:color w:val="FFFFFF"/>
                <w:sz w:val="16"/>
              </w:rPr>
              <w:t>Question</w:t>
            </w:r>
          </w:p>
        </w:tc>
        <w:tc>
          <w:tcPr>
            <w:tcW w:type="dxa" w:w="2498"/>
            <w:shd w:fill="17365D"/>
            <w:tcMar>
              <w:top w:w="80" w:type="dxa"/>
              <w:start w:w="100" w:type="dxa"/>
              <w:bottom w:w="80" w:type="dxa"/>
              <w:end w:w="100" w:type="dxa"/>
            </w:tcMar>
            <w:vAlign w:val="center"/>
          </w:tcPr>
          <w:p>
            <w:r>
              <w:rPr>
                <w:rFonts w:ascii="Liberation Sans" w:hAnsi="Liberation Sans"/>
                <w:b/>
                <w:color w:val="FFFFFF"/>
                <w:sz w:val="16"/>
              </w:rPr>
              <w:t>Decision rule</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1</w:t>
            </w:r>
          </w:p>
        </w:tc>
        <w:tc>
          <w:tcPr>
            <w:tcW w:type="dxa" w:w="2498"/>
            <w:tcMar>
              <w:top w:w="70" w:type="dxa"/>
              <w:start w:w="80" w:type="dxa"/>
              <w:bottom w:w="70" w:type="dxa"/>
              <w:end w:w="80" w:type="dxa"/>
            </w:tcMar>
            <w:vAlign w:val="center"/>
          </w:tcPr>
          <w:p>
            <w:r>
              <w:rPr>
                <w:rFonts w:ascii="Liberation Sans" w:hAnsi="Liberation Sans"/>
                <w:b/>
                <w:color w:val="1C2430"/>
                <w:sz w:val="15"/>
              </w:rPr>
              <w:t>Reproduce</w:t>
            </w:r>
          </w:p>
        </w:tc>
        <w:tc>
          <w:tcPr>
            <w:tcW w:type="dxa" w:w="2498"/>
            <w:tcMar>
              <w:top w:w="70" w:type="dxa"/>
              <w:start w:w="80" w:type="dxa"/>
              <w:bottom w:w="70" w:type="dxa"/>
              <w:end w:w="80" w:type="dxa"/>
            </w:tcMar>
            <w:vAlign w:val="center"/>
          </w:tcPr>
          <w:p>
            <w:r>
              <w:rPr>
                <w:rFonts w:ascii="Liberation Sans" w:hAnsi="Liberation Sans"/>
                <w:b w:val="0"/>
                <w:color w:val="1C2430"/>
                <w:sz w:val="15"/>
              </w:rPr>
              <w:t>Verify current ErisML-Lib claims and freeze a reproducible evidence package.</w:t>
            </w:r>
          </w:p>
        </w:tc>
        <w:tc>
          <w:tcPr>
            <w:tcW w:type="dxa" w:w="2498"/>
            <w:tcMar>
              <w:top w:w="70" w:type="dxa"/>
              <w:start w:w="80" w:type="dxa"/>
              <w:bottom w:w="70" w:type="dxa"/>
              <w:end w:w="80" w:type="dxa"/>
            </w:tcMar>
            <w:vAlign w:val="center"/>
          </w:tcPr>
          <w:p>
            <w:r>
              <w:rPr>
                <w:rFonts w:ascii="Liberation Sans" w:hAnsi="Liberation Sans"/>
                <w:b w:val="0"/>
                <w:color w:val="1C2430"/>
                <w:sz w:val="15"/>
              </w:rPr>
              <w:t>No external “proof” language until reproduced.</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2</w:t>
            </w:r>
          </w:p>
        </w:tc>
        <w:tc>
          <w:tcPr>
            <w:tcW w:type="dxa" w:w="2498"/>
            <w:tcMar>
              <w:top w:w="70" w:type="dxa"/>
              <w:start w:w="80" w:type="dxa"/>
              <w:bottom w:w="70" w:type="dxa"/>
              <w:end w:w="80" w:type="dxa"/>
            </w:tcMar>
            <w:vAlign w:val="center"/>
          </w:tcPr>
          <w:p>
            <w:r>
              <w:rPr>
                <w:rFonts w:ascii="Liberation Sans" w:hAnsi="Liberation Sans"/>
                <w:b/>
                <w:color w:val="1C2430"/>
                <w:sz w:val="15"/>
              </w:rPr>
              <w:t>Test humans</w:t>
            </w:r>
          </w:p>
        </w:tc>
        <w:tc>
          <w:tcPr>
            <w:tcW w:type="dxa" w:w="2498"/>
            <w:tcMar>
              <w:top w:w="70" w:type="dxa"/>
              <w:start w:w="80" w:type="dxa"/>
              <w:bottom w:w="70" w:type="dxa"/>
              <w:end w:w="80" w:type="dxa"/>
            </w:tcMar>
            <w:vAlign w:val="center"/>
          </w:tcPr>
          <w:p>
            <w:r>
              <w:rPr>
                <w:rFonts w:ascii="Liberation Sans" w:hAnsi="Liberation Sans"/>
                <w:b w:val="0"/>
                <w:color w:val="1C2430"/>
                <w:sz w:val="15"/>
              </w:rPr>
              <w:t>Run counterbalanced behavioral experiments with trajectory and terminal-only arms.</w:t>
            </w:r>
          </w:p>
        </w:tc>
        <w:tc>
          <w:tcPr>
            <w:tcW w:type="dxa" w:w="2498"/>
            <w:tcMar>
              <w:top w:w="70" w:type="dxa"/>
              <w:start w:w="80" w:type="dxa"/>
              <w:bottom w:w="70" w:type="dxa"/>
              <w:end w:w="80" w:type="dxa"/>
            </w:tcMar>
            <w:vAlign w:val="center"/>
          </w:tcPr>
          <w:p>
            <w:r>
              <w:rPr>
                <w:rFonts w:ascii="Liberation Sans" w:hAnsi="Liberation Sans"/>
                <w:b w:val="0"/>
                <w:color w:val="1C2430"/>
                <w:sz w:val="15"/>
              </w:rPr>
              <w:t>Separate sequence effects from measurement reactivity.</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3</w:t>
            </w:r>
          </w:p>
        </w:tc>
        <w:tc>
          <w:tcPr>
            <w:tcW w:type="dxa" w:w="2498"/>
            <w:tcMar>
              <w:top w:w="70" w:type="dxa"/>
              <w:start w:w="80" w:type="dxa"/>
              <w:bottom w:w="70" w:type="dxa"/>
              <w:end w:w="80" w:type="dxa"/>
            </w:tcMar>
            <w:vAlign w:val="center"/>
          </w:tcPr>
          <w:p>
            <w:r>
              <w:rPr>
                <w:rFonts w:ascii="Liberation Sans" w:hAnsi="Liberation Sans"/>
                <w:b/>
                <w:color w:val="1C2430"/>
                <w:sz w:val="15"/>
              </w:rPr>
              <w:t>Predict</w:t>
            </w:r>
          </w:p>
        </w:tc>
        <w:tc>
          <w:tcPr>
            <w:tcW w:type="dxa" w:w="2498"/>
            <w:tcMar>
              <w:top w:w="70" w:type="dxa"/>
              <w:start w:w="80" w:type="dxa"/>
              <w:bottom w:w="70" w:type="dxa"/>
              <w:end w:w="80" w:type="dxa"/>
            </w:tcMar>
            <w:vAlign w:val="center"/>
          </w:tcPr>
          <w:p>
            <w:r>
              <w:rPr>
                <w:rFonts w:ascii="Liberation Sans" w:hAnsi="Liberation Sans"/>
                <w:b w:val="0"/>
                <w:color w:val="1C2430"/>
                <w:sz w:val="15"/>
              </w:rPr>
              <w:t>Fit ErisML-derived structure on training data and predict unseen sequences/participants.</w:t>
            </w:r>
          </w:p>
        </w:tc>
        <w:tc>
          <w:tcPr>
            <w:tcW w:type="dxa" w:w="2498"/>
            <w:tcMar>
              <w:top w:w="70" w:type="dxa"/>
              <w:start w:w="80" w:type="dxa"/>
              <w:bottom w:w="70" w:type="dxa"/>
              <w:end w:w="80" w:type="dxa"/>
            </w:tcMar>
            <w:vAlign w:val="center"/>
          </w:tcPr>
          <w:p>
            <w:r>
              <w:rPr>
                <w:rFonts w:ascii="Liberation Sans" w:hAnsi="Liberation Sans"/>
                <w:b w:val="0"/>
                <w:color w:val="1C2430"/>
                <w:sz w:val="15"/>
              </w:rPr>
              <w:t>Out-of-sample prediction is the key value test.</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4</w:t>
            </w:r>
          </w:p>
        </w:tc>
        <w:tc>
          <w:tcPr>
            <w:tcW w:type="dxa" w:w="2498"/>
            <w:tcMar>
              <w:top w:w="70" w:type="dxa"/>
              <w:start w:w="80" w:type="dxa"/>
              <w:bottom w:w="70" w:type="dxa"/>
              <w:end w:w="80" w:type="dxa"/>
            </w:tcMar>
            <w:vAlign w:val="center"/>
          </w:tcPr>
          <w:p>
            <w:r>
              <w:rPr>
                <w:rFonts w:ascii="Liberation Sans" w:hAnsi="Liberation Sans"/>
                <w:b/>
                <w:color w:val="1C2430"/>
                <w:sz w:val="15"/>
              </w:rPr>
              <w:t>Compare</w:t>
            </w:r>
          </w:p>
        </w:tc>
        <w:tc>
          <w:tcPr>
            <w:tcW w:type="dxa" w:w="2498"/>
            <w:tcMar>
              <w:top w:w="70" w:type="dxa"/>
              <w:start w:w="80" w:type="dxa"/>
              <w:bottom w:w="70" w:type="dxa"/>
              <w:end w:w="80" w:type="dxa"/>
            </w:tcMar>
            <w:vAlign w:val="center"/>
          </w:tcPr>
          <w:p>
            <w:r>
              <w:rPr>
                <w:rFonts w:ascii="Liberation Sans" w:hAnsi="Liberation Sans"/>
                <w:b w:val="0"/>
                <w:color w:val="1C2430"/>
                <w:sz w:val="15"/>
              </w:rPr>
              <w:t>Benchmark against regression, sequential-sampling, and quantum-probability baselines.</w:t>
            </w:r>
          </w:p>
        </w:tc>
        <w:tc>
          <w:tcPr>
            <w:tcW w:type="dxa" w:w="2498"/>
            <w:tcMar>
              <w:top w:w="70" w:type="dxa"/>
              <w:start w:w="80" w:type="dxa"/>
              <w:bottom w:w="70" w:type="dxa"/>
              <w:end w:w="80" w:type="dxa"/>
            </w:tcMar>
            <w:vAlign w:val="center"/>
          </w:tcPr>
          <w:p>
            <w:r>
              <w:rPr>
                <w:rFonts w:ascii="Liberation Sans" w:hAnsi="Liberation Sans"/>
                <w:b w:val="0"/>
                <w:color w:val="1C2430"/>
                <w:sz w:val="15"/>
              </w:rPr>
              <w:t>ErisML must add explanatory or predictive value.</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5</w:t>
            </w:r>
          </w:p>
        </w:tc>
        <w:tc>
          <w:tcPr>
            <w:tcW w:type="dxa" w:w="2498"/>
            <w:tcMar>
              <w:top w:w="70" w:type="dxa"/>
              <w:start w:w="80" w:type="dxa"/>
              <w:bottom w:w="70" w:type="dxa"/>
              <w:end w:w="80" w:type="dxa"/>
            </w:tcMar>
            <w:vAlign w:val="center"/>
          </w:tcPr>
          <w:p>
            <w:r>
              <w:rPr>
                <w:rFonts w:ascii="Liberation Sans" w:hAnsi="Liberation Sans"/>
                <w:b/>
                <w:color w:val="1C2430"/>
                <w:sz w:val="15"/>
              </w:rPr>
              <w:t>Generalize</w:t>
            </w:r>
          </w:p>
        </w:tc>
        <w:tc>
          <w:tcPr>
            <w:tcW w:type="dxa" w:w="2498"/>
            <w:tcMar>
              <w:top w:w="70" w:type="dxa"/>
              <w:start w:w="80" w:type="dxa"/>
              <w:bottom w:w="70" w:type="dxa"/>
              <w:end w:w="80" w:type="dxa"/>
            </w:tcMar>
            <w:vAlign w:val="center"/>
          </w:tcPr>
          <w:p>
            <w:r>
              <w:rPr>
                <w:rFonts w:ascii="Liberation Sans" w:hAnsi="Liberation Sans"/>
                <w:b w:val="0"/>
                <w:color w:val="1C2430"/>
                <w:sz w:val="15"/>
              </w:rPr>
              <w:t>Replicate outside moral judgment before claiming a general decision architecture.</w:t>
            </w:r>
          </w:p>
        </w:tc>
        <w:tc>
          <w:tcPr>
            <w:tcW w:type="dxa" w:w="2498"/>
            <w:tcMar>
              <w:top w:w="70" w:type="dxa"/>
              <w:start w:w="80" w:type="dxa"/>
              <w:bottom w:w="70" w:type="dxa"/>
              <w:end w:w="80" w:type="dxa"/>
            </w:tcMar>
            <w:vAlign w:val="center"/>
          </w:tcPr>
          <w:p>
            <w:r>
              <w:rPr>
                <w:rFonts w:ascii="Liberation Sans" w:hAnsi="Liberation Sans"/>
                <w:b w:val="0"/>
                <w:color w:val="1C2430"/>
                <w:sz w:val="15"/>
              </w:rPr>
              <w:t>Avoid domain-specific overreach.</w:t>
            </w:r>
          </w:p>
        </w:tc>
      </w:tr>
      <w:tr>
        <w:trPr>
          <w:cantSplit/>
        </w:trPr>
        <w:tc>
          <w:tcPr>
            <w:tcW w:type="dxa" w:w="2498"/>
            <w:tcMar>
              <w:top w:w="70" w:type="dxa"/>
              <w:start w:w="80" w:type="dxa"/>
              <w:bottom w:w="70" w:type="dxa"/>
              <w:end w:w="80" w:type="dxa"/>
            </w:tcMar>
            <w:shd w:fill="E8F2F3"/>
            <w:vAlign w:val="center"/>
          </w:tcPr>
          <w:p>
            <w:r>
              <w:rPr>
                <w:rFonts w:ascii="Liberation Sans" w:hAnsi="Liberation Sans"/>
                <w:b/>
                <w:color w:val="1C2430"/>
                <w:sz w:val="15"/>
              </w:rPr>
              <w:t>6</w:t>
            </w:r>
          </w:p>
        </w:tc>
        <w:tc>
          <w:tcPr>
            <w:tcW w:type="dxa" w:w="2498"/>
            <w:tcMar>
              <w:top w:w="70" w:type="dxa"/>
              <w:start w:w="80" w:type="dxa"/>
              <w:bottom w:w="70" w:type="dxa"/>
              <w:end w:w="80" w:type="dxa"/>
            </w:tcMar>
            <w:vAlign w:val="center"/>
          </w:tcPr>
          <w:p>
            <w:r>
              <w:rPr>
                <w:rFonts w:ascii="Liberation Sans" w:hAnsi="Liberation Sans"/>
                <w:b/>
                <w:color w:val="1C2430"/>
                <w:sz w:val="15"/>
              </w:rPr>
              <w:t>Neural extension</w:t>
            </w:r>
          </w:p>
        </w:tc>
        <w:tc>
          <w:tcPr>
            <w:tcW w:type="dxa" w:w="2498"/>
            <w:tcMar>
              <w:top w:w="70" w:type="dxa"/>
              <w:start w:w="80" w:type="dxa"/>
              <w:bottom w:w="70" w:type="dxa"/>
              <w:end w:w="80" w:type="dxa"/>
            </w:tcMar>
            <w:vAlign w:val="center"/>
          </w:tcPr>
          <w:p>
            <w:r>
              <w:rPr>
                <w:rFonts w:ascii="Liberation Sans" w:hAnsi="Liberation Sans"/>
                <w:b w:val="0"/>
                <w:color w:val="1C2430"/>
                <w:sz w:val="15"/>
              </w:rPr>
              <w:t>Only after behavioral replication, test correspondence with EEG/fMRI/other neural measures.</w:t>
            </w:r>
          </w:p>
        </w:tc>
        <w:tc>
          <w:tcPr>
            <w:tcW w:type="dxa" w:w="2498"/>
            <w:tcMar>
              <w:top w:w="70" w:type="dxa"/>
              <w:start w:w="80" w:type="dxa"/>
              <w:bottom w:w="70" w:type="dxa"/>
              <w:end w:w="80" w:type="dxa"/>
            </w:tcMar>
            <w:vAlign w:val="center"/>
          </w:tcPr>
          <w:p>
            <w:r>
              <w:rPr>
                <w:rFonts w:ascii="Liberation Sans" w:hAnsi="Liberation Sans"/>
                <w:b w:val="0"/>
                <w:color w:val="1C2430"/>
                <w:sz w:val="15"/>
              </w:rPr>
              <w:t>No one-to-one neural/operator mapping assumed.</w:t>
            </w:r>
          </w:p>
        </w:tc>
      </w:tr>
    </w:tbl>
    <w:p>
      <w:pPr>
        <w:pStyle w:val="Callout"/>
        <w:spacing w:before="200"/>
      </w:pPr>
      <w:r>
        <w:t>The campaign succeeds only if ErisML moves from describing observed effects to making reliable, preregistered, out-of-sample predictions that survive comparison with established cognitive models.</w:t>
      </w:r>
    </w:p>
    <w:p>
      <w:pPr>
        <w:pStyle w:val="Heading1"/>
        <w:pBdr>
          <w:bottom w:val="single" w:sz="10" w:space="1" w:color="17365D"/>
        </w:pBdr>
      </w:pPr>
      <w:r>
        <w:t>1. Principal Research Question</w:t>
      </w:r>
    </w:p>
    <w:p>
      <w:r>
        <w:rPr>
          <w:rFonts w:ascii="Liberation Sans" w:hAnsi="Liberation Sans"/>
          <w:b/>
          <w:color w:val="17365D"/>
          <w:sz w:val="22"/>
        </w:rPr>
        <w:t>Can mathematical tools implemented in Andrew Bond’s ErisML-Lib characterize and predict measurable properties of human decision-making that arise when multiple cognitive or evaluative processes interact?</w:t>
      </w:r>
    </w:p>
    <w:p>
      <w:r>
        <w:t>Stated operationally: do human decisions exhibit reproducible order sensitivity, context dependence, higher-order interaction, temporal path dependence, and distributed contribution patterns that can be quantified with ErisML-derived measures — and do those measures improve prediction beyond established alternatives?</w:t>
      </w:r>
    </w:p>
    <w:p>
      <w:r>
        <w:rPr>
          <w:rFonts w:ascii="Liberation Sans" w:hAnsi="Liberation Sans"/>
          <w:b/>
          <w:color w:val="1F6D78"/>
        </w:rPr>
        <w:t xml:space="preserve">Primary endpoint: </w:t>
      </w:r>
      <w:r>
        <w:rPr>
          <w:rFonts w:ascii="Liberation Sans" w:hAnsi="Liberation Sans"/>
        </w:rPr>
        <w:t>out-of-sample predictive performance on decision outcomes and/or state trajectories under sequences not used to estimate the participant or group model.</w:t>
      </w:r>
    </w:p>
    <w:p>
      <w:r>
        <w:rPr>
          <w:rFonts w:ascii="Liberation Sans" w:hAnsi="Liberation Sans"/>
          <w:b/>
          <w:color w:val="1F6D78"/>
        </w:rPr>
        <w:t xml:space="preserve">Secondary endpoints: </w:t>
      </w:r>
      <w:r>
        <w:rPr>
          <w:rFonts w:ascii="Liberation Sans" w:hAnsi="Liberation Sans"/>
        </w:rPr>
        <w:t>replicated order effects, context effects, higher-order interaction, temporal stability, cross-domain generalization, and — only in later phases — correspondence between mathematical interaction structure and neural measurements.</w:t>
      </w:r>
    </w:p>
    <w:p>
      <w:pPr>
        <w:pStyle w:val="Heading1"/>
        <w:pBdr>
          <w:bottom w:val="single" w:sz="10" w:space="1" w:color="17365D"/>
        </w:pBdr>
      </w:pPr>
      <w:r>
        <w:t>2. Evidence Discipline: What Is Known, What Is Reported, What Is Hypothesized</w:t>
      </w:r>
    </w:p>
    <w:p>
      <w:r>
        <w:t>A 10/10 campaign must make its epistemic boundaries visible. Every important statement should carry one of five evidence labels:</w:t>
      </w:r>
    </w:p>
    <w:p>
      <w:pPr>
        <w:pStyle w:val="Label"/>
      </w:pPr>
      <w:r>
        <w:rPr>
          <w:rFonts w:ascii="Liberation Sans" w:hAnsi="Liberation Sans"/>
          <w:b/>
          <w:color w:val="2E6F4E"/>
          <w:sz w:val="19"/>
        </w:rPr>
        <w:t>A — Implemented / inspectable</w:t>
      </w:r>
    </w:p>
    <w:p>
      <w:pPr>
        <w:spacing w:after="80"/>
        <w:ind w:left="259"/>
      </w:pPr>
      <w:r>
        <w:t>Present in the current ErisML-Lib repository as code, test infrastructure, formalization, or documented architecture.</w:t>
      </w:r>
    </w:p>
    <w:p>
      <w:pPr>
        <w:pStyle w:val="Label"/>
      </w:pPr>
      <w:r>
        <w:rPr>
          <w:rFonts w:ascii="Liberation Sans" w:hAnsi="Liberation Sans"/>
          <w:b/>
          <w:color w:val="8A6A23"/>
          <w:sz w:val="19"/>
        </w:rPr>
        <w:t>B — Repository-reported empirical result</w:t>
      </w:r>
    </w:p>
    <w:p>
      <w:pPr>
        <w:spacing w:after="80"/>
        <w:ind w:left="259"/>
      </w:pPr>
      <w:r>
        <w:t>Reported in ErisML-Lib documentation or examples, but must be independently reproduced from the current repository before being used as external evidence.</w:t>
      </w:r>
    </w:p>
    <w:p>
      <w:pPr>
        <w:pStyle w:val="Label"/>
      </w:pPr>
      <w:r>
        <w:rPr>
          <w:rFonts w:ascii="Liberation Sans" w:hAnsi="Liberation Sans"/>
          <w:b/>
          <w:color w:val="1F6D78"/>
          <w:sz w:val="19"/>
        </w:rPr>
        <w:t>C — Established external literature</w:t>
      </w:r>
    </w:p>
    <w:p>
      <w:pPr>
        <w:spacing w:after="80"/>
        <w:ind w:left="259"/>
      </w:pPr>
      <w:r>
        <w:t>Supported by peer-reviewed human cognition/neuroscience literature independent of ErisML.</w:t>
      </w:r>
    </w:p>
    <w:p>
      <w:pPr>
        <w:pStyle w:val="Label"/>
      </w:pPr>
      <w:r>
        <w:rPr>
          <w:rFonts w:ascii="Liberation Sans" w:hAnsi="Liberation Sans"/>
          <w:b/>
          <w:color w:val="5A6573"/>
          <w:sz w:val="19"/>
        </w:rPr>
        <w:t>D — Cross-framework analogy</w:t>
      </w:r>
    </w:p>
    <w:p>
      <w:pPr>
        <w:spacing w:after="80"/>
        <w:ind w:left="259"/>
      </w:pPr>
      <w:r>
        <w:t>A plausible conceptual mapping between ErisML and distributed cognition; not yet an empirical correspondence.</w:t>
      </w:r>
    </w:p>
    <w:p>
      <w:pPr>
        <w:pStyle w:val="Label"/>
      </w:pPr>
      <w:r>
        <w:rPr>
          <w:rFonts w:ascii="Liberation Sans" w:hAnsi="Liberation Sans"/>
          <w:b/>
          <w:color w:val="A23B3B"/>
          <w:sz w:val="19"/>
        </w:rPr>
        <w:t>E — New research hypothesis</w:t>
      </w:r>
    </w:p>
    <w:p>
      <w:pPr>
        <w:spacing w:after="80"/>
        <w:ind w:left="259"/>
      </w:pPr>
      <w:r>
        <w:t>A claim this campaign is designed to test. It should be treated as unproven until preregistered data support it.</w:t>
      </w:r>
    </w:p>
    <w:p>
      <w:pPr>
        <w:pStyle w:val="Heading2"/>
      </w:pPr>
      <w:r>
        <w:t>2.1 Current ErisML-Lib components relevant to this campaign</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3331"/>
        <w:gridCol w:w="3331"/>
        <w:gridCol w:w="3331"/>
      </w:tblGrid>
      <w:tr>
        <w:trPr>
          <w:tblHeader w:val="true"/>
        </w:trPr>
        <w:tc>
          <w:tcPr>
            <w:tcW w:type="dxa" w:w="3331"/>
            <w:shd w:fill="17365D"/>
            <w:tcMar>
              <w:top w:w="80" w:type="dxa"/>
              <w:start w:w="100" w:type="dxa"/>
              <w:bottom w:w="80" w:type="dxa"/>
              <w:end w:w="100" w:type="dxa"/>
            </w:tcMar>
            <w:vAlign w:val="center"/>
          </w:tcPr>
          <w:p>
            <w:r>
              <w:rPr>
                <w:rFonts w:ascii="Liberation Sans" w:hAnsi="Liberation Sans"/>
                <w:b/>
                <w:color w:val="FFFFFF"/>
                <w:sz w:val="16"/>
              </w:rPr>
              <w:t>Component</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Status-conscious statement</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Tier</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Order / transformation sensitivity</w:t>
            </w:r>
          </w:p>
        </w:tc>
        <w:tc>
          <w:tcPr>
            <w:tcW w:type="dxa" w:w="3331"/>
            <w:tcMar>
              <w:top w:w="70" w:type="dxa"/>
              <w:start w:w="80" w:type="dxa"/>
              <w:bottom w:w="70" w:type="dxa"/>
              <w:end w:w="80" w:type="dxa"/>
            </w:tcMar>
            <w:vAlign w:val="center"/>
          </w:tcPr>
          <w:p>
            <w:r>
              <w:rPr>
                <w:rFonts w:ascii="Liberation Sans" w:hAnsi="Liberation Sans"/>
                <w:b w:val="0"/>
                <w:color w:val="1C2430"/>
                <w:sz w:val="15"/>
              </w:rPr>
              <w:t>Current repository documentation describes categorical evaluation with commutator defect Ωop for order sensitivity, mixed defect μ for context dependence, and permutation defect π3 for higher-order composition sensitivity.</w:t>
            </w:r>
          </w:p>
        </w:tc>
        <w:tc>
          <w:tcPr>
            <w:tcW w:type="dxa" w:w="3331"/>
            <w:tcMar>
              <w:top w:w="70" w:type="dxa"/>
              <w:start w:w="80" w:type="dxa"/>
              <w:bottom w:w="70" w:type="dxa"/>
              <w:end w:w="80" w:type="dxa"/>
            </w:tcMar>
            <w:shd w:fill="E4F2E9"/>
            <w:vAlign w:val="center"/>
          </w:tcPr>
          <w:p>
            <w:r>
              <w:rPr>
                <w:rFonts w:ascii="Liberation Sans" w:hAnsi="Liberation Sans"/>
                <w:b/>
                <w:color w:val="1C2430"/>
                <w:sz w:val="15"/>
              </w:rPr>
              <w:t>A</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I-EIP internal-state monitoring</w:t>
            </w:r>
          </w:p>
        </w:tc>
        <w:tc>
          <w:tcPr>
            <w:tcW w:type="dxa" w:w="3331"/>
            <w:tcMar>
              <w:top w:w="70" w:type="dxa"/>
              <w:start w:w="80" w:type="dxa"/>
              <w:bottom w:w="70" w:type="dxa"/>
              <w:end w:w="80" w:type="dxa"/>
            </w:tcMar>
            <w:vAlign w:val="center"/>
          </w:tcPr>
          <w:p>
            <w:r>
              <w:rPr>
                <w:rFonts w:ascii="Liberation Sans" w:hAnsi="Liberation Sans"/>
                <w:b w:val="0"/>
                <w:color w:val="1C2430"/>
                <w:sz w:val="15"/>
              </w:rPr>
              <w:t>The repository exposes activation probes, Procrustes-based ρ estimation, equivariance error, drift detection, non-degeneracy checks, and aggregated reports for model internal representations.</w:t>
            </w:r>
          </w:p>
        </w:tc>
        <w:tc>
          <w:tcPr>
            <w:tcW w:type="dxa" w:w="3331"/>
            <w:tcMar>
              <w:top w:w="70" w:type="dxa"/>
              <w:start w:w="80" w:type="dxa"/>
              <w:bottom w:w="70" w:type="dxa"/>
              <w:end w:w="80" w:type="dxa"/>
            </w:tcMar>
            <w:shd w:fill="E4F2E9"/>
            <w:vAlign w:val="center"/>
          </w:tcPr>
          <w:p>
            <w:r>
              <w:rPr>
                <w:rFonts w:ascii="Liberation Sans" w:hAnsi="Liberation Sans"/>
                <w:b/>
                <w:color w:val="1C2430"/>
                <w:sz w:val="15"/>
              </w:rPr>
              <w:t>A</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Tensorial / multi-agent ethics</w:t>
            </w:r>
          </w:p>
        </w:tc>
        <w:tc>
          <w:tcPr>
            <w:tcW w:type="dxa" w:w="3331"/>
            <w:tcMar>
              <w:top w:w="70" w:type="dxa"/>
              <w:start w:w="80" w:type="dxa"/>
              <w:bottom w:w="70" w:type="dxa"/>
              <w:end w:w="80" w:type="dxa"/>
            </w:tcMar>
            <w:vAlign w:val="center"/>
          </w:tcPr>
          <w:p>
            <w:r>
              <w:rPr>
                <w:rFonts w:ascii="Liberation Sans" w:hAnsi="Liberation Sans"/>
                <w:b w:val="0"/>
                <w:color w:val="1C2430"/>
                <w:sz w:val="15"/>
              </w:rPr>
              <w:t>The repository documents MoralTensor operations through rank-6 context tensors, including temporal axes, coalition context, Shapley attribution, uncertainty, strategic analysis, and decomposition.</w:t>
            </w:r>
          </w:p>
        </w:tc>
        <w:tc>
          <w:tcPr>
            <w:tcW w:type="dxa" w:w="3331"/>
            <w:tcMar>
              <w:top w:w="70" w:type="dxa"/>
              <w:start w:w="80" w:type="dxa"/>
              <w:bottom w:w="70" w:type="dxa"/>
              <w:end w:w="80" w:type="dxa"/>
            </w:tcMar>
            <w:shd w:fill="E4F2E9"/>
            <w:vAlign w:val="center"/>
          </w:tcPr>
          <w:p>
            <w:r>
              <w:rPr>
                <w:rFonts w:ascii="Liberation Sans" w:hAnsi="Liberation Sans"/>
                <w:b/>
                <w:color w:val="1C2430"/>
                <w:sz w:val="15"/>
              </w:rPr>
              <w:t>A</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QND experimental results</w:t>
            </w:r>
          </w:p>
        </w:tc>
        <w:tc>
          <w:tcPr>
            <w:tcW w:type="dxa" w:w="3331"/>
            <w:tcMar>
              <w:top w:w="70" w:type="dxa"/>
              <w:start w:w="80" w:type="dxa"/>
              <w:bottom w:w="70" w:type="dxa"/>
              <w:end w:w="80" w:type="dxa"/>
            </w:tcMar>
            <w:vAlign w:val="center"/>
          </w:tcPr>
          <w:p>
            <w:r>
              <w:rPr>
                <w:rFonts w:ascii="Liberation Sans" w:hAnsi="Liberation Sans"/>
                <w:b w:val="0"/>
                <w:color w:val="1C2430"/>
                <w:sz w:val="15"/>
              </w:rPr>
              <w:t>The existing campaign brief reports earlier ErisML-Lib QND results including a 28.7% Harm↔Intent reversal effect and a larger 8-dimension / 56-pair / 16,800-measurement result with 31 of 56 significant order effects. These numbers should be treated as repository-reported until reproduced from the current main branch.</w:t>
            </w:r>
          </w:p>
        </w:tc>
        <w:tc>
          <w:tcPr>
            <w:tcW w:type="dxa" w:w="3331"/>
            <w:tcMar>
              <w:top w:w="70" w:type="dxa"/>
              <w:start w:w="80" w:type="dxa"/>
              <w:bottom w:w="70" w:type="dxa"/>
              <w:end w:w="80" w:type="dxa"/>
            </w:tcMar>
            <w:shd w:fill="FBF4DF"/>
            <w:vAlign w:val="center"/>
          </w:tcPr>
          <w:p>
            <w:r>
              <w:rPr>
                <w:rFonts w:ascii="Liberation Sans" w:hAnsi="Liberation Sans"/>
                <w:b/>
                <w:color w:val="1C2430"/>
                <w:sz w:val="15"/>
              </w:rPr>
              <w:t>B</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Human-neuroscience interpretation</w:t>
            </w:r>
          </w:p>
        </w:tc>
        <w:tc>
          <w:tcPr>
            <w:tcW w:type="dxa" w:w="3331"/>
            <w:tcMar>
              <w:top w:w="70" w:type="dxa"/>
              <w:start w:w="80" w:type="dxa"/>
              <w:bottom w:w="70" w:type="dxa"/>
              <w:end w:w="80" w:type="dxa"/>
            </w:tcMar>
            <w:vAlign w:val="center"/>
          </w:tcPr>
          <w:p>
            <w:r>
              <w:rPr>
                <w:rFonts w:ascii="Liberation Sans" w:hAnsi="Liberation Sans"/>
                <w:b w:val="0"/>
                <w:color w:val="1C2430"/>
                <w:sz w:val="15"/>
              </w:rPr>
              <w:t>No current ErisML-Lib result establishes that these operators or defects correspond to neural populations, biological mechanisms, or human cognitive architecture.</w:t>
            </w:r>
          </w:p>
        </w:tc>
        <w:tc>
          <w:tcPr>
            <w:tcW w:type="dxa" w:w="3331"/>
            <w:tcMar>
              <w:top w:w="70" w:type="dxa"/>
              <w:start w:w="80" w:type="dxa"/>
              <w:bottom w:w="70" w:type="dxa"/>
              <w:end w:w="80" w:type="dxa"/>
            </w:tcMar>
            <w:shd w:fill="F7E8E8"/>
            <w:vAlign w:val="center"/>
          </w:tcPr>
          <w:p>
            <w:r>
              <w:rPr>
                <w:rFonts w:ascii="Liberation Sans" w:hAnsi="Liberation Sans"/>
                <w:b/>
                <w:color w:val="1C2430"/>
                <w:sz w:val="15"/>
              </w:rPr>
              <w:t>E</w:t>
            </w:r>
          </w:p>
        </w:tc>
      </w:tr>
    </w:tbl>
    <w:p>
      <w:pPr>
        <w:pStyle w:val="Small"/>
      </w:pPr>
      <w:r>
        <w:rPr>
          <w:rFonts w:ascii="Liberation Sans" w:hAnsi="Liberation Sans"/>
          <w:i/>
          <w:color w:val="5A6573"/>
          <w:sz w:val="16"/>
        </w:rPr>
        <w:t>Scope control: this brief intentionally does not rely on related repositories such as non-abelian-sqnd, sqnd-probe, erisml-compiler, or other Andrew Bond repositories. If later included, their evidence must be audited separately.</w:t>
      </w:r>
    </w:p>
    <w:p>
      <w:pPr>
        <w:pStyle w:val="Heading1"/>
        <w:pBdr>
          <w:bottom w:val="single" w:sz="10" w:space="1" w:color="17365D"/>
        </w:pBdr>
      </w:pPr>
      <w:r>
        <w:t>3. Scientific Opportunity and Prior-Art Positioning</w:t>
      </w:r>
    </w:p>
    <w:p>
      <w:pPr>
        <w:pStyle w:val="Heading2"/>
      </w:pPr>
      <w:r>
        <w:t>3.1 Eagleman’s biological premise</w:t>
      </w:r>
    </w:p>
    <w:p>
      <w:r>
        <w:t>Eagleman has described the brain as a “team of rivals,” with different neural populations competing to control a single behavioral output. In Incognito, he also describes local groups making decisions and larger coalitions emerging from those interactions. His public account of brain complexity explicitly argues that the connectivity of neural systems requires new kinds of mathematics. These are biological and conceptual claims, not an ErisML validation.</w:t>
      </w:r>
    </w:p>
    <w:p>
      <w:pPr>
        <w:pStyle w:val="Heading2"/>
      </w:pPr>
      <w:r>
        <w:t>3.2 Human order effects are not novel by themselves</w:t>
      </w:r>
    </w:p>
    <w:p>
      <w:r>
        <w:t>Human judgment already has a substantial literature on question-order effects, context dependence, evidence accumulation, and non-classical probability models. Quantum-cognition researchers have modeled noncommutative order effects in human judgment, including parameter-free predictions such as the quantum question (QQ) equality. Sequential-sampling and competing-accumulator models also provide mature accounts of how evidence is integrated over time. Therefore, “humans show order effects” cannot be the novelty claim of this campaign.</w:t>
      </w:r>
    </w:p>
    <w:p>
      <w:pPr>
        <w:pStyle w:val="Heading2"/>
      </w:pPr>
      <w:r>
        <w:t>3.3 What ErisML must add</w:t>
      </w:r>
    </w:p>
    <w:p>
      <w:pPr>
        <w:pStyle w:val="Label"/>
      </w:pPr>
      <w:r>
        <w:t>A richer interaction vocabulary</w:t>
      </w:r>
    </w:p>
    <w:p>
      <w:pPr>
        <w:ind w:left="259"/>
      </w:pPr>
      <w:r>
        <w:t>A unified set of pairwise order, contextual, higher-order, temporal, and attribution measurements rather than a single order-effect statistic.</w:t>
      </w:r>
    </w:p>
    <w:p>
      <w:pPr>
        <w:pStyle w:val="Label"/>
      </w:pPr>
      <w:r>
        <w:t>Cross-level discipline</w:t>
      </w:r>
    </w:p>
    <w:p>
      <w:pPr>
        <w:ind w:left="259"/>
      </w:pPr>
      <w:r>
        <w:t>A framework that can distinguish output behavior, internal representation, and representational/gauge effects without assuming they are biologically identical.</w:t>
      </w:r>
    </w:p>
    <w:p>
      <w:pPr>
        <w:pStyle w:val="Label"/>
      </w:pPr>
      <w:r>
        <w:t>Predictive structure</w:t>
      </w:r>
    </w:p>
    <w:p>
      <w:pPr>
        <w:ind w:left="259"/>
      </w:pPr>
      <w:r>
        <w:t>The ability to estimate a participant- or group-level interaction structure from a subset of sequences and predict unseen sequences.</w:t>
      </w:r>
    </w:p>
    <w:p>
      <w:pPr>
        <w:pStyle w:val="Label"/>
      </w:pPr>
      <w:r>
        <w:t>Auditability</w:t>
      </w:r>
    </w:p>
    <w:p>
      <w:pPr>
        <w:ind w:left="259"/>
      </w:pPr>
      <w:r>
        <w:t>Explicit declared invariances, witnesses for failures, reproducible pipelines, and formal/engineering artifacts.</w:t>
      </w:r>
    </w:p>
    <w:p>
      <w:pPr>
        <w:pStyle w:val="Label"/>
      </w:pPr>
      <w:r>
        <w:t>Cross-system comparison</w:t>
      </w:r>
    </w:p>
    <w:p>
      <w:pPr>
        <w:ind w:left="259"/>
      </w:pPr>
      <w:r>
        <w:t>A common measurement language that may eventually allow controlled comparison of human and artificial decision systems without claiming that they share the same mechanism.</w:t>
      </w:r>
    </w:p>
    <w:p>
      <w:pPr>
        <w:pStyle w:val="Heading1"/>
        <w:pBdr>
          <w:bottom w:val="single" w:sz="10" w:space="1" w:color="17365D"/>
        </w:pBdr>
      </w:pPr>
      <w:r>
        <w:t>4. Preregistered Hypothesis Family</w:t>
      </w:r>
    </w:p>
    <w:p>
      <w:pPr>
        <w:pStyle w:val="Heading2"/>
      </w:pPr>
      <w:r>
        <w:t>H1 — Order dependence</w:t>
      </w:r>
    </w:p>
    <w:p>
      <w:r>
        <w:t>For semantically identical information sets, the final judgment distribution will differ as a function of sequence. Candidate ErisML measure: Ωop.</w:t>
      </w:r>
    </w:p>
    <w:p>
      <w:pPr>
        <w:ind w:left="259"/>
      </w:pPr>
      <w:r>
        <w:rPr>
          <w:rFonts w:ascii="Liberation Sans" w:hAnsi="Liberation Sans"/>
          <w:i/>
          <w:color w:val="5A6573"/>
          <w:sz w:val="17"/>
        </w:rPr>
        <w:t>Null: after controlling for measurement reactivity, memory, and presentation artifacts, sequence contributes no reproducible effect.</w:t>
      </w:r>
    </w:p>
    <w:p>
      <w:pPr>
        <w:pStyle w:val="Heading2"/>
      </w:pPr>
      <w:r>
        <w:t>H2 — Context dependence</w:t>
      </w:r>
    </w:p>
    <w:p>
      <w:r>
        <w:t>The effect of factor A will depend on the evaluative state established by other factors. Candidate measure: μ.</w:t>
      </w:r>
    </w:p>
    <w:p>
      <w:pPr>
        <w:ind w:left="259"/>
      </w:pPr>
      <w:r>
        <w:rPr>
          <w:rFonts w:ascii="Liberation Sans" w:hAnsi="Liberation Sans"/>
          <w:i/>
          <w:color w:val="5A6573"/>
          <w:sz w:val="17"/>
        </w:rPr>
        <w:t>Null: factor effects are stable/additive across contexts.</w:t>
      </w:r>
    </w:p>
    <w:p>
      <w:pPr>
        <w:pStyle w:val="Heading2"/>
      </w:pPr>
      <w:r>
        <w:t>H3 — Higher-order interaction</w:t>
      </w:r>
    </w:p>
    <w:p>
      <w:r>
        <w:t>Three-factor sequences will contain interaction structure not recoverable from pairwise effects alone. Candidate measure: π3 or an explicitly defined human-data analogue.</w:t>
      </w:r>
    </w:p>
    <w:p>
      <w:pPr>
        <w:ind w:left="259"/>
      </w:pPr>
      <w:r>
        <w:rPr>
          <w:rFonts w:ascii="Liberation Sans" w:hAnsi="Liberation Sans"/>
          <w:i/>
          <w:color w:val="5A6573"/>
          <w:sz w:val="17"/>
        </w:rPr>
        <w:t>Null: pairwise terms fully account for sequence differences.</w:t>
      </w:r>
    </w:p>
    <w:p>
      <w:r>
        <w:br w:type="page"/>
      </w:r>
    </w:p>
    <w:p>
      <w:pPr>
        <w:pStyle w:val="Heading2"/>
      </w:pPr>
      <w:r>
        <w:t>H4 — Temporal path dependence</w:t>
      </w:r>
    </w:p>
    <w:p>
      <w:r>
        <w:t>Decision trajectories will show state evolution that depends on when information is introduced and how long participants deliberate. Candidate representation: temporal tensor axis.</w:t>
      </w:r>
    </w:p>
    <w:p>
      <w:pPr>
        <w:ind w:left="259"/>
      </w:pPr>
      <w:r>
        <w:rPr>
          <w:rFonts w:ascii="Liberation Sans" w:hAnsi="Liberation Sans"/>
          <w:i/>
          <w:color w:val="5A6573"/>
          <w:sz w:val="17"/>
        </w:rPr>
        <w:t>Null: only the final information set matters.</w:t>
      </w:r>
    </w:p>
    <w:p>
      <w:pPr>
        <w:pStyle w:val="Heading2"/>
      </w:pPr>
      <w:r>
        <w:t>H5 — Distributed contribution</w:t>
      </w:r>
    </w:p>
    <w:p>
      <w:r>
        <w:t>Different dimensions will show nonuniform marginal influence and coalition effects on final judgments. Candidate tools: attribution and coalition analysis.</w:t>
      </w:r>
    </w:p>
    <w:p>
      <w:pPr>
        <w:ind w:left="259"/>
      </w:pPr>
      <w:r>
        <w:rPr>
          <w:rFonts w:ascii="Liberation Sans" w:hAnsi="Liberation Sans"/>
          <w:i/>
          <w:color w:val="5A6573"/>
          <w:sz w:val="17"/>
        </w:rPr>
        <w:t>Null: a simpler additive model predicts equally well or better.</w:t>
      </w:r>
    </w:p>
    <w:p>
      <w:pPr>
        <w:pStyle w:val="Heading2"/>
      </w:pPr>
      <w:r>
        <w:t>H6 — Representational vs. intrinsic effects</w:t>
      </w:r>
    </w:p>
    <w:p>
      <w:r>
        <w:t>A portion of apparent inconsistency will disappear under controlled re-representation, while any remaining defect will be treated as candidate intrinsic structure.</w:t>
      </w:r>
    </w:p>
    <w:p>
      <w:pPr>
        <w:ind w:left="259"/>
      </w:pPr>
      <w:r>
        <w:rPr>
          <w:rFonts w:ascii="Liberation Sans" w:hAnsi="Liberation Sans"/>
          <w:i/>
          <w:color w:val="5A6573"/>
          <w:sz w:val="17"/>
        </w:rPr>
        <w:t>Null: decomposition adds no reliable explanatory value beyond nuisance controls.</w:t>
      </w:r>
    </w:p>
    <w:p>
      <w:pPr>
        <w:pStyle w:val="Heading2"/>
      </w:pPr>
      <w:r>
        <w:t>H7 — Predictive generalization</w:t>
      </w:r>
    </w:p>
    <w:p>
      <w:r>
        <w:t>An ErisML-derived interaction model estimated on a subset of sequences will predict held-out sequences and/or participants better than prespecified baseline models.</w:t>
      </w:r>
    </w:p>
    <w:p>
      <w:pPr>
        <w:ind w:left="259"/>
      </w:pPr>
      <w:r>
        <w:rPr>
          <w:rFonts w:ascii="Liberation Sans" w:hAnsi="Liberation Sans"/>
          <w:i/>
          <w:color w:val="5A6573"/>
          <w:sz w:val="17"/>
        </w:rPr>
        <w:t>Null: ErisML offers no out-of-sample advantage over simpler or established alternatives.</w:t>
      </w:r>
    </w:p>
    <w:p>
      <w:pPr>
        <w:pStyle w:val="Heading2"/>
      </w:pPr>
      <w:r>
        <w:t>H8 — Cross-domain generalization</w:t>
      </w:r>
    </w:p>
    <w:p>
      <w:r>
        <w:t>If the structure is general to distributed decision-making, at least a subset of the same interaction measures will replicate in a non-moral decision domain.</w:t>
      </w:r>
    </w:p>
    <w:p>
      <w:pPr>
        <w:ind w:left="259"/>
      </w:pPr>
      <w:r>
        <w:rPr>
          <w:rFonts w:ascii="Liberation Sans" w:hAnsi="Liberation Sans"/>
          <w:i/>
          <w:color w:val="5A6573"/>
          <w:sz w:val="17"/>
        </w:rPr>
        <w:t>Null: effects are specific to moral-language or social-judgment tasks.</w:t>
      </w:r>
    </w:p>
    <w:p>
      <w:pPr>
        <w:pStyle w:val="Heading1"/>
        <w:pBdr>
          <w:bottom w:val="single" w:sz="10" w:space="1" w:color="17365D"/>
        </w:pBdr>
      </w:pPr>
      <w:r>
        <w:t>5. Falsification and Model-Comparison Framework</w:t>
      </w:r>
    </w:p>
    <w:p>
      <w:r>
        <w:t>The campaign should be designed to make ErisML lose if it does not add value. The confirmatory analysis must compare prespecified alternatives on held-out data rather than simply fitting the observed dataset.</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4997"/>
        <w:gridCol w:w="4997"/>
      </w:tblGrid>
      <w:tr>
        <w:trPr>
          <w:tblHeader w:val="true"/>
        </w:trPr>
        <w:tc>
          <w:tcPr>
            <w:tcW w:type="dxa" w:w="4997"/>
            <w:shd w:fill="17365D"/>
            <w:tcMar>
              <w:top w:w="80" w:type="dxa"/>
              <w:start w:w="100" w:type="dxa"/>
              <w:bottom w:w="80" w:type="dxa"/>
              <w:end w:w="100" w:type="dxa"/>
            </w:tcMar>
            <w:vAlign w:val="center"/>
          </w:tcPr>
          <w:p>
            <w:r>
              <w:rPr>
                <w:rFonts w:ascii="Liberation Sans" w:hAnsi="Liberation Sans"/>
                <w:b/>
                <w:color w:val="FFFFFF"/>
                <w:sz w:val="16"/>
              </w:rPr>
              <w:t>Model family</w:t>
            </w:r>
          </w:p>
        </w:tc>
        <w:tc>
          <w:tcPr>
            <w:tcW w:type="dxa" w:w="4997"/>
            <w:shd w:fill="17365D"/>
            <w:tcMar>
              <w:top w:w="80" w:type="dxa"/>
              <w:start w:w="100" w:type="dxa"/>
              <w:bottom w:w="80" w:type="dxa"/>
              <w:end w:w="100" w:type="dxa"/>
            </w:tcMar>
            <w:vAlign w:val="center"/>
          </w:tcPr>
          <w:p>
            <w:r>
              <w:rPr>
                <w:rFonts w:ascii="Liberation Sans" w:hAnsi="Liberation Sans"/>
                <w:b/>
                <w:color w:val="FFFFFF"/>
                <w:sz w:val="16"/>
              </w:rPr>
              <w:t>Role in the campaign</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Baseline 1 — Additive statistical model</w:t>
            </w:r>
          </w:p>
        </w:tc>
        <w:tc>
          <w:tcPr>
            <w:tcW w:type="dxa" w:w="4997"/>
            <w:tcMar>
              <w:top w:w="70" w:type="dxa"/>
              <w:start w:w="80" w:type="dxa"/>
              <w:bottom w:w="70" w:type="dxa"/>
              <w:end w:w="80" w:type="dxa"/>
            </w:tcMar>
            <w:vAlign w:val="center"/>
          </w:tcPr>
          <w:p>
            <w:r>
              <w:rPr>
                <w:rFonts w:ascii="Liberation Sans" w:hAnsi="Liberation Sans"/>
                <w:b w:val="0"/>
                <w:color w:val="1C2430"/>
                <w:sz w:val="15"/>
              </w:rPr>
              <w:t>Hierarchical logistic / ordinal / multinomial model with content factors but no order interactions.</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Baseline 2 — Interaction regression</w:t>
            </w:r>
          </w:p>
        </w:tc>
        <w:tc>
          <w:tcPr>
            <w:tcW w:type="dxa" w:w="4997"/>
            <w:tcMar>
              <w:top w:w="70" w:type="dxa"/>
              <w:start w:w="80" w:type="dxa"/>
              <w:bottom w:w="70" w:type="dxa"/>
              <w:end w:w="80" w:type="dxa"/>
            </w:tcMar>
            <w:vAlign w:val="center"/>
          </w:tcPr>
          <w:p>
            <w:r>
              <w:rPr>
                <w:rFonts w:ascii="Liberation Sans" w:hAnsi="Liberation Sans"/>
                <w:b w:val="0"/>
                <w:color w:val="1C2430"/>
                <w:sz w:val="15"/>
              </w:rPr>
              <w:t>Adds conventional pairwise and higher-order interaction terms without ErisML structure.</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Baseline 3 — Sequential-sampling model</w:t>
            </w:r>
          </w:p>
        </w:tc>
        <w:tc>
          <w:tcPr>
            <w:tcW w:type="dxa" w:w="4997"/>
            <w:tcMar>
              <w:top w:w="70" w:type="dxa"/>
              <w:start w:w="80" w:type="dxa"/>
              <w:bottom w:w="70" w:type="dxa"/>
              <w:end w:w="80" w:type="dxa"/>
            </w:tcMar>
            <w:vAlign w:val="center"/>
          </w:tcPr>
          <w:p>
            <w:r>
              <w:rPr>
                <w:rFonts w:ascii="Liberation Sans" w:hAnsi="Liberation Sans"/>
                <w:b w:val="0"/>
                <w:color w:val="1C2430"/>
                <w:sz w:val="15"/>
              </w:rPr>
              <w:t>Drift-diffusion or appropriate competing-accumulator model where response-time and two-choice assumptions are justified.</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Baseline 4 — Quantum-probability order model</w:t>
            </w:r>
          </w:p>
        </w:tc>
        <w:tc>
          <w:tcPr>
            <w:tcW w:type="dxa" w:w="4997"/>
            <w:tcMar>
              <w:top w:w="70" w:type="dxa"/>
              <w:start w:w="80" w:type="dxa"/>
              <w:bottom w:w="70" w:type="dxa"/>
              <w:end w:w="80" w:type="dxa"/>
            </w:tcMar>
            <w:vAlign w:val="center"/>
          </w:tcPr>
          <w:p>
            <w:r>
              <w:rPr>
                <w:rFonts w:ascii="Liberation Sans" w:hAnsi="Liberation Sans"/>
                <w:b w:val="0"/>
                <w:color w:val="1C2430"/>
                <w:sz w:val="15"/>
              </w:rPr>
              <w:t>A quantum-cognition benchmark for paradigms in which question-order/noncommutative predictions are applicable.</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Candidate — ErisML-derived model</w:t>
            </w:r>
          </w:p>
        </w:tc>
        <w:tc>
          <w:tcPr>
            <w:tcW w:type="dxa" w:w="4997"/>
            <w:tcMar>
              <w:top w:w="70" w:type="dxa"/>
              <w:start w:w="80" w:type="dxa"/>
              <w:bottom w:w="70" w:type="dxa"/>
              <w:end w:w="80" w:type="dxa"/>
            </w:tcMar>
            <w:vAlign w:val="center"/>
          </w:tcPr>
          <w:p>
            <w:r>
              <w:rPr>
                <w:rFonts w:ascii="Liberation Sans" w:hAnsi="Liberation Sans"/>
                <w:b w:val="0"/>
                <w:color w:val="1C2430"/>
                <w:sz w:val="15"/>
              </w:rPr>
              <w:t>Prespecified Ωop / μ / π3 / temporal or tensor features translated into a human-data model with no post hoc feature invention in the confirmatory phase.</w:t>
            </w:r>
          </w:p>
        </w:tc>
      </w:tr>
    </w:tbl>
    <w:p>
      <w:r>
        <w:rPr>
          <w:rFonts w:ascii="Liberation Sans" w:hAnsi="Liberation Sans"/>
          <w:b/>
          <w:color w:val="1F6D78"/>
        </w:rPr>
        <w:t xml:space="preserve">Primary comparison metrics: </w:t>
      </w:r>
      <w:r>
        <w:rPr>
          <w:rFonts w:ascii="Liberation Sans" w:hAnsi="Liberation Sans"/>
        </w:rPr>
        <w:t>held-out log likelihood or proper scoring rule, calibration, predictive accuracy where meaningful, confidence intervals / posterior uncertainty, and preregistered complexity penalties or cross-validation. Statistical significance alone is not sufficient.</w:t>
      </w:r>
    </w:p>
    <w:p>
      <w:pPr>
        <w:pStyle w:val="Heading1"/>
        <w:pBdr>
          <w:bottom w:val="single" w:sz="10" w:space="1" w:color="17365D"/>
        </w:pBdr>
      </w:pPr>
      <w:r>
        <w:t>6. Staged Research Program</w:t>
      </w:r>
    </w:p>
    <w:p>
      <w:pPr>
        <w:pStyle w:val="Heading2"/>
      </w:pPr>
      <w:r>
        <w:t>Phase 0 — Reproducibility and Construct Audit</w:t>
      </w:r>
    </w:p>
    <w:p>
      <w:r>
        <w:t>Re-run the ErisML-Lib experiments and tests that will anchor the campaign. Freeze the repository commit, environment, seeds, configurations, data provenance, and output artifacts. Produce a claim ledger with A–E evidence labels. Translate each proposed human construct into an observable variable and identify where the mapping is only analogical.</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0: No external scientific pitch until every numerical ErisML claim used in the pitch has a reproducible artifact or is explicitly labeled unverified.</w:t>
            </w:r>
          </w:p>
        </w:tc>
      </w:tr>
    </w:tbl>
    <w:p>
      <w:pPr>
        <w:pStyle w:val="Heading2"/>
      </w:pPr>
      <w:r>
        <w:t>Phase I — Behavioral Discovery Pilot</w:t>
      </w:r>
    </w:p>
    <w:p>
      <w:r>
        <w:t>Develop controlled stimuli, estimate effect sizes, test task comprehension, and validate that sequence manipulations work. Use separate trajectory and terminal-only arms to quantify measurement reactivity. This phase is exploratory and used to lock the confirmatory protocol.</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1: Proceed only if order/context effects are reliable enough to support a powered confirmatory design and are not explained entirely by attention, memory, or intermediate-question reactivity.</w:t>
            </w:r>
          </w:p>
        </w:tc>
      </w:tr>
    </w:tbl>
    <w:p>
      <w:pPr>
        <w:pStyle w:val="Heading2"/>
      </w:pPr>
      <w:r>
        <w:t>Phase II — Preregistered Confirmatory Human Study</w:t>
      </w:r>
    </w:p>
    <w:p>
      <w:r>
        <w:t>Run the locked design with sample size determined by simulation-based power analysis using the pilot and a prespecified smallest effect of interest. Fit the ErisML-derived model and competing baselines according to a frozen analysis plan.</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2: ErisML must show reliable out-of-sample value, not merely a significant in-sample fit.</w:t>
            </w:r>
          </w:p>
        </w:tc>
      </w:tr>
    </w:tbl>
    <w:p>
      <w:pPr>
        <w:pStyle w:val="Heading2"/>
      </w:pPr>
      <w:r>
        <w:t>Phase III — Domain Generalization</w:t>
      </w:r>
    </w:p>
    <w:p>
      <w:r>
        <w:t>Replicate the strongest effects in a non-moral domain such as risk/reward, delay/value, certainty/magnitude, or social/economic tradeoff.</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3: General decision-architecture claims require cross-domain replication.</w:t>
            </w:r>
          </w:p>
        </w:tc>
      </w:tr>
    </w:tbl>
    <w:p>
      <w:pPr>
        <w:pStyle w:val="Heading2"/>
      </w:pPr>
      <w:r>
        <w:t>Phase IV — Neuroscience Extension</w:t>
      </w:r>
    </w:p>
    <w:p>
      <w:r>
        <w:t>Add EEG, fMRI, MEG, pupillometry, eye tracking, reaction-time, or autonomic measures selected to match the specific validated behavioral effect. Avoid anatomical one-to-one mappings unless independently justified.</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4: Seek neural correspondence only for behavioral signatures that have already replicated.</w:t>
            </w:r>
          </w:p>
        </w:tc>
      </w:tr>
    </w:tbl>
    <w:p>
      <w:pPr>
        <w:pStyle w:val="Heading2"/>
      </w:pPr>
      <w:r>
        <w:t>Phase V — Cross-Level Modeling</w:t>
      </w:r>
    </w:p>
    <w:p>
      <w:r>
        <w:t>Test whether a common formal structure can relate biological state, behavioral trajectory, and mathematical representation. I-EIP concepts may inspire analysis here, but current model-layer equivariance is not presumed to transfer to neural state.</w:t>
      </w:r>
    </w:p>
    <w:tbl>
      <w:tblPr>
        <w:tblW w:type="auto" w:w="0"/>
        <w:jc w:val="center"/>
        <w:tblLook w:firstColumn="1" w:firstRow="1" w:lastColumn="0" w:lastRow="0" w:noHBand="0" w:noVBand="1" w:val="04A0"/>
      </w:tblPr>
      <w:tblGrid>
        <w:gridCol w:w="9994"/>
      </w:tblGrid>
      <w:tr>
        <w:tc>
          <w:tcPr>
            <w:tcW w:type="dxa" w:w="9994"/>
            <w:shd w:fill="E8F2F3"/>
            <w:tcMar>
              <w:top w:w="90" w:type="dxa"/>
              <w:start w:w="110" w:type="dxa"/>
              <w:bottom w:w="90" w:type="dxa"/>
              <w:end w:w="110" w:type="dxa"/>
            </w:tcMar>
            <w:vAlign w:val="center"/>
          </w:tcPr>
          <w:p>
            <w:r>
              <w:rPr>
                <w:rFonts w:ascii="Liberation Sans" w:hAnsi="Liberation Sans"/>
                <w:b/>
                <w:color w:val="1F6D78"/>
                <w:sz w:val="17"/>
              </w:rPr>
              <w:t>Gate 5: Any claim of a shared cross-level formalism requires prospective prediction in independent data.</w:t>
            </w:r>
          </w:p>
        </w:tc>
      </w:tr>
    </w:tbl>
    <w:p>
      <w:pPr>
        <w:pStyle w:val="Heading1"/>
        <w:pBdr>
          <w:bottom w:val="single" w:sz="10" w:space="1" w:color="17365D"/>
        </w:pBdr>
      </w:pPr>
      <w:r>
        <w:t>7. Behavioral Protocol: Minimum Viable Human Experiment</w:t>
      </w:r>
    </w:p>
    <w:p>
      <w:r>
        <w:t>The first human experiment should be deliberately simple enough to interpret, but rich enough to test sequence structure. Moral scenarios are useful for the initial bridge because ErisML already represents multiple ethical dimensions, but the protocol must isolate presentation order from semantic content.</w:t>
      </w:r>
    </w:p>
    <w:p>
      <w:pPr>
        <w:pStyle w:val="Heading2"/>
      </w:pPr>
      <w:r>
        <w:t>7.1 Core design</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4997"/>
        <w:gridCol w:w="4997"/>
      </w:tblGrid>
      <w:tr>
        <w:trPr>
          <w:tblHeader w:val="true"/>
        </w:trPr>
        <w:tc>
          <w:tcPr>
            <w:tcW w:type="dxa" w:w="4997"/>
            <w:shd w:fill="17365D"/>
            <w:tcMar>
              <w:top w:w="80" w:type="dxa"/>
              <w:start w:w="100" w:type="dxa"/>
              <w:bottom w:w="80" w:type="dxa"/>
              <w:end w:w="100" w:type="dxa"/>
            </w:tcMar>
            <w:vAlign w:val="center"/>
          </w:tcPr>
          <w:p>
            <w:r>
              <w:rPr>
                <w:rFonts w:ascii="Liberation Sans" w:hAnsi="Liberation Sans"/>
                <w:b/>
                <w:color w:val="FFFFFF"/>
                <w:sz w:val="16"/>
              </w:rPr>
              <w:t>Design element</w:t>
            </w:r>
          </w:p>
        </w:tc>
        <w:tc>
          <w:tcPr>
            <w:tcW w:type="dxa" w:w="4997"/>
            <w:shd w:fill="17365D"/>
            <w:tcMar>
              <w:top w:w="80" w:type="dxa"/>
              <w:start w:w="100" w:type="dxa"/>
              <w:bottom w:w="80" w:type="dxa"/>
              <w:end w:w="100" w:type="dxa"/>
            </w:tcMar>
            <w:vAlign w:val="center"/>
          </w:tcPr>
          <w:p>
            <w:r>
              <w:rPr>
                <w:rFonts w:ascii="Liberation Sans" w:hAnsi="Liberation Sans"/>
                <w:b/>
                <w:color w:val="FFFFFF"/>
                <w:sz w:val="16"/>
              </w:rPr>
              <w:t>Specification</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Stimuli</w:t>
            </w:r>
          </w:p>
        </w:tc>
        <w:tc>
          <w:tcPr>
            <w:tcW w:type="dxa" w:w="4997"/>
            <w:tcMar>
              <w:top w:w="70" w:type="dxa"/>
              <w:start w:w="80" w:type="dxa"/>
              <w:bottom w:w="70" w:type="dxa"/>
              <w:end w:w="80" w:type="dxa"/>
            </w:tcMar>
            <w:vAlign w:val="center"/>
          </w:tcPr>
          <w:p>
            <w:r>
              <w:rPr>
                <w:rFonts w:ascii="Liberation Sans" w:hAnsi="Liberation Sans"/>
                <w:b w:val="0"/>
                <w:color w:val="1C2430"/>
                <w:sz w:val="15"/>
              </w:rPr>
              <w:t>Scenarios containing separable dimensions such as harm, intent, fairness, autonomy, relationship, uncertainty, and procedural legitimacy. The same factual set appears in different orders.</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Counterbalancing</w:t>
            </w:r>
          </w:p>
        </w:tc>
        <w:tc>
          <w:tcPr>
            <w:tcW w:type="dxa" w:w="4997"/>
            <w:tcMar>
              <w:top w:w="70" w:type="dxa"/>
              <w:start w:w="80" w:type="dxa"/>
              <w:bottom w:w="70" w:type="dxa"/>
              <w:end w:w="80" w:type="dxa"/>
            </w:tcMar>
            <w:vAlign w:val="center"/>
          </w:tcPr>
          <w:p>
            <w:r>
              <w:rPr>
                <w:rFonts w:ascii="Liberation Sans" w:hAnsi="Liberation Sans"/>
                <w:b w:val="0"/>
                <w:color w:val="1C2430"/>
                <w:sz w:val="15"/>
              </w:rPr>
              <w:t>Use a prespecified balanced permutation scheme (e.g., Latin-square / incomplete permutation design) so order is not confounded with scenario, participant, or trial position.</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Trajectory arm</w:t>
            </w:r>
          </w:p>
        </w:tc>
        <w:tc>
          <w:tcPr>
            <w:tcW w:type="dxa" w:w="4997"/>
            <w:tcMar>
              <w:top w:w="70" w:type="dxa"/>
              <w:start w:w="80" w:type="dxa"/>
              <w:bottom w:w="70" w:type="dxa"/>
              <w:end w:w="80" w:type="dxa"/>
            </w:tcMar>
            <w:vAlign w:val="center"/>
          </w:tcPr>
          <w:p>
            <w:r>
              <w:rPr>
                <w:rFonts w:ascii="Liberation Sans" w:hAnsi="Liberation Sans"/>
                <w:b w:val="0"/>
                <w:color w:val="1C2430"/>
                <w:sz w:val="15"/>
              </w:rPr>
              <w:t>Participants provide brief intermediate state ratings after each information step. This estimates the path through decision space.</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Terminal-only arm</w:t>
            </w:r>
          </w:p>
        </w:tc>
        <w:tc>
          <w:tcPr>
            <w:tcW w:type="dxa" w:w="4997"/>
            <w:tcMar>
              <w:top w:w="70" w:type="dxa"/>
              <w:start w:w="80" w:type="dxa"/>
              <w:bottom w:w="70" w:type="dxa"/>
              <w:end w:w="80" w:type="dxa"/>
            </w:tcMar>
            <w:vAlign w:val="center"/>
          </w:tcPr>
          <w:p>
            <w:r>
              <w:rPr>
                <w:rFonts w:ascii="Liberation Sans" w:hAnsi="Liberation Sans"/>
                <w:b w:val="0"/>
                <w:color w:val="1C2430"/>
                <w:sz w:val="15"/>
              </w:rPr>
              <w:t>Participants see the same sequences but answer only at the end. This estimates how much the intermediate measurement itself changes the state.</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Memory / comprehension controls</w:t>
            </w:r>
          </w:p>
        </w:tc>
        <w:tc>
          <w:tcPr>
            <w:tcW w:type="dxa" w:w="4997"/>
            <w:tcMar>
              <w:top w:w="70" w:type="dxa"/>
              <w:start w:w="80" w:type="dxa"/>
              <w:bottom w:w="70" w:type="dxa"/>
              <w:end w:w="80" w:type="dxa"/>
            </w:tcMar>
            <w:vAlign w:val="center"/>
          </w:tcPr>
          <w:p>
            <w:r>
              <w:rPr>
                <w:rFonts w:ascii="Liberation Sans" w:hAnsi="Liberation Sans"/>
                <w:b w:val="0"/>
                <w:color w:val="1C2430"/>
                <w:sz w:val="15"/>
              </w:rPr>
              <w:t>Test factual recall and comprehension so apparent order effects are not merely forgetting or misunderstanding.</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Timing</w:t>
            </w:r>
          </w:p>
        </w:tc>
        <w:tc>
          <w:tcPr>
            <w:tcW w:type="dxa" w:w="4997"/>
            <w:tcMar>
              <w:top w:w="70" w:type="dxa"/>
              <w:start w:w="80" w:type="dxa"/>
              <w:bottom w:w="70" w:type="dxa"/>
              <w:end w:w="80" w:type="dxa"/>
            </w:tcMar>
            <w:vAlign w:val="center"/>
          </w:tcPr>
          <w:p>
            <w:r>
              <w:rPr>
                <w:rFonts w:ascii="Liberation Sans" w:hAnsi="Liberation Sans"/>
                <w:b w:val="0"/>
                <w:color w:val="1C2430"/>
                <w:sz w:val="15"/>
              </w:rPr>
              <w:t>Record response times; if deliberation time is manipulated, preregister timing windows and analyze them separately from content order.</w:t>
            </w:r>
          </w:p>
        </w:tc>
      </w:tr>
      <w:tr>
        <w:trPr>
          <w:cantSplit/>
        </w:trPr>
        <w:tc>
          <w:tcPr>
            <w:tcW w:type="dxa" w:w="4997"/>
            <w:tcMar>
              <w:top w:w="70" w:type="dxa"/>
              <w:start w:w="80" w:type="dxa"/>
              <w:bottom w:w="70" w:type="dxa"/>
              <w:end w:w="80" w:type="dxa"/>
            </w:tcMar>
            <w:vAlign w:val="center"/>
          </w:tcPr>
          <w:p>
            <w:r>
              <w:rPr>
                <w:rFonts w:ascii="Liberation Sans" w:hAnsi="Liberation Sans"/>
                <w:b/>
                <w:color w:val="1C2430"/>
                <w:sz w:val="15"/>
              </w:rPr>
              <w:t>Repeated-measurement controls</w:t>
            </w:r>
          </w:p>
        </w:tc>
        <w:tc>
          <w:tcPr>
            <w:tcW w:type="dxa" w:w="4997"/>
            <w:tcMar>
              <w:top w:w="70" w:type="dxa"/>
              <w:start w:w="80" w:type="dxa"/>
              <w:bottom w:w="70" w:type="dxa"/>
              <w:end w:w="80" w:type="dxa"/>
            </w:tcMar>
            <w:vAlign w:val="center"/>
          </w:tcPr>
          <w:p>
            <w:r>
              <w:rPr>
                <w:rFonts w:ascii="Liberation Sans" w:hAnsi="Liberation Sans"/>
                <w:b w:val="0"/>
                <w:color w:val="1C2430"/>
                <w:sz w:val="15"/>
              </w:rPr>
              <w:t>Use filler items and alternate forms to reduce demand characteristics and recognition of the manipulation.</w:t>
            </w:r>
          </w:p>
        </w:tc>
      </w:tr>
    </w:tbl>
    <w:p>
      <w:pPr>
        <w:pStyle w:val="Heading2"/>
      </w:pPr>
      <w:r>
        <w:t>7.2 Example sequence family</w:t>
      </w:r>
    </w:p>
    <w:p>
      <w:pPr>
        <w:ind w:left="403"/>
      </w:pPr>
      <w:r>
        <w:rPr>
          <w:rFonts w:ascii="Liberation Sans" w:hAnsi="Liberation Sans"/>
          <w:color w:val="1C2430"/>
          <w:sz w:val="18"/>
        </w:rPr>
        <w:t>•  Harm → Intent → Relationship</w:t>
      </w:r>
    </w:p>
    <w:p>
      <w:pPr>
        <w:ind w:left="403"/>
      </w:pPr>
      <w:r>
        <w:rPr>
          <w:rFonts w:ascii="Liberation Sans" w:hAnsi="Liberation Sans"/>
          <w:color w:val="1C2430"/>
          <w:sz w:val="18"/>
        </w:rPr>
        <w:t>•  Intent → Harm → Relationship</w:t>
      </w:r>
    </w:p>
    <w:p>
      <w:pPr>
        <w:ind w:left="403"/>
      </w:pPr>
      <w:r>
        <w:rPr>
          <w:rFonts w:ascii="Liberation Sans" w:hAnsi="Liberation Sans"/>
          <w:color w:val="1C2430"/>
          <w:sz w:val="18"/>
        </w:rPr>
        <w:t>•  Relationship → Intent → Harm</w:t>
      </w:r>
    </w:p>
    <w:p>
      <w:pPr>
        <w:ind w:left="403"/>
      </w:pPr>
      <w:r>
        <w:rPr>
          <w:rFonts w:ascii="Liberation Sans" w:hAnsi="Liberation Sans"/>
          <w:color w:val="1C2430"/>
          <w:sz w:val="18"/>
        </w:rPr>
        <w:t>•  Harm → Relationship → Intent</w:t>
      </w:r>
    </w:p>
    <w:p>
      <w:pPr>
        <w:ind w:left="403"/>
      </w:pPr>
      <w:r>
        <w:rPr>
          <w:rFonts w:ascii="Liberation Sans" w:hAnsi="Liberation Sans"/>
          <w:color w:val="1C2430"/>
          <w:sz w:val="18"/>
        </w:rPr>
        <w:t>•  Intent → Relationship → Harm</w:t>
      </w:r>
    </w:p>
    <w:p>
      <w:pPr>
        <w:ind w:left="403"/>
      </w:pPr>
      <w:r>
        <w:rPr>
          <w:rFonts w:ascii="Liberation Sans" w:hAnsi="Liberation Sans"/>
          <w:color w:val="1C2430"/>
          <w:sz w:val="18"/>
        </w:rPr>
        <w:t>•  Relationship → Harm → Intent</w:t>
      </w:r>
    </w:p>
    <w:p>
      <w:pPr>
        <w:pStyle w:val="Heading2"/>
      </w:pPr>
      <w:r>
        <w:t>7.3 Primary behavioral outcomes</w:t>
      </w:r>
    </w:p>
    <w:p>
      <w:pPr>
        <w:ind w:left="317"/>
      </w:pPr>
      <w:r>
        <w:rPr>
          <w:rFonts w:ascii="Liberation Sans" w:hAnsi="Liberation Sans"/>
          <w:sz w:val="18"/>
        </w:rPr>
        <w:t>•  Final choice / judgment</w:t>
      </w:r>
    </w:p>
    <w:p>
      <w:pPr>
        <w:ind w:left="317"/>
      </w:pPr>
      <w:r>
        <w:rPr>
          <w:rFonts w:ascii="Liberation Sans" w:hAnsi="Liberation Sans"/>
          <w:sz w:val="18"/>
        </w:rPr>
        <w:t>•  Intermediate state ratings in the trajectory arm</w:t>
      </w:r>
    </w:p>
    <w:p>
      <w:pPr>
        <w:ind w:left="317"/>
      </w:pPr>
      <w:r>
        <w:rPr>
          <w:rFonts w:ascii="Liberation Sans" w:hAnsi="Liberation Sans"/>
          <w:sz w:val="18"/>
        </w:rPr>
        <w:t>•  Response confidence</w:t>
      </w:r>
    </w:p>
    <w:p>
      <w:pPr>
        <w:ind w:left="317"/>
      </w:pPr>
      <w:r>
        <w:rPr>
          <w:rFonts w:ascii="Liberation Sans" w:hAnsi="Liberation Sans"/>
          <w:sz w:val="18"/>
        </w:rPr>
        <w:t>•  Response time</w:t>
      </w:r>
    </w:p>
    <w:p>
      <w:pPr>
        <w:ind w:left="317"/>
      </w:pPr>
      <w:r>
        <w:rPr>
          <w:rFonts w:ascii="Liberation Sans" w:hAnsi="Liberation Sans"/>
          <w:sz w:val="18"/>
        </w:rPr>
        <w:t>•  Within-person state change after each new dimension</w:t>
      </w:r>
    </w:p>
    <w:p>
      <w:pPr>
        <w:ind w:left="317"/>
      </w:pPr>
      <w:r>
        <w:rPr>
          <w:rFonts w:ascii="Liberation Sans" w:hAnsi="Liberation Sans"/>
          <w:sz w:val="18"/>
        </w:rPr>
        <w:t>•  Memory/comprehension accuracy</w:t>
      </w:r>
    </w:p>
    <w:p>
      <w:pPr>
        <w:ind w:left="317"/>
      </w:pPr>
      <w:r>
        <w:rPr>
          <w:rFonts w:ascii="Liberation Sans" w:hAnsi="Liberation Sans"/>
          <w:sz w:val="18"/>
        </w:rPr>
        <w:t>•  Out-of-sample prediction on held-out sequences</w:t>
      </w:r>
    </w:p>
    <w:p>
      <w:pPr>
        <w:pStyle w:val="Heading1"/>
        <w:pBdr>
          <w:bottom w:val="single" w:sz="10" w:space="1" w:color="17365D"/>
        </w:pBdr>
      </w:pPr>
      <w:r>
        <w:t>8. Confirmatory Analysis Plan</w:t>
      </w:r>
    </w:p>
    <w:p>
      <w:pPr>
        <w:pStyle w:val="Label"/>
      </w:pPr>
      <w:r>
        <w:t>Pre-registration</w:t>
      </w:r>
    </w:p>
    <w:p>
      <w:pPr>
        <w:ind w:left="259"/>
      </w:pPr>
      <w:r>
        <w:t>Freeze hypotheses, exclusions, primary endpoints, transformation definitions, model formulas, cross-validation scheme, and stopping rules before confirmatory data collection.</w:t>
      </w:r>
    </w:p>
    <w:p>
      <w:pPr>
        <w:pStyle w:val="Label"/>
      </w:pPr>
      <w:r>
        <w:t>Power</w:t>
      </w:r>
    </w:p>
    <w:p>
      <w:pPr>
        <w:ind w:left="259"/>
      </w:pPr>
      <w:r>
        <w:t>Use simulation-based power analysis after the pilot. Specify the smallest effect of interest; do not choose N solely to achieve p &lt; .05.</w:t>
      </w:r>
    </w:p>
    <w:p>
      <w:pPr>
        <w:pStyle w:val="Label"/>
      </w:pPr>
      <w:r>
        <w:t>Hierarchical structure</w:t>
      </w:r>
    </w:p>
    <w:p>
      <w:pPr>
        <w:ind w:left="259"/>
      </w:pPr>
      <w:r>
        <w:t>Model repeated observations nested within participants and scenarios; do not treat trials as independent.</w:t>
      </w:r>
    </w:p>
    <w:p>
      <w:pPr>
        <w:pStyle w:val="Label"/>
      </w:pPr>
      <w:r>
        <w:t>Multiple comparisons</w:t>
      </w:r>
    </w:p>
    <w:p>
      <w:pPr>
        <w:ind w:left="259"/>
      </w:pPr>
      <w:r>
        <w:t>Control family-wise or false-discovery error for exploratory dimension-pair screens; keep primary hypotheses few and prespecified.</w:t>
      </w:r>
    </w:p>
    <w:p>
      <w:pPr>
        <w:pStyle w:val="Label"/>
      </w:pPr>
      <w:r>
        <w:t>Holdout discipline</w:t>
      </w:r>
    </w:p>
    <w:p>
      <w:pPr>
        <w:ind w:left="259"/>
      </w:pPr>
      <w:r>
        <w:t>Reserve sequences, scenarios, and ideally a participant subset for untouched validation. Do not tune transformation definitions on the confirmatory holdout.</w:t>
      </w:r>
    </w:p>
    <w:p>
      <w:pPr>
        <w:pStyle w:val="Label"/>
      </w:pPr>
      <w:r>
        <w:t>Robustness</w:t>
      </w:r>
    </w:p>
    <w:p>
      <w:pPr>
        <w:ind w:left="259"/>
      </w:pPr>
      <w:r>
        <w:t>Repeat analyses with and without low-comprehension trials, alternative link functions, and preregistered nuisance covariates.</w:t>
      </w:r>
    </w:p>
    <w:p>
      <w:pPr>
        <w:pStyle w:val="Label"/>
      </w:pPr>
      <w:r>
        <w:t>Open science</w:t>
      </w:r>
    </w:p>
    <w:p>
      <w:pPr>
        <w:ind w:left="259"/>
      </w:pPr>
      <w:r>
        <w:t>Publish protocol, stimuli, analysis code, de-identified data where ethically permissible, and a machine-readable claim ledger.</w:t>
      </w:r>
    </w:p>
    <w:p>
      <w:pPr>
        <w:pStyle w:val="Heading1"/>
        <w:pBdr>
          <w:bottom w:val="single" w:sz="10" w:space="1" w:color="17365D"/>
        </w:pBdr>
      </w:pPr>
      <w:r>
        <w:t>9. Success Ladder and Go / No-Go Criteria</w:t>
      </w:r>
    </w:p>
    <w:p>
      <w:pPr>
        <w:pStyle w:val="Heading2"/>
      </w:pPr>
      <w:r>
        <w:t>Level 0 — Reproducible ErisML evidence</w:t>
      </w:r>
    </w:p>
    <w:p>
      <w:r>
        <w:t>The repository claims used in the campaign can be regenerated from a frozen environment.</w:t>
      </w:r>
    </w:p>
    <w:p>
      <w:pPr>
        <w:pStyle w:val="Heading2"/>
      </w:pPr>
      <w:r>
        <w:t>Level 1 — Replicated human sequence effects</w:t>
      </w:r>
    </w:p>
    <w:p>
      <w:r>
        <w:t>Identical information yields reliable sequence-dependent human judgments after measurement-reactivity controls.</w:t>
      </w:r>
    </w:p>
    <w:p>
      <w:pPr>
        <w:pStyle w:val="Heading2"/>
      </w:pPr>
      <w:r>
        <w:t>Level 2 — Structured ErisML characterization</w:t>
      </w:r>
    </w:p>
    <w:p>
      <w:r>
        <w:t>Ωop / μ / π3-style measures capture stable structure rather than merely re-labeling conventional interactions.</w:t>
      </w:r>
    </w:p>
    <w:p>
      <w:pPr>
        <w:pStyle w:val="Heading2"/>
      </w:pPr>
      <w:r>
        <w:t>Level 3 — Predictive advantage</w:t>
      </w:r>
    </w:p>
    <w:p>
      <w:r>
        <w:t>The ErisML-derived model predicts held-out data better than prespecified baselines.</w:t>
      </w:r>
    </w:p>
    <w:p>
      <w:pPr>
        <w:pStyle w:val="Heading2"/>
      </w:pPr>
      <w:r>
        <w:t>Level 4 — Cross-domain generalization</w:t>
      </w:r>
    </w:p>
    <w:p>
      <w:r>
        <w:t>The structure replicates outside the original moral/social judgment domain.</w:t>
      </w:r>
    </w:p>
    <w:p>
      <w:pPr>
        <w:pStyle w:val="Heading2"/>
      </w:pPr>
      <w:r>
        <w:t>Level 5 — Neural correspondence</w:t>
      </w:r>
    </w:p>
    <w:p>
      <w:r>
        <w:t>Validated behavioral interaction structure covaries with independently measured neural dynamics in a preregistered study.</w:t>
      </w:r>
    </w:p>
    <w:p>
      <w:pPr>
        <w:pStyle w:val="Heading2"/>
      </w:pPr>
      <w:r>
        <w:t>Level 6 — Cross-level formalism</w:t>
      </w:r>
    </w:p>
    <w:p>
      <w:r>
        <w:t>A single formal representation makes successful prospective predictions across behavioral and neural levels. This is the strongest and most distant claim.</w:t>
      </w:r>
    </w:p>
    <w:p>
      <w:pPr>
        <w:pStyle w:val="Heading1"/>
        <w:pBdr>
          <w:bottom w:val="single" w:sz="10" w:space="1" w:color="17365D"/>
        </w:pBdr>
      </w:pPr>
      <w:r>
        <w:t>10. What a Negative Result Would Mean</w:t>
      </w:r>
    </w:p>
    <w:p>
      <w:r>
        <w:t>A strong campaign specifies informative failure modes in advance:</w:t>
      </w:r>
    </w:p>
    <w:p>
      <w:pPr>
        <w:pStyle w:val="Label"/>
      </w:pPr>
      <w:r>
        <w:t>No human order effect</w:t>
      </w:r>
    </w:p>
    <w:p>
      <w:pPr>
        <w:ind w:left="259"/>
      </w:pPr>
      <w:r>
        <w:t>The chosen task does not exhibit the target phenomenon, or the effect is too small to support the proposed bridge. ErisML remains an AI/normative framework; the neuroscience extension pauses.</w:t>
      </w:r>
    </w:p>
    <w:p>
      <w:pPr>
        <w:pStyle w:val="Label"/>
      </w:pPr>
      <w:r>
        <w:t>Order effect, no ErisML advantage</w:t>
      </w:r>
    </w:p>
    <w:p>
      <w:pPr>
        <w:ind w:left="259"/>
      </w:pPr>
      <w:r>
        <w:t>Human sequence sensitivity is real, but conventional interaction, quantum-probability, or sequential-sampling models explain it as well or better. The campaign narrows its claim.</w:t>
      </w:r>
    </w:p>
    <w:p>
      <w:pPr>
        <w:pStyle w:val="Label"/>
      </w:pPr>
      <w:r>
        <w:t>Predictive success only in moral tasks</w:t>
      </w:r>
    </w:p>
    <w:p>
      <w:pPr>
        <w:ind w:left="259"/>
      </w:pPr>
      <w:r>
        <w:t>The mathematics may characterize a domain-specific judgment process rather than distributed decision-making generally.</w:t>
      </w:r>
    </w:p>
    <w:p>
      <w:pPr>
        <w:pStyle w:val="Label"/>
      </w:pPr>
      <w:r>
        <w:t>Behavioral success, no neural correspondence</w:t>
      </w:r>
    </w:p>
    <w:p>
      <w:pPr>
        <w:ind w:left="259"/>
      </w:pPr>
      <w:r>
        <w:t>ErisML may be a useful behavioral formalism without identifying biological mechanism.</w:t>
      </w:r>
    </w:p>
    <w:p>
      <w:pPr>
        <w:pStyle w:val="Label"/>
      </w:pPr>
      <w:r>
        <w:t>Neural association without prediction</w:t>
      </w:r>
    </w:p>
    <w:p>
      <w:pPr>
        <w:ind w:left="259"/>
      </w:pPr>
      <w:r>
        <w:t>Correlations are exploratory; no mechanistic claim is warranted until prospectively predictive.</w:t>
      </w:r>
    </w:p>
    <w:p>
      <w:pPr>
        <w:pStyle w:val="Heading1"/>
        <w:pBdr>
          <w:bottom w:val="single" w:sz="10" w:space="1" w:color="17365D"/>
        </w:pBdr>
      </w:pPr>
      <w:r>
        <w:t>11. Why Eagleman Is a High-Value Scientific Conversation</w:t>
      </w:r>
    </w:p>
    <w:p>
      <w:r>
        <w:t>The case for approaching Eagleman is strongest when framed as a question, not as an endorsement request. His work provides an unusually clear biological description of competing neural processes, he has explicitly used the “team of rivals” formulation in the context of behavioral control, and his current roles include Stanford neuroscience/psychiatry work and leadership of the Center for Science and Law. His work also connects decision biology to legal responsibility, which makes rigorous measurement of competing processes especially relevant.</w:t>
      </w:r>
    </w:p>
    <w:p>
      <w:pPr>
        <w:pStyle w:val="Heading2"/>
      </w:pPr>
      <w:r>
        <w:t>11.1 The first ask should be small</w:t>
      </w:r>
    </w:p>
    <w:tbl>
      <w:tblPr>
        <w:tblW w:type="auto" w:w="0"/>
        <w:tblLook w:firstColumn="1" w:firstRow="1" w:lastColumn="0" w:lastRow="0" w:noHBand="0" w:noVBand="1" w:val="04A0"/>
      </w:tblPr>
      <w:tblGrid>
        <w:gridCol w:w="9994"/>
      </w:tblGrid>
      <w:tr>
        <w:tc>
          <w:tcPr>
            <w:tcW w:type="dxa" w:w="9994"/>
            <w:shd w:fill="EAF0F7"/>
            <w:tcMar>
              <w:top w:w="140" w:type="dxa"/>
              <w:start w:w="180" w:type="dxa"/>
              <w:bottom w:w="140" w:type="dxa"/>
              <w:end w:w="180" w:type="dxa"/>
            </w:tcMar>
            <w:vAlign w:val="center"/>
          </w:tcPr>
          <w:p>
            <w:r>
              <w:rPr>
                <w:rFonts w:ascii="Liberation Sans" w:hAnsi="Liberation Sans"/>
                <w:b/>
                <w:color w:val="1F6D78"/>
                <w:sz w:val="16"/>
              </w:rPr>
              <w:t>Recommended first ask</w:t>
              <w:br/>
            </w:r>
            <w:r>
              <w:rPr>
                <w:rFonts w:ascii="Liberation Sans" w:hAnsi="Liberation Sans"/>
                <w:b/>
                <w:color w:val="17365D"/>
                <w:sz w:val="21"/>
              </w:rPr>
              <w:t>A technical conversation to pressure-test the construct mapping and the behavioral experiment — not a request to validate ErisML, join a company initiative, or attach his name to a conclusion.</w:t>
            </w:r>
          </w:p>
        </w:tc>
      </w:tr>
    </w:tbl>
    <w:p>
      <w:pPr>
        <w:pStyle w:val="Heading2"/>
      </w:pPr>
      <w:r>
        <w:t>11.2 Questions worth putting to Eagleman</w:t>
      </w:r>
    </w:p>
    <w:p>
      <w:pPr>
        <w:ind w:left="317"/>
      </w:pPr>
      <w:r>
        <w:rPr>
          <w:rFonts w:ascii="Liberation Sans" w:hAnsi="Liberation Sans"/>
          <w:sz w:val="18"/>
        </w:rPr>
        <w:t>•  Which “team of rivals” phenomena are experimentally mature enough to operationalize without overinterpreting anatomy?</w:t>
      </w:r>
    </w:p>
    <w:p>
      <w:pPr>
        <w:ind w:left="317"/>
      </w:pPr>
      <w:r>
        <w:rPr>
          <w:rFonts w:ascii="Liberation Sans" w:hAnsi="Liberation Sans"/>
          <w:sz w:val="18"/>
        </w:rPr>
        <w:t>•  Would order/context manipulations be scientifically interesting in a human decision paradigm, or are other competition paradigms more diagnostic?</w:t>
      </w:r>
    </w:p>
    <w:p>
      <w:pPr>
        <w:ind w:left="317"/>
      </w:pPr>
      <w:r>
        <w:rPr>
          <w:rFonts w:ascii="Liberation Sans" w:hAnsi="Liberation Sans"/>
          <w:sz w:val="18"/>
        </w:rPr>
        <w:t>•  Which neural measurement modality would be most appropriate only after a behavioral signature is established?</w:t>
      </w:r>
    </w:p>
    <w:p>
      <w:pPr>
        <w:ind w:left="317"/>
      </w:pPr>
      <w:r>
        <w:rPr>
          <w:rFonts w:ascii="Liberation Sans" w:hAnsi="Liberation Sans"/>
          <w:sz w:val="18"/>
        </w:rPr>
        <w:t>•  What result would convince a neuroscientist that a mathematical formalism is capturing structure rather than merely fitting behavior?</w:t>
      </w:r>
    </w:p>
    <w:p>
      <w:pPr>
        <w:ind w:left="317"/>
      </w:pPr>
      <w:r>
        <w:rPr>
          <w:rFonts w:ascii="Liberation Sans" w:hAnsi="Liberation Sans"/>
          <w:sz w:val="18"/>
        </w:rPr>
        <w:t>•  Which alternative models or collaborators should be included from the outset to make the study maximally credible?</w:t>
      </w:r>
    </w:p>
    <w:p>
      <w:pPr>
        <w:pStyle w:val="Heading1"/>
        <w:pBdr>
          <w:bottom w:val="single" w:sz="10" w:space="1" w:color="17365D"/>
        </w:pBdr>
      </w:pPr>
      <w:r>
        <w:t>12. Research Team and Governance</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3331"/>
        <w:gridCol w:w="3331"/>
        <w:gridCol w:w="3331"/>
      </w:tblGrid>
      <w:tr>
        <w:trPr>
          <w:tblHeader w:val="true"/>
        </w:trPr>
        <w:tc>
          <w:tcPr>
            <w:tcW w:type="dxa" w:w="3331"/>
            <w:shd w:fill="17365D"/>
            <w:tcMar>
              <w:top w:w="80" w:type="dxa"/>
              <w:start w:w="100" w:type="dxa"/>
              <w:bottom w:w="80" w:type="dxa"/>
              <w:end w:w="100" w:type="dxa"/>
            </w:tcMar>
            <w:vAlign w:val="center"/>
          </w:tcPr>
          <w:p>
            <w:r>
              <w:rPr>
                <w:rFonts w:ascii="Liberation Sans" w:hAnsi="Liberation Sans"/>
                <w:b/>
                <w:color w:val="FFFFFF"/>
                <w:sz w:val="16"/>
              </w:rPr>
              <w:t>Role</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Candidate</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Scientific responsibility</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Mathematical / ErisML lead</w:t>
            </w:r>
          </w:p>
        </w:tc>
        <w:tc>
          <w:tcPr>
            <w:tcW w:type="dxa" w:w="3331"/>
            <w:tcMar>
              <w:top w:w="70" w:type="dxa"/>
              <w:start w:w="80" w:type="dxa"/>
              <w:bottom w:w="70" w:type="dxa"/>
              <w:end w:w="80" w:type="dxa"/>
            </w:tcMar>
            <w:vAlign w:val="center"/>
          </w:tcPr>
          <w:p>
            <w:r>
              <w:rPr>
                <w:rFonts w:ascii="Liberation Sans" w:hAnsi="Liberation Sans"/>
                <w:b w:val="0"/>
                <w:color w:val="1C2430"/>
                <w:sz w:val="15"/>
              </w:rPr>
              <w:t>Andrew Bond</w:t>
            </w:r>
          </w:p>
        </w:tc>
        <w:tc>
          <w:tcPr>
            <w:tcW w:type="dxa" w:w="3331"/>
            <w:tcMar>
              <w:top w:w="70" w:type="dxa"/>
              <w:start w:w="80" w:type="dxa"/>
              <w:bottom w:w="70" w:type="dxa"/>
              <w:end w:w="80" w:type="dxa"/>
            </w:tcMar>
            <w:vAlign w:val="center"/>
          </w:tcPr>
          <w:p>
            <w:r>
              <w:rPr>
                <w:rFonts w:ascii="Liberation Sans" w:hAnsi="Liberation Sans"/>
                <w:b w:val="0"/>
                <w:color w:val="1C2430"/>
                <w:sz w:val="15"/>
              </w:rPr>
              <w:t>Own formal definitions, human-data translation, reproducibility package, and limits of mathematical claims.</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Neuroscience principal investigator</w:t>
            </w:r>
          </w:p>
        </w:tc>
        <w:tc>
          <w:tcPr>
            <w:tcW w:type="dxa" w:w="3331"/>
            <w:tcMar>
              <w:top w:w="70" w:type="dxa"/>
              <w:start w:w="80" w:type="dxa"/>
              <w:bottom w:w="70" w:type="dxa"/>
              <w:end w:w="80" w:type="dxa"/>
            </w:tcMar>
            <w:vAlign w:val="center"/>
          </w:tcPr>
          <w:p>
            <w:r>
              <w:rPr>
                <w:rFonts w:ascii="Liberation Sans" w:hAnsi="Liberation Sans"/>
                <w:b w:val="0"/>
                <w:color w:val="1C2430"/>
                <w:sz w:val="15"/>
              </w:rPr>
              <w:t>Prospective collaborator</w:t>
            </w:r>
          </w:p>
        </w:tc>
        <w:tc>
          <w:tcPr>
            <w:tcW w:type="dxa" w:w="3331"/>
            <w:tcMar>
              <w:top w:w="70" w:type="dxa"/>
              <w:start w:w="80" w:type="dxa"/>
              <w:bottom w:w="70" w:type="dxa"/>
              <w:end w:w="80" w:type="dxa"/>
            </w:tcMar>
            <w:vAlign w:val="center"/>
          </w:tcPr>
          <w:p>
            <w:r>
              <w:rPr>
                <w:rFonts w:ascii="Liberation Sans" w:hAnsi="Liberation Sans"/>
                <w:b w:val="0"/>
                <w:color w:val="1C2430"/>
                <w:sz w:val="15"/>
              </w:rPr>
              <w:t>Own biological construct validity, neural-method selection, and interpretation boundaries.</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Experimental psychology / cognitive modeling lead</w:t>
            </w:r>
          </w:p>
        </w:tc>
        <w:tc>
          <w:tcPr>
            <w:tcW w:type="dxa" w:w="3331"/>
            <w:tcMar>
              <w:top w:w="70" w:type="dxa"/>
              <w:start w:w="80" w:type="dxa"/>
              <w:bottom w:w="70" w:type="dxa"/>
              <w:end w:w="80" w:type="dxa"/>
            </w:tcMar>
            <w:vAlign w:val="center"/>
          </w:tcPr>
          <w:p>
            <w:r>
              <w:rPr>
                <w:rFonts w:ascii="Liberation Sans" w:hAnsi="Liberation Sans"/>
                <w:b w:val="0"/>
                <w:color w:val="1C2430"/>
                <w:sz w:val="15"/>
              </w:rPr>
              <w:t>To recruit</w:t>
            </w:r>
          </w:p>
        </w:tc>
        <w:tc>
          <w:tcPr>
            <w:tcW w:type="dxa" w:w="3331"/>
            <w:tcMar>
              <w:top w:w="70" w:type="dxa"/>
              <w:start w:w="80" w:type="dxa"/>
              <w:bottom w:w="70" w:type="dxa"/>
              <w:end w:w="80" w:type="dxa"/>
            </w:tcMar>
            <w:vAlign w:val="center"/>
          </w:tcPr>
          <w:p>
            <w:r>
              <w:rPr>
                <w:rFonts w:ascii="Liberation Sans" w:hAnsi="Liberation Sans"/>
                <w:b w:val="0"/>
                <w:color w:val="1C2430"/>
                <w:sz w:val="15"/>
              </w:rPr>
              <w:t>Own task design, counterbalancing, measurement-reactivity controls, and competing cognitive models.</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Statistician / quantitative methodologist</w:t>
            </w:r>
          </w:p>
        </w:tc>
        <w:tc>
          <w:tcPr>
            <w:tcW w:type="dxa" w:w="3331"/>
            <w:tcMar>
              <w:top w:w="70" w:type="dxa"/>
              <w:start w:w="80" w:type="dxa"/>
              <w:bottom w:w="70" w:type="dxa"/>
              <w:end w:w="80" w:type="dxa"/>
            </w:tcMar>
            <w:vAlign w:val="center"/>
          </w:tcPr>
          <w:p>
            <w:r>
              <w:rPr>
                <w:rFonts w:ascii="Liberation Sans" w:hAnsi="Liberation Sans"/>
                <w:b w:val="0"/>
                <w:color w:val="1C2430"/>
                <w:sz w:val="15"/>
              </w:rPr>
              <w:t>To recruit</w:t>
            </w:r>
          </w:p>
        </w:tc>
        <w:tc>
          <w:tcPr>
            <w:tcW w:type="dxa" w:w="3331"/>
            <w:tcMar>
              <w:top w:w="70" w:type="dxa"/>
              <w:start w:w="80" w:type="dxa"/>
              <w:bottom w:w="70" w:type="dxa"/>
              <w:end w:w="80" w:type="dxa"/>
            </w:tcMar>
            <w:vAlign w:val="center"/>
          </w:tcPr>
          <w:p>
            <w:r>
              <w:rPr>
                <w:rFonts w:ascii="Liberation Sans" w:hAnsi="Liberation Sans"/>
                <w:b w:val="0"/>
                <w:color w:val="1C2430"/>
                <w:sz w:val="15"/>
              </w:rPr>
              <w:t>Own power simulation, preregistration, hierarchical inference, multiplicity control, and validation plan.</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Research engineering lead</w:t>
            </w:r>
          </w:p>
        </w:tc>
        <w:tc>
          <w:tcPr>
            <w:tcW w:type="dxa" w:w="3331"/>
            <w:tcMar>
              <w:top w:w="70" w:type="dxa"/>
              <w:start w:w="80" w:type="dxa"/>
              <w:bottom w:w="70" w:type="dxa"/>
              <w:end w:w="80" w:type="dxa"/>
            </w:tcMar>
            <w:vAlign w:val="center"/>
          </w:tcPr>
          <w:p>
            <w:r>
              <w:rPr>
                <w:rFonts w:ascii="Liberation Sans" w:hAnsi="Liberation Sans"/>
                <w:b w:val="0"/>
                <w:color w:val="1C2430"/>
                <w:sz w:val="15"/>
              </w:rPr>
              <w:t>To recruit / assign</w:t>
            </w:r>
          </w:p>
        </w:tc>
        <w:tc>
          <w:tcPr>
            <w:tcW w:type="dxa" w:w="3331"/>
            <w:tcMar>
              <w:top w:w="70" w:type="dxa"/>
              <w:start w:w="80" w:type="dxa"/>
              <w:bottom w:w="70" w:type="dxa"/>
              <w:end w:w="80" w:type="dxa"/>
            </w:tcMar>
            <w:vAlign w:val="center"/>
          </w:tcPr>
          <w:p>
            <w:r>
              <w:rPr>
                <w:rFonts w:ascii="Liberation Sans" w:hAnsi="Liberation Sans"/>
                <w:b w:val="0"/>
                <w:color w:val="1C2430"/>
                <w:sz w:val="15"/>
              </w:rPr>
              <w:t>Build the human-data adapter, analysis pipeline, versioned artifacts, and reproducible environment.</w:t>
            </w:r>
          </w:p>
        </w:tc>
      </w:tr>
      <w:tr>
        <w:trPr>
          <w:cantSplit/>
        </w:trPr>
        <w:tc>
          <w:tcPr>
            <w:tcW w:type="dxa" w:w="3331"/>
            <w:tcMar>
              <w:top w:w="70" w:type="dxa"/>
              <w:start w:w="80" w:type="dxa"/>
              <w:bottom w:w="70" w:type="dxa"/>
              <w:end w:w="80" w:type="dxa"/>
            </w:tcMar>
            <w:vAlign w:val="center"/>
          </w:tcPr>
          <w:p>
            <w:r>
              <w:rPr>
                <w:rFonts w:ascii="Liberation Sans" w:hAnsi="Liberation Sans"/>
                <w:b/>
                <w:color w:val="1C2430"/>
                <w:sz w:val="15"/>
              </w:rPr>
              <w:t>Campaign / program coordination</w:t>
            </w:r>
          </w:p>
        </w:tc>
        <w:tc>
          <w:tcPr>
            <w:tcW w:type="dxa" w:w="3331"/>
            <w:tcMar>
              <w:top w:w="70" w:type="dxa"/>
              <w:start w:w="80" w:type="dxa"/>
              <w:bottom w:w="70" w:type="dxa"/>
              <w:end w:w="80" w:type="dxa"/>
            </w:tcMar>
            <w:vAlign w:val="center"/>
          </w:tcPr>
          <w:p>
            <w:r>
              <w:rPr>
                <w:rFonts w:ascii="Liberation Sans" w:hAnsi="Liberation Sans"/>
                <w:b w:val="0"/>
                <w:color w:val="1C2430"/>
                <w:sz w:val="15"/>
              </w:rPr>
              <w:t>Kim Baley / Justice Innovations, if desired</w:t>
            </w:r>
          </w:p>
        </w:tc>
        <w:tc>
          <w:tcPr>
            <w:tcW w:type="dxa" w:w="3331"/>
            <w:tcMar>
              <w:top w:w="70" w:type="dxa"/>
              <w:start w:w="80" w:type="dxa"/>
              <w:bottom w:w="70" w:type="dxa"/>
              <w:end w:w="80" w:type="dxa"/>
            </w:tcMar>
            <w:vAlign w:val="center"/>
          </w:tcPr>
          <w:p>
            <w:r>
              <w:rPr>
                <w:rFonts w:ascii="Liberation Sans" w:hAnsi="Liberation Sans"/>
                <w:b w:val="0"/>
                <w:color w:val="1C2430"/>
                <w:sz w:val="15"/>
              </w:rPr>
              <w:t>Coordinate research development, documentation, outreach, funding preparation, and cross-team deliverables without controlling scientific conclusions.</w:t>
            </w:r>
          </w:p>
        </w:tc>
      </w:tr>
    </w:tbl>
    <w:p>
      <w:pPr>
        <w:pStyle w:val="Heading1"/>
        <w:pBdr>
          <w:bottom w:val="single" w:sz="10" w:space="1" w:color="17365D"/>
        </w:pBdr>
      </w:pPr>
      <w:r>
        <w:t>13. Human-Subjects Ethics, Reproducibility, and Responsible Interpretation</w:t>
      </w:r>
    </w:p>
    <w:p>
      <w:pPr>
        <w:pStyle w:val="Label"/>
      </w:pPr>
      <w:r>
        <w:t>IRB before recruitment</w:t>
      </w:r>
    </w:p>
    <w:p>
      <w:pPr>
        <w:ind w:left="259"/>
      </w:pPr>
      <w:r>
        <w:t>Human behavioral or neural data collection requires appropriate institutional review and informed consent.</w:t>
      </w:r>
    </w:p>
    <w:p>
      <w:pPr>
        <w:pStyle w:val="Label"/>
      </w:pPr>
      <w:r>
        <w:t>No moral profiling</w:t>
      </w:r>
    </w:p>
    <w:p>
      <w:pPr>
        <w:ind w:left="259"/>
      </w:pPr>
      <w:r>
        <w:t>Individual-level “decision geometry” should be treated as a research parameterization, not a diagnostic, character score, risk score, or legal inference about a person.</w:t>
      </w:r>
    </w:p>
    <w:p>
      <w:pPr>
        <w:pStyle w:val="Label"/>
      </w:pPr>
      <w:r>
        <w:t>Data minimization</w:t>
      </w:r>
    </w:p>
    <w:p>
      <w:pPr>
        <w:ind w:left="259"/>
      </w:pPr>
      <w:r>
        <w:t>Collect only data needed for the hypotheses; separate identity from research records; define retention and sharing policies in advance.</w:t>
      </w:r>
    </w:p>
    <w:p>
      <w:pPr>
        <w:pStyle w:val="Label"/>
      </w:pPr>
      <w:r>
        <w:t>No legal overreach</w:t>
      </w:r>
    </w:p>
    <w:p>
      <w:pPr>
        <w:ind w:left="259"/>
      </w:pPr>
      <w:r>
        <w:t>Even if neural correspondence is found, the study would not by itself establish diminished responsibility, culpability, or legal capacity.</w:t>
      </w:r>
    </w:p>
    <w:p>
      <w:pPr>
        <w:pStyle w:val="Label"/>
      </w:pPr>
      <w:r>
        <w:t>Registered reporting</w:t>
      </w:r>
    </w:p>
    <w:p>
      <w:pPr>
        <w:ind w:left="259"/>
      </w:pPr>
      <w:r>
        <w:t>Where feasible, pursue a Registered Report or equivalent preregistered publication path to reduce hindsight bias and increase credibility.</w:t>
      </w:r>
    </w:p>
    <w:p>
      <w:pPr>
        <w:pStyle w:val="Label"/>
      </w:pPr>
      <w:r>
        <w:t>Reproducible artifacts</w:t>
      </w:r>
    </w:p>
    <w:p>
      <w:pPr>
        <w:ind w:left="259"/>
      </w:pPr>
      <w:r>
        <w:t>Archive code, environment, transforms, stimuli versions, model specifications, exclusions, and all claim-generating outputs.</w:t>
      </w:r>
    </w:p>
    <w:p>
      <w:pPr>
        <w:pStyle w:val="Heading1"/>
        <w:pBdr>
          <w:bottom w:val="single" w:sz="10" w:space="1" w:color="17365D"/>
        </w:pBdr>
      </w:pPr>
      <w:r>
        <w:t>14. Campaign Deliverables</w:t>
      </w:r>
    </w:p>
    <w:p>
      <w:r>
        <w:rPr>
          <w:rFonts w:ascii="Liberation Sans" w:hAnsi="Liberation Sans"/>
          <w:b/>
          <w:color w:val="1F6D78"/>
        </w:rPr>
        <w:t xml:space="preserve">D0. Reproducibility dossier. </w:t>
      </w:r>
      <w:r>
        <w:rPr>
          <w:rFonts w:ascii="Liberation Sans" w:hAnsi="Liberation Sans"/>
        </w:rPr>
        <w:t>Frozen ErisML-Lib commit, environment, runbook, regenerated results, hashes, and claim ledger.</w:t>
      </w:r>
    </w:p>
    <w:p>
      <w:r>
        <w:rPr>
          <w:rFonts w:ascii="Liberation Sans" w:hAnsi="Liberation Sans"/>
          <w:b/>
          <w:color w:val="1F6D78"/>
        </w:rPr>
        <w:t xml:space="preserve">D1. ErisML ↔ distributed-cognition construct map. </w:t>
      </w:r>
      <w:r>
        <w:rPr>
          <w:rFonts w:ascii="Liberation Sans" w:hAnsi="Liberation Sans"/>
        </w:rPr>
        <w:t>Each mapping labeled Implemented, Repository-reported, External literature, Analogy, or New hypothesis.</w:t>
      </w:r>
    </w:p>
    <w:p>
      <w:r>
        <w:rPr>
          <w:rFonts w:ascii="Liberation Sans" w:hAnsi="Liberation Sans"/>
          <w:b/>
          <w:color w:val="1F6D78"/>
        </w:rPr>
        <w:t xml:space="preserve">D2. Human experimental protocol. </w:t>
      </w:r>
      <w:r>
        <w:rPr>
          <w:rFonts w:ascii="Liberation Sans" w:hAnsi="Liberation Sans"/>
        </w:rPr>
        <w:t>Preregistration-ready design with trajectory/terminal-only arms, counterbalancing, controls, exclusions, and stimuli.</w:t>
      </w:r>
    </w:p>
    <w:p>
      <w:r>
        <w:rPr>
          <w:rFonts w:ascii="Liberation Sans" w:hAnsi="Liberation Sans"/>
          <w:b/>
          <w:color w:val="1F6D78"/>
        </w:rPr>
        <w:t xml:space="preserve">D3. Human-data adapter. </w:t>
      </w:r>
      <w:r>
        <w:rPr>
          <w:rFonts w:ascii="Liberation Sans" w:hAnsi="Liberation Sans"/>
        </w:rPr>
        <w:t>Versioned pipeline that transforms behavioral trajectories into prespecified ErisML-derived features and baseline-model inputs.</w:t>
      </w:r>
    </w:p>
    <w:p>
      <w:r>
        <w:rPr>
          <w:rFonts w:ascii="Liberation Sans" w:hAnsi="Liberation Sans"/>
          <w:b/>
          <w:color w:val="1F6D78"/>
        </w:rPr>
        <w:t xml:space="preserve">D4. Behavioral pilot package. </w:t>
      </w:r>
      <w:r>
        <w:rPr>
          <w:rFonts w:ascii="Liberation Sans" w:hAnsi="Liberation Sans"/>
        </w:rPr>
        <w:t>Pilot dataset, power simulation, manipulation checks, measurement-reactivity estimate, and locked confirmatory plan.</w:t>
      </w:r>
    </w:p>
    <w:p>
      <w:r>
        <w:rPr>
          <w:rFonts w:ascii="Liberation Sans" w:hAnsi="Liberation Sans"/>
          <w:b/>
          <w:color w:val="1F6D78"/>
        </w:rPr>
        <w:t xml:space="preserve">D5. Confirmatory study. </w:t>
      </w:r>
      <w:r>
        <w:rPr>
          <w:rFonts w:ascii="Liberation Sans" w:hAnsi="Liberation Sans"/>
        </w:rPr>
        <w:t>Preregistered multi-participant dataset and held-out model comparison.</w:t>
      </w:r>
    </w:p>
    <w:p>
      <w:r>
        <w:rPr>
          <w:rFonts w:ascii="Liberation Sans" w:hAnsi="Liberation Sans"/>
          <w:b/>
          <w:color w:val="1F6D78"/>
        </w:rPr>
        <w:t xml:space="preserve">D6. Cross-domain replication. </w:t>
      </w:r>
      <w:r>
        <w:rPr>
          <w:rFonts w:ascii="Liberation Sans" w:hAnsi="Liberation Sans"/>
        </w:rPr>
        <w:t>Non-moral replication of the strongest structural result.</w:t>
      </w:r>
    </w:p>
    <w:p>
      <w:r>
        <w:rPr>
          <w:rFonts w:ascii="Liberation Sans" w:hAnsi="Liberation Sans"/>
          <w:b/>
          <w:color w:val="1F6D78"/>
        </w:rPr>
        <w:t xml:space="preserve">D7. Neuroscience protocol. </w:t>
      </w:r>
      <w:r>
        <w:rPr>
          <w:rFonts w:ascii="Liberation Sans" w:hAnsi="Liberation Sans"/>
        </w:rPr>
        <w:t>Only if Gate 3 is passed; specifies neural hypotheses derived from replicated behavioral signatures.</w:t>
      </w:r>
    </w:p>
    <w:p>
      <w:r>
        <w:rPr>
          <w:rFonts w:ascii="Liberation Sans" w:hAnsi="Liberation Sans"/>
          <w:b/>
          <w:color w:val="1F6D78"/>
        </w:rPr>
        <w:t xml:space="preserve">D8. Manuscript series. </w:t>
      </w:r>
      <w:r>
        <w:rPr>
          <w:rFonts w:ascii="Liberation Sans" w:hAnsi="Liberation Sans"/>
        </w:rPr>
        <w:t>Paper 1: behavioral structure and model comparison. Paper 2: cross-domain generalization. Paper 3: neural correspondence, if supported.</w:t>
      </w:r>
    </w:p>
    <w:p>
      <w:pPr>
        <w:pStyle w:val="Heading1"/>
        <w:pBdr>
          <w:bottom w:val="single" w:sz="10" w:space="1" w:color="17365D"/>
        </w:pBdr>
      </w:pPr>
      <w:r>
        <w:t>15. Scientific Risk Register</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3331"/>
        <w:gridCol w:w="3331"/>
        <w:gridCol w:w="3331"/>
      </w:tblGrid>
      <w:tr>
        <w:trPr>
          <w:tblHeader w:val="true"/>
        </w:trPr>
        <w:tc>
          <w:tcPr>
            <w:tcW w:type="dxa" w:w="3331"/>
            <w:shd w:fill="17365D"/>
            <w:tcMar>
              <w:top w:w="80" w:type="dxa"/>
              <w:start w:w="100" w:type="dxa"/>
              <w:bottom w:w="80" w:type="dxa"/>
              <w:end w:w="100" w:type="dxa"/>
            </w:tcMar>
            <w:vAlign w:val="center"/>
          </w:tcPr>
          <w:p>
            <w:r>
              <w:rPr>
                <w:rFonts w:ascii="Liberation Sans" w:hAnsi="Liberation Sans"/>
                <w:b/>
                <w:color w:val="FFFFFF"/>
                <w:sz w:val="16"/>
              </w:rPr>
              <w:t>Risk</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Why it matters</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Mitigation</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Novelty overclaim</w:t>
            </w:r>
          </w:p>
        </w:tc>
        <w:tc>
          <w:tcPr>
            <w:tcW w:type="dxa" w:w="3331"/>
            <w:tcMar>
              <w:top w:w="65" w:type="dxa"/>
              <w:start w:w="75" w:type="dxa"/>
              <w:bottom w:w="65" w:type="dxa"/>
              <w:end w:w="75" w:type="dxa"/>
            </w:tcMar>
            <w:vAlign w:val="center"/>
          </w:tcPr>
          <w:p>
            <w:r>
              <w:rPr>
                <w:rFonts w:ascii="Liberation Sans" w:hAnsi="Liberation Sans"/>
                <w:b w:val="0"/>
                <w:color w:val="1C2430"/>
                <w:sz w:val="14"/>
              </w:rPr>
              <w:t>Human order effects and noncommutative cognitive models already exist.</w:t>
            </w:r>
          </w:p>
        </w:tc>
        <w:tc>
          <w:tcPr>
            <w:tcW w:type="dxa" w:w="3331"/>
            <w:tcMar>
              <w:top w:w="65" w:type="dxa"/>
              <w:start w:w="75" w:type="dxa"/>
              <w:bottom w:w="65" w:type="dxa"/>
              <w:end w:w="75" w:type="dxa"/>
            </w:tcMar>
            <w:vAlign w:val="center"/>
          </w:tcPr>
          <w:p>
            <w:r>
              <w:rPr>
                <w:rFonts w:ascii="Liberation Sans" w:hAnsi="Liberation Sans"/>
                <w:b w:val="0"/>
                <w:color w:val="1C2430"/>
                <w:sz w:val="14"/>
              </w:rPr>
              <w:t>Position novelty around the integrated ErisML measurement suite, falsifiable invariance framework, prediction, and cross-system comparison — not the mere existence of order effects.</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Measurement-induced order effects</w:t>
            </w:r>
          </w:p>
        </w:tc>
        <w:tc>
          <w:tcPr>
            <w:tcW w:type="dxa" w:w="3331"/>
            <w:tcMar>
              <w:top w:w="65" w:type="dxa"/>
              <w:start w:w="75" w:type="dxa"/>
              <w:bottom w:w="65" w:type="dxa"/>
              <w:end w:w="75" w:type="dxa"/>
            </w:tcMar>
            <w:vAlign w:val="center"/>
          </w:tcPr>
          <w:p>
            <w:r>
              <w:rPr>
                <w:rFonts w:ascii="Liberation Sans" w:hAnsi="Liberation Sans"/>
                <w:b w:val="0"/>
                <w:color w:val="1C2430"/>
                <w:sz w:val="14"/>
              </w:rPr>
              <w:t>Intermediate questions may alter the cognitive state.</w:t>
            </w:r>
          </w:p>
        </w:tc>
        <w:tc>
          <w:tcPr>
            <w:tcW w:type="dxa" w:w="3331"/>
            <w:tcMar>
              <w:top w:w="65" w:type="dxa"/>
              <w:start w:w="75" w:type="dxa"/>
              <w:bottom w:w="65" w:type="dxa"/>
              <w:end w:w="75" w:type="dxa"/>
            </w:tcMar>
            <w:vAlign w:val="center"/>
          </w:tcPr>
          <w:p>
            <w:r>
              <w:rPr>
                <w:rFonts w:ascii="Liberation Sans" w:hAnsi="Liberation Sans"/>
                <w:b w:val="0"/>
                <w:color w:val="1C2430"/>
                <w:sz w:val="14"/>
              </w:rPr>
              <w:t>Use terminal-only arm and preregister the reactivity contrast.</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Post hoc mathematics</w:t>
            </w:r>
          </w:p>
        </w:tc>
        <w:tc>
          <w:tcPr>
            <w:tcW w:type="dxa" w:w="3331"/>
            <w:tcMar>
              <w:top w:w="65" w:type="dxa"/>
              <w:start w:w="75" w:type="dxa"/>
              <w:bottom w:w="65" w:type="dxa"/>
              <w:end w:w="75" w:type="dxa"/>
            </w:tcMar>
            <w:vAlign w:val="center"/>
          </w:tcPr>
          <w:p>
            <w:r>
              <w:rPr>
                <w:rFonts w:ascii="Liberation Sans" w:hAnsi="Liberation Sans"/>
                <w:b w:val="0"/>
                <w:color w:val="1C2430"/>
                <w:sz w:val="14"/>
              </w:rPr>
              <w:t>Flexible feature definitions can fit almost anything.</w:t>
            </w:r>
          </w:p>
        </w:tc>
        <w:tc>
          <w:tcPr>
            <w:tcW w:type="dxa" w:w="3331"/>
            <w:tcMar>
              <w:top w:w="65" w:type="dxa"/>
              <w:start w:w="75" w:type="dxa"/>
              <w:bottom w:w="65" w:type="dxa"/>
              <w:end w:w="75" w:type="dxa"/>
            </w:tcMar>
            <w:vAlign w:val="center"/>
          </w:tcPr>
          <w:p>
            <w:r>
              <w:rPr>
                <w:rFonts w:ascii="Liberation Sans" w:hAnsi="Liberation Sans"/>
                <w:b w:val="0"/>
                <w:color w:val="1C2430"/>
                <w:sz w:val="14"/>
              </w:rPr>
              <w:t>Freeze human-data analogues before confirmatory analysis; hold out sequences and participants.</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Biological reification</w:t>
            </w:r>
          </w:p>
        </w:tc>
        <w:tc>
          <w:tcPr>
            <w:tcW w:type="dxa" w:w="3331"/>
            <w:tcMar>
              <w:top w:w="65" w:type="dxa"/>
              <w:start w:w="75" w:type="dxa"/>
              <w:bottom w:w="65" w:type="dxa"/>
              <w:end w:w="75" w:type="dxa"/>
            </w:tcMar>
            <w:vAlign w:val="center"/>
          </w:tcPr>
          <w:p>
            <w:r>
              <w:rPr>
                <w:rFonts w:ascii="Liberation Sans" w:hAnsi="Liberation Sans"/>
                <w:b w:val="0"/>
                <w:color w:val="1C2430"/>
                <w:sz w:val="14"/>
              </w:rPr>
              <w:t>Mathematical axes may be mistaken for neural modules.</w:t>
            </w:r>
          </w:p>
        </w:tc>
        <w:tc>
          <w:tcPr>
            <w:tcW w:type="dxa" w:w="3331"/>
            <w:tcMar>
              <w:top w:w="65" w:type="dxa"/>
              <w:start w:w="75" w:type="dxa"/>
              <w:bottom w:w="65" w:type="dxa"/>
              <w:end w:w="75" w:type="dxa"/>
            </w:tcMar>
            <w:vAlign w:val="center"/>
          </w:tcPr>
          <w:p>
            <w:r>
              <w:rPr>
                <w:rFonts w:ascii="Liberation Sans" w:hAnsi="Liberation Sans"/>
                <w:b w:val="0"/>
                <w:color w:val="1C2430"/>
                <w:sz w:val="14"/>
              </w:rPr>
              <w:t>Treat biological mapping as hypothesis; never infer anatomy from algebra alone.</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Model-selection bias</w:t>
            </w:r>
          </w:p>
        </w:tc>
        <w:tc>
          <w:tcPr>
            <w:tcW w:type="dxa" w:w="3331"/>
            <w:tcMar>
              <w:top w:w="65" w:type="dxa"/>
              <w:start w:w="75" w:type="dxa"/>
              <w:bottom w:w="65" w:type="dxa"/>
              <w:end w:w="75" w:type="dxa"/>
            </w:tcMar>
            <w:vAlign w:val="center"/>
          </w:tcPr>
          <w:p>
            <w:r>
              <w:rPr>
                <w:rFonts w:ascii="Liberation Sans" w:hAnsi="Liberation Sans"/>
                <w:b w:val="0"/>
                <w:color w:val="1C2430"/>
                <w:sz w:val="14"/>
              </w:rPr>
              <w:t>Only favorable baselines are chosen.</w:t>
            </w:r>
          </w:p>
        </w:tc>
        <w:tc>
          <w:tcPr>
            <w:tcW w:type="dxa" w:w="3331"/>
            <w:tcMar>
              <w:top w:w="65" w:type="dxa"/>
              <w:start w:w="75" w:type="dxa"/>
              <w:bottom w:w="65" w:type="dxa"/>
              <w:end w:w="75" w:type="dxa"/>
            </w:tcMar>
            <w:vAlign w:val="center"/>
          </w:tcPr>
          <w:p>
            <w:r>
              <w:rPr>
                <w:rFonts w:ascii="Liberation Sans" w:hAnsi="Liberation Sans"/>
                <w:b w:val="0"/>
                <w:color w:val="1C2430"/>
                <w:sz w:val="14"/>
              </w:rPr>
              <w:t>Pre-register mature competing model families and invite an independent cognitive modeler.</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Moral-domain confound</w:t>
            </w:r>
          </w:p>
        </w:tc>
        <w:tc>
          <w:tcPr>
            <w:tcW w:type="dxa" w:w="3331"/>
            <w:tcMar>
              <w:top w:w="65" w:type="dxa"/>
              <w:start w:w="75" w:type="dxa"/>
              <w:bottom w:w="65" w:type="dxa"/>
              <w:end w:w="75" w:type="dxa"/>
            </w:tcMar>
            <w:vAlign w:val="center"/>
          </w:tcPr>
          <w:p>
            <w:r>
              <w:rPr>
                <w:rFonts w:ascii="Liberation Sans" w:hAnsi="Liberation Sans"/>
                <w:b w:val="0"/>
                <w:color w:val="1C2430"/>
                <w:sz w:val="14"/>
              </w:rPr>
              <w:t>Effects may be peculiar to moral language.</w:t>
            </w:r>
          </w:p>
        </w:tc>
        <w:tc>
          <w:tcPr>
            <w:tcW w:type="dxa" w:w="3331"/>
            <w:tcMar>
              <w:top w:w="65" w:type="dxa"/>
              <w:start w:w="75" w:type="dxa"/>
              <w:bottom w:w="65" w:type="dxa"/>
              <w:end w:w="75" w:type="dxa"/>
            </w:tcMar>
            <w:vAlign w:val="center"/>
          </w:tcPr>
          <w:p>
            <w:r>
              <w:rPr>
                <w:rFonts w:ascii="Liberation Sans" w:hAnsi="Liberation Sans"/>
                <w:b w:val="0"/>
                <w:color w:val="1C2430"/>
                <w:sz w:val="14"/>
              </w:rPr>
              <w:t>Require non-moral replication before general claims.</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Repository drift</w:t>
            </w:r>
          </w:p>
        </w:tc>
        <w:tc>
          <w:tcPr>
            <w:tcW w:type="dxa" w:w="3331"/>
            <w:tcMar>
              <w:top w:w="65" w:type="dxa"/>
              <w:start w:w="75" w:type="dxa"/>
              <w:bottom w:w="65" w:type="dxa"/>
              <w:end w:w="75" w:type="dxa"/>
            </w:tcMar>
            <w:vAlign w:val="center"/>
          </w:tcPr>
          <w:p>
            <w:r>
              <w:rPr>
                <w:rFonts w:ascii="Liberation Sans" w:hAnsi="Liberation Sans"/>
                <w:b w:val="0"/>
                <w:color w:val="1C2430"/>
                <w:sz w:val="14"/>
              </w:rPr>
              <w:t>The codebase changes during the project.</w:t>
            </w:r>
          </w:p>
        </w:tc>
        <w:tc>
          <w:tcPr>
            <w:tcW w:type="dxa" w:w="3331"/>
            <w:tcMar>
              <w:top w:w="65" w:type="dxa"/>
              <w:start w:w="75" w:type="dxa"/>
              <w:bottom w:w="65" w:type="dxa"/>
              <w:end w:w="75" w:type="dxa"/>
            </w:tcMar>
            <w:vAlign w:val="center"/>
          </w:tcPr>
          <w:p>
            <w:r>
              <w:rPr>
                <w:rFonts w:ascii="Liberation Sans" w:hAnsi="Liberation Sans"/>
                <w:b w:val="0"/>
                <w:color w:val="1C2430"/>
                <w:sz w:val="14"/>
              </w:rPr>
              <w:t>Freeze tagged commits for each study and preserve containers / lockfiles.</w:t>
            </w:r>
          </w:p>
        </w:tc>
      </w:tr>
      <w:tr>
        <w:trPr>
          <w:cantSplit/>
        </w:trPr>
        <w:tc>
          <w:tcPr>
            <w:tcW w:type="dxa" w:w="3331"/>
            <w:tcMar>
              <w:top w:w="65" w:type="dxa"/>
              <w:start w:w="75" w:type="dxa"/>
              <w:bottom w:w="65" w:type="dxa"/>
              <w:end w:w="75" w:type="dxa"/>
            </w:tcMar>
            <w:vAlign w:val="center"/>
          </w:tcPr>
          <w:p>
            <w:r>
              <w:rPr>
                <w:rFonts w:ascii="Liberation Sans" w:hAnsi="Liberation Sans"/>
                <w:b/>
                <w:color w:val="1C2430"/>
                <w:sz w:val="14"/>
              </w:rPr>
              <w:t>Founder effect / confirmation pressure</w:t>
            </w:r>
          </w:p>
        </w:tc>
        <w:tc>
          <w:tcPr>
            <w:tcW w:type="dxa" w:w="3331"/>
            <w:tcMar>
              <w:top w:w="65" w:type="dxa"/>
              <w:start w:w="75" w:type="dxa"/>
              <w:bottom w:w="65" w:type="dxa"/>
              <w:end w:w="75" w:type="dxa"/>
            </w:tcMar>
            <w:vAlign w:val="center"/>
          </w:tcPr>
          <w:p>
            <w:r>
              <w:rPr>
                <w:rFonts w:ascii="Liberation Sans" w:hAnsi="Liberation Sans"/>
                <w:b w:val="0"/>
                <w:color w:val="1C2430"/>
                <w:sz w:val="14"/>
              </w:rPr>
              <w:t>Stakeholders may have incentives to see correspondence.</w:t>
            </w:r>
          </w:p>
        </w:tc>
        <w:tc>
          <w:tcPr>
            <w:tcW w:type="dxa" w:w="3331"/>
            <w:tcMar>
              <w:top w:w="65" w:type="dxa"/>
              <w:start w:w="75" w:type="dxa"/>
              <w:bottom w:w="65" w:type="dxa"/>
              <w:end w:w="75" w:type="dxa"/>
            </w:tcMar>
            <w:vAlign w:val="center"/>
          </w:tcPr>
          <w:p>
            <w:r>
              <w:rPr>
                <w:rFonts w:ascii="Liberation Sans" w:hAnsi="Liberation Sans"/>
                <w:b w:val="0"/>
                <w:color w:val="1C2430"/>
                <w:sz w:val="14"/>
              </w:rPr>
              <w:t>Independent analysis review, preregistration, transparent null results, and ideally Registered Report review.</w:t>
            </w:r>
          </w:p>
        </w:tc>
      </w:tr>
    </w:tbl>
    <w:p>
      <w:pPr>
        <w:pStyle w:val="Heading1"/>
        <w:pBdr>
          <w:bottom w:val="single" w:sz="10" w:space="1" w:color="17365D"/>
        </w:pBdr>
      </w:pPr>
      <w:r>
        <w:t>16. The Defensible External Thesis</w:t>
      </w:r>
    </w:p>
    <w:tbl>
      <w:tblPr>
        <w:tblW w:type="auto" w:w="0"/>
        <w:tblLook w:firstColumn="1" w:firstRow="1" w:lastColumn="0" w:lastRow="0" w:noHBand="0" w:noVBand="1" w:val="04A0"/>
      </w:tblPr>
      <w:tblGrid>
        <w:gridCol w:w="9994"/>
      </w:tblGrid>
      <w:tr>
        <w:tc>
          <w:tcPr>
            <w:tcW w:type="dxa" w:w="9994"/>
            <w:shd w:fill="EAF0F7"/>
            <w:tcMar>
              <w:top w:w="160" w:type="dxa"/>
              <w:start w:w="200" w:type="dxa"/>
              <w:bottom w:w="160" w:type="dxa"/>
              <w:end w:w="200" w:type="dxa"/>
            </w:tcMar>
            <w:vAlign w:val="center"/>
          </w:tcPr>
          <w:p>
            <w:r>
              <w:rPr>
                <w:rFonts w:ascii="Liberation Sans" w:hAnsi="Liberation Sans"/>
                <w:b/>
                <w:color w:val="A23B3B"/>
                <w:sz w:val="16"/>
              </w:rPr>
              <w:t>Do not say:</w:t>
              <w:br/>
            </w:r>
            <w:r>
              <w:rPr>
                <w:rFonts w:ascii="Liberation Sans" w:hAnsi="Liberation Sans"/>
                <w:b/>
                <w:color w:val="1C2430"/>
                <w:sz w:val="20"/>
              </w:rPr>
              <w:t>“Andrew Bond mathematically proved David Eagleman’s theory.”</w:t>
              <w:br/>
              <w:br/>
            </w:r>
            <w:r>
              <w:rPr>
                <w:rFonts w:ascii="Liberation Sans" w:hAnsi="Liberation Sans"/>
                <w:b/>
                <w:color w:val="2E6F4E"/>
                <w:sz w:val="16"/>
              </w:rPr>
              <w:t>Say instead:</w:t>
              <w:br/>
            </w:r>
            <w:r>
              <w:rPr>
                <w:rFonts w:ascii="Liberation Sans" w:hAnsi="Liberation Sans"/>
                <w:b/>
                <w:color w:val="17365D"/>
                <w:sz w:val="21"/>
              </w:rPr>
              <w:t>“David Eagleman’s neuroscience describes human choice as emerging from interacting and competing processes. ErisML-Lib independently implements a mathematical framework for measuring several properties expected in interacting decision systems — including order sensitivity, context dependence, higher-order composition effects, temporal structure, distributed contribution, and internal-state invariance. We propose to test, prospectively and against established alternative models, whether those structures predict human decision dynamics and ultimately correspond to neural measurements.”</w:t>
            </w:r>
          </w:p>
        </w:tc>
      </w:tr>
    </w:tbl>
    <w:p>
      <w:pPr>
        <w:pStyle w:val="Callout"/>
        <w:spacing w:before="200"/>
      </w:pPr>
      <w:r>
        <w:t>If the predictive and cross-domain gates are passed, the long-range possibility is not “proof of Eagleman.” It is a candidate mathematical language for distributed decision-making that can be tested across human and artificial systems.</w:t>
      </w:r>
    </w:p>
    <w:p>
      <w:pPr>
        <w:pStyle w:val="Heading1"/>
        <w:pBdr>
          <w:bottom w:val="single" w:sz="10" w:space="1" w:color="17365D"/>
        </w:pBdr>
      </w:pPr>
      <w:r>
        <w:t>Appendix A. Evidence / Claim Ledger for Outreach</w:t>
      </w:r>
    </w:p>
    <w:tbl>
      <w:tblPr>
        <w:tblStyle w:val="TableGrid"/>
        <w:tblW w:type="auto" w:w="0"/>
        <w:jc w:val="center"/>
        <w:tblLook w:firstColumn="1" w:firstRow="1" w:lastColumn="0" w:lastRow="0" w:noHBand="0" w:noVBand="1" w:val="04A0"/>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Pr>
      <w:tblGrid>
        <w:gridCol w:w="3331"/>
        <w:gridCol w:w="3331"/>
        <w:gridCol w:w="3331"/>
      </w:tblGrid>
      <w:tr>
        <w:trPr>
          <w:tblHeader w:val="true"/>
        </w:trPr>
        <w:tc>
          <w:tcPr>
            <w:tcW w:type="dxa" w:w="3331"/>
            <w:shd w:fill="17365D"/>
            <w:tcMar>
              <w:top w:w="80" w:type="dxa"/>
              <w:start w:w="100" w:type="dxa"/>
              <w:bottom w:w="80" w:type="dxa"/>
              <w:end w:w="100" w:type="dxa"/>
            </w:tcMar>
            <w:vAlign w:val="center"/>
          </w:tcPr>
          <w:p>
            <w:r>
              <w:rPr>
                <w:rFonts w:ascii="Liberation Sans" w:hAnsi="Liberation Sans"/>
                <w:b/>
                <w:color w:val="FFFFFF"/>
                <w:sz w:val="16"/>
              </w:rPr>
              <w:t>Claim</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Evidence tier</w:t>
            </w:r>
          </w:p>
        </w:tc>
        <w:tc>
          <w:tcPr>
            <w:tcW w:type="dxa" w:w="3331"/>
            <w:shd w:fill="17365D"/>
            <w:tcMar>
              <w:top w:w="80" w:type="dxa"/>
              <w:start w:w="100" w:type="dxa"/>
              <w:bottom w:w="80" w:type="dxa"/>
              <w:end w:w="100" w:type="dxa"/>
            </w:tcMar>
            <w:vAlign w:val="center"/>
          </w:tcPr>
          <w:p>
            <w:r>
              <w:rPr>
                <w:rFonts w:ascii="Liberation Sans" w:hAnsi="Liberation Sans"/>
                <w:b/>
                <w:color w:val="FFFFFF"/>
                <w:sz w:val="16"/>
              </w:rPr>
              <w:t>Outreach rule</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Eagleman uses “team of rivals” for competing neural populations controlling behavior.</w:t>
            </w:r>
          </w:p>
        </w:tc>
        <w:tc>
          <w:tcPr>
            <w:tcW w:type="dxa" w:w="3331"/>
            <w:tcMar>
              <w:top w:w="65" w:type="dxa"/>
              <w:start w:w="75" w:type="dxa"/>
              <w:bottom w:w="65" w:type="dxa"/>
              <w:end w:w="75" w:type="dxa"/>
            </w:tcMar>
            <w:vAlign w:val="center"/>
          </w:tcPr>
          <w:p>
            <w:r>
              <w:rPr>
                <w:rFonts w:ascii="Liberation Sans" w:hAnsi="Liberation Sans"/>
                <w:b/>
                <w:color w:val="1C2430"/>
                <w:sz w:val="14"/>
              </w:rPr>
              <w:t>C — external primary source</w:t>
            </w:r>
          </w:p>
        </w:tc>
        <w:tc>
          <w:tcPr>
            <w:tcW w:type="dxa" w:w="3331"/>
            <w:tcMar>
              <w:top w:w="65" w:type="dxa"/>
              <w:start w:w="75" w:type="dxa"/>
              <w:bottom w:w="65" w:type="dxa"/>
              <w:end w:w="75" w:type="dxa"/>
            </w:tcMar>
            <w:vAlign w:val="center"/>
          </w:tcPr>
          <w:p>
            <w:r>
              <w:rPr>
                <w:rFonts w:ascii="Liberation Sans" w:hAnsi="Liberation Sans"/>
                <w:b w:val="0"/>
                <w:color w:val="1C2430"/>
                <w:sz w:val="14"/>
              </w:rPr>
              <w:t>Safe to state with citation.</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Eagleman describes brain complexity as necessitating new kinds of mathematics.</w:t>
            </w:r>
          </w:p>
        </w:tc>
        <w:tc>
          <w:tcPr>
            <w:tcW w:type="dxa" w:w="3331"/>
            <w:tcMar>
              <w:top w:w="65" w:type="dxa"/>
              <w:start w:w="75" w:type="dxa"/>
              <w:bottom w:w="65" w:type="dxa"/>
              <w:end w:w="75" w:type="dxa"/>
            </w:tcMar>
            <w:vAlign w:val="center"/>
          </w:tcPr>
          <w:p>
            <w:r>
              <w:rPr>
                <w:rFonts w:ascii="Liberation Sans" w:hAnsi="Liberation Sans"/>
                <w:b/>
                <w:color w:val="1C2430"/>
                <w:sz w:val="14"/>
              </w:rPr>
              <w:t>C — external primary source</w:t>
            </w:r>
          </w:p>
        </w:tc>
        <w:tc>
          <w:tcPr>
            <w:tcW w:type="dxa" w:w="3331"/>
            <w:tcMar>
              <w:top w:w="65" w:type="dxa"/>
              <w:start w:w="75" w:type="dxa"/>
              <w:bottom w:w="65" w:type="dxa"/>
              <w:end w:w="75" w:type="dxa"/>
            </w:tcMar>
            <w:vAlign w:val="center"/>
          </w:tcPr>
          <w:p>
            <w:r>
              <w:rPr>
                <w:rFonts w:ascii="Liberation Sans" w:hAnsi="Liberation Sans"/>
                <w:b w:val="0"/>
                <w:color w:val="1C2430"/>
                <w:sz w:val="14"/>
              </w:rPr>
              <w:t>Safe to paraphrase with citation.</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ErisML-Lib contains Ωop, μ, and π3-style categorical evaluation language.</w:t>
            </w:r>
          </w:p>
        </w:tc>
        <w:tc>
          <w:tcPr>
            <w:tcW w:type="dxa" w:w="3331"/>
            <w:tcMar>
              <w:top w:w="65" w:type="dxa"/>
              <w:start w:w="75" w:type="dxa"/>
              <w:bottom w:w="65" w:type="dxa"/>
              <w:end w:w="75" w:type="dxa"/>
            </w:tcMar>
            <w:vAlign w:val="center"/>
          </w:tcPr>
          <w:p>
            <w:r>
              <w:rPr>
                <w:rFonts w:ascii="Liberation Sans" w:hAnsi="Liberation Sans"/>
                <w:b/>
                <w:color w:val="1C2430"/>
                <w:sz w:val="14"/>
              </w:rPr>
              <w:t>A — current repository</w:t>
            </w:r>
          </w:p>
        </w:tc>
        <w:tc>
          <w:tcPr>
            <w:tcW w:type="dxa" w:w="3331"/>
            <w:tcMar>
              <w:top w:w="65" w:type="dxa"/>
              <w:start w:w="75" w:type="dxa"/>
              <w:bottom w:w="65" w:type="dxa"/>
              <w:end w:w="75" w:type="dxa"/>
            </w:tcMar>
            <w:vAlign w:val="center"/>
          </w:tcPr>
          <w:p>
            <w:r>
              <w:rPr>
                <w:rFonts w:ascii="Liberation Sans" w:hAnsi="Liberation Sans"/>
                <w:b w:val="0"/>
                <w:color w:val="1C2430"/>
                <w:sz w:val="14"/>
              </w:rPr>
              <w:t>Safe to state as implemented/documented.</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ErisML-Lib contains I-EIP probes / rho estimation / equivariance / drift / non-degeneracy pipeline.</w:t>
            </w:r>
          </w:p>
        </w:tc>
        <w:tc>
          <w:tcPr>
            <w:tcW w:type="dxa" w:w="3331"/>
            <w:tcMar>
              <w:top w:w="65" w:type="dxa"/>
              <w:start w:w="75" w:type="dxa"/>
              <w:bottom w:w="65" w:type="dxa"/>
              <w:end w:w="75" w:type="dxa"/>
            </w:tcMar>
            <w:vAlign w:val="center"/>
          </w:tcPr>
          <w:p>
            <w:r>
              <w:rPr>
                <w:rFonts w:ascii="Liberation Sans" w:hAnsi="Liberation Sans"/>
                <w:b/>
                <w:color w:val="1C2430"/>
                <w:sz w:val="14"/>
              </w:rPr>
              <w:t>A — current repository</w:t>
            </w:r>
          </w:p>
        </w:tc>
        <w:tc>
          <w:tcPr>
            <w:tcW w:type="dxa" w:w="3331"/>
            <w:tcMar>
              <w:top w:w="65" w:type="dxa"/>
              <w:start w:w="75" w:type="dxa"/>
              <w:bottom w:w="65" w:type="dxa"/>
              <w:end w:w="75" w:type="dxa"/>
            </w:tcMar>
            <w:vAlign w:val="center"/>
          </w:tcPr>
          <w:p>
            <w:r>
              <w:rPr>
                <w:rFonts w:ascii="Liberation Sans" w:hAnsi="Liberation Sans"/>
                <w:b w:val="0"/>
                <w:color w:val="1C2430"/>
                <w:sz w:val="14"/>
              </w:rPr>
              <w:t>Safe to state as implemented/documented.</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ErisML-Lib documents rank-6 tensorial / coalition / temporal machinery.</w:t>
            </w:r>
          </w:p>
        </w:tc>
        <w:tc>
          <w:tcPr>
            <w:tcW w:type="dxa" w:w="3331"/>
            <w:tcMar>
              <w:top w:w="65" w:type="dxa"/>
              <w:start w:w="75" w:type="dxa"/>
              <w:bottom w:w="65" w:type="dxa"/>
              <w:end w:w="75" w:type="dxa"/>
            </w:tcMar>
            <w:vAlign w:val="center"/>
          </w:tcPr>
          <w:p>
            <w:r>
              <w:rPr>
                <w:rFonts w:ascii="Liberation Sans" w:hAnsi="Liberation Sans"/>
                <w:b/>
                <w:color w:val="1C2430"/>
                <w:sz w:val="14"/>
              </w:rPr>
              <w:t>A — current repository</w:t>
            </w:r>
          </w:p>
        </w:tc>
        <w:tc>
          <w:tcPr>
            <w:tcW w:type="dxa" w:w="3331"/>
            <w:tcMar>
              <w:top w:w="65" w:type="dxa"/>
              <w:start w:w="75" w:type="dxa"/>
              <w:bottom w:w="65" w:type="dxa"/>
              <w:end w:w="75" w:type="dxa"/>
            </w:tcMar>
            <w:vAlign w:val="center"/>
          </w:tcPr>
          <w:p>
            <w:r>
              <w:rPr>
                <w:rFonts w:ascii="Liberation Sans" w:hAnsi="Liberation Sans"/>
                <w:b w:val="0"/>
                <w:color w:val="1C2430"/>
                <w:sz w:val="14"/>
              </w:rPr>
              <w:t>Safe to state as architecture / implementation status.</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QND experiment changed 28.7% of judgments under Harm↔Intent reversal.</w:t>
            </w:r>
          </w:p>
        </w:tc>
        <w:tc>
          <w:tcPr>
            <w:tcW w:type="dxa" w:w="3331"/>
            <w:tcMar>
              <w:top w:w="65" w:type="dxa"/>
              <w:start w:w="75" w:type="dxa"/>
              <w:bottom w:w="65" w:type="dxa"/>
              <w:end w:w="75" w:type="dxa"/>
            </w:tcMar>
            <w:vAlign w:val="center"/>
          </w:tcPr>
          <w:p>
            <w:r>
              <w:rPr>
                <w:rFonts w:ascii="Liberation Sans" w:hAnsi="Liberation Sans"/>
                <w:b/>
                <w:color w:val="1C2430"/>
                <w:sz w:val="14"/>
              </w:rPr>
              <w:t>B — repository-reported in current campaign source</w:t>
            </w:r>
          </w:p>
        </w:tc>
        <w:tc>
          <w:tcPr>
            <w:tcW w:type="dxa" w:w="3331"/>
            <w:tcMar>
              <w:top w:w="65" w:type="dxa"/>
              <w:start w:w="75" w:type="dxa"/>
              <w:bottom w:w="65" w:type="dxa"/>
              <w:end w:w="75" w:type="dxa"/>
            </w:tcMar>
            <w:vAlign w:val="center"/>
          </w:tcPr>
          <w:p>
            <w:r>
              <w:rPr>
                <w:rFonts w:ascii="Liberation Sans" w:hAnsi="Liberation Sans"/>
                <w:b w:val="0"/>
                <w:color w:val="1C2430"/>
                <w:sz w:val="14"/>
              </w:rPr>
              <w:t>Reproduce before external numeric claim.</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31 of 56 dimension pairs showed significant order effects in 16,800 measurements.</w:t>
            </w:r>
          </w:p>
        </w:tc>
        <w:tc>
          <w:tcPr>
            <w:tcW w:type="dxa" w:w="3331"/>
            <w:tcMar>
              <w:top w:w="65" w:type="dxa"/>
              <w:start w:w="75" w:type="dxa"/>
              <w:bottom w:w="65" w:type="dxa"/>
              <w:end w:w="75" w:type="dxa"/>
            </w:tcMar>
            <w:vAlign w:val="center"/>
          </w:tcPr>
          <w:p>
            <w:r>
              <w:rPr>
                <w:rFonts w:ascii="Liberation Sans" w:hAnsi="Liberation Sans"/>
                <w:b/>
                <w:color w:val="1C2430"/>
                <w:sz w:val="14"/>
              </w:rPr>
              <w:t>B — repository-reported in current campaign source</w:t>
            </w:r>
          </w:p>
        </w:tc>
        <w:tc>
          <w:tcPr>
            <w:tcW w:type="dxa" w:w="3331"/>
            <w:tcMar>
              <w:top w:w="65" w:type="dxa"/>
              <w:start w:w="75" w:type="dxa"/>
              <w:bottom w:w="65" w:type="dxa"/>
              <w:end w:w="75" w:type="dxa"/>
            </w:tcMar>
            <w:vAlign w:val="center"/>
          </w:tcPr>
          <w:p>
            <w:r>
              <w:rPr>
                <w:rFonts w:ascii="Liberation Sans" w:hAnsi="Liberation Sans"/>
                <w:b w:val="0"/>
                <w:color w:val="1C2430"/>
                <w:sz w:val="14"/>
              </w:rPr>
              <w:t>Reproduce before external numeric claim.</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 decomposition separates representation-caused from biologically intrinsic human conflict.</w:t>
            </w:r>
          </w:p>
        </w:tc>
        <w:tc>
          <w:tcPr>
            <w:tcW w:type="dxa" w:w="3331"/>
            <w:tcMar>
              <w:top w:w="65" w:type="dxa"/>
              <w:start w:w="75" w:type="dxa"/>
              <w:bottom w:w="65" w:type="dxa"/>
              <w:end w:w="75" w:type="dxa"/>
            </w:tcMar>
            <w:vAlign w:val="center"/>
          </w:tcPr>
          <w:p>
            <w:r>
              <w:rPr>
                <w:rFonts w:ascii="Liberation Sans" w:hAnsi="Liberation Sans"/>
                <w:b/>
                <w:color w:val="1C2430"/>
                <w:sz w:val="14"/>
              </w:rPr>
              <w:t>E — hypothesis</w:t>
            </w:r>
          </w:p>
        </w:tc>
        <w:tc>
          <w:tcPr>
            <w:tcW w:type="dxa" w:w="3331"/>
            <w:tcMar>
              <w:top w:w="65" w:type="dxa"/>
              <w:start w:w="75" w:type="dxa"/>
              <w:bottom w:w="65" w:type="dxa"/>
              <w:end w:w="75" w:type="dxa"/>
            </w:tcMar>
            <w:vAlign w:val="center"/>
          </w:tcPr>
          <w:p>
            <w:r>
              <w:rPr>
                <w:rFonts w:ascii="Liberation Sans" w:hAnsi="Liberation Sans"/>
                <w:b w:val="0"/>
                <w:color w:val="1C2430"/>
                <w:sz w:val="14"/>
              </w:rPr>
              <w:t>Do not state as established; this is precisely what human work would have to validate.</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I-EIP internal-state equivariance transfers to neural representations.</w:t>
            </w:r>
          </w:p>
        </w:tc>
        <w:tc>
          <w:tcPr>
            <w:tcW w:type="dxa" w:w="3331"/>
            <w:tcMar>
              <w:top w:w="65" w:type="dxa"/>
              <w:start w:w="75" w:type="dxa"/>
              <w:bottom w:w="65" w:type="dxa"/>
              <w:end w:w="75" w:type="dxa"/>
            </w:tcMar>
            <w:vAlign w:val="center"/>
          </w:tcPr>
          <w:p>
            <w:r>
              <w:rPr>
                <w:rFonts w:ascii="Liberation Sans" w:hAnsi="Liberation Sans"/>
                <w:b/>
                <w:color w:val="1C2430"/>
                <w:sz w:val="14"/>
              </w:rPr>
              <w:t>E — hypothesis</w:t>
            </w:r>
          </w:p>
        </w:tc>
        <w:tc>
          <w:tcPr>
            <w:tcW w:type="dxa" w:w="3331"/>
            <w:tcMar>
              <w:top w:w="65" w:type="dxa"/>
              <w:start w:w="75" w:type="dxa"/>
              <w:bottom w:w="65" w:type="dxa"/>
              <w:end w:w="75" w:type="dxa"/>
            </w:tcMar>
            <w:vAlign w:val="center"/>
          </w:tcPr>
          <w:p>
            <w:r>
              <w:rPr>
                <w:rFonts w:ascii="Liberation Sans" w:hAnsi="Liberation Sans"/>
                <w:b w:val="0"/>
                <w:color w:val="1C2430"/>
                <w:sz w:val="14"/>
              </w:rPr>
              <w:t>Do not imply. Define a neural analogue only after biological consultation.</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 models human cognition better than quantum cognition / DDM.</w:t>
            </w:r>
          </w:p>
        </w:tc>
        <w:tc>
          <w:tcPr>
            <w:tcW w:type="dxa" w:w="3331"/>
            <w:tcMar>
              <w:top w:w="65" w:type="dxa"/>
              <w:start w:w="75" w:type="dxa"/>
              <w:bottom w:w="65" w:type="dxa"/>
              <w:end w:w="75" w:type="dxa"/>
            </w:tcMar>
            <w:vAlign w:val="center"/>
          </w:tcPr>
          <w:p>
            <w:r>
              <w:rPr>
                <w:rFonts w:ascii="Liberation Sans" w:hAnsi="Liberation Sans"/>
                <w:b/>
                <w:color w:val="1C2430"/>
                <w:sz w:val="14"/>
              </w:rPr>
              <w:t>E — hypothesis</w:t>
            </w:r>
          </w:p>
        </w:tc>
        <w:tc>
          <w:tcPr>
            <w:tcW w:type="dxa" w:w="3331"/>
            <w:tcMar>
              <w:top w:w="65" w:type="dxa"/>
              <w:start w:w="75" w:type="dxa"/>
              <w:bottom w:w="65" w:type="dxa"/>
              <w:end w:w="75" w:type="dxa"/>
            </w:tcMar>
            <w:vAlign w:val="center"/>
          </w:tcPr>
          <w:p>
            <w:r>
              <w:rPr>
                <w:rFonts w:ascii="Liberation Sans" w:hAnsi="Liberation Sans"/>
                <w:b w:val="0"/>
                <w:color w:val="1C2430"/>
                <w:sz w:val="14"/>
              </w:rPr>
              <w:t>Requires preregistered model comparison.</w:t>
            </w:r>
          </w:p>
        </w:tc>
      </w:tr>
      <w:tr>
        <w:trPr>
          <w:cantSplit/>
        </w:trPr>
        <w:tc>
          <w:tcPr>
            <w:tcW w:type="dxa" w:w="3331"/>
            <w:tcMar>
              <w:top w:w="65" w:type="dxa"/>
              <w:start w:w="75" w:type="dxa"/>
              <w:bottom w:w="65" w:type="dxa"/>
              <w:end w:w="75" w:type="dxa"/>
            </w:tcMar>
            <w:vAlign w:val="center"/>
          </w:tcPr>
          <w:p>
            <w:r>
              <w:rPr>
                <w:rFonts w:ascii="Liberation Sans" w:hAnsi="Liberation Sans"/>
                <w:b w:val="0"/>
                <w:color w:val="1C2430"/>
                <w:sz w:val="14"/>
              </w:rPr>
              <w:t>ErisML is a general mathematics of distributed cognition.</w:t>
            </w:r>
          </w:p>
        </w:tc>
        <w:tc>
          <w:tcPr>
            <w:tcW w:type="dxa" w:w="3331"/>
            <w:tcMar>
              <w:top w:w="65" w:type="dxa"/>
              <w:start w:w="75" w:type="dxa"/>
              <w:bottom w:w="65" w:type="dxa"/>
              <w:end w:w="75" w:type="dxa"/>
            </w:tcMar>
            <w:vAlign w:val="center"/>
          </w:tcPr>
          <w:p>
            <w:r>
              <w:rPr>
                <w:rFonts w:ascii="Liberation Sans" w:hAnsi="Liberation Sans"/>
                <w:b/>
                <w:color w:val="1C2430"/>
                <w:sz w:val="14"/>
              </w:rPr>
              <w:t>E — long-range hypothesis</w:t>
            </w:r>
          </w:p>
        </w:tc>
        <w:tc>
          <w:tcPr>
            <w:tcW w:type="dxa" w:w="3331"/>
            <w:tcMar>
              <w:top w:w="65" w:type="dxa"/>
              <w:start w:w="75" w:type="dxa"/>
              <w:bottom w:w="65" w:type="dxa"/>
              <w:end w:w="75" w:type="dxa"/>
            </w:tcMar>
            <w:vAlign w:val="center"/>
          </w:tcPr>
          <w:p>
            <w:r>
              <w:rPr>
                <w:rFonts w:ascii="Liberation Sans" w:hAnsi="Liberation Sans"/>
                <w:b w:val="0"/>
                <w:color w:val="1C2430"/>
                <w:sz w:val="14"/>
              </w:rPr>
              <w:t>Requires cross-domain and ideally neural replication.</w:t>
            </w:r>
          </w:p>
        </w:tc>
      </w:tr>
    </w:tbl>
    <w:p>
      <w:pPr>
        <w:pStyle w:val="Heading1"/>
        <w:pBdr>
          <w:bottom w:val="single" w:sz="10" w:space="1" w:color="17365D"/>
        </w:pBdr>
      </w:pPr>
      <w:r>
        <w:t>Appendix B. One-Page Minimum Viable Collaboration</w:t>
      </w:r>
    </w:p>
    <w:p>
      <w:pPr>
        <w:pStyle w:val="Label"/>
      </w:pPr>
      <w:r>
        <w:t>Question</w:t>
      </w:r>
    </w:p>
    <w:p>
      <w:r>
        <w:t>Can an ErisML-derived interaction structure predict human judgments under unseen information sequences?</w:t>
      </w:r>
    </w:p>
    <w:p>
      <w:pPr>
        <w:pStyle w:val="Label"/>
      </w:pPr>
      <w:r>
        <w:t>Partner ask</w:t>
      </w:r>
    </w:p>
    <w:p>
      <w:r>
        <w:t>Ask Eagleman to pressure-test the biological construct mapping and experimental paradigm; do not ask for endorsement.</w:t>
      </w:r>
    </w:p>
    <w:p>
      <w:pPr>
        <w:pStyle w:val="Label"/>
      </w:pPr>
      <w:r>
        <w:t>Study</w:t>
      </w:r>
    </w:p>
    <w:p>
      <w:r>
        <w:t>Counterbalanced moral-decision task with trajectory and terminal-only arms, plus response time, confidence, comprehension, and held-out sequence prediction.</w:t>
      </w:r>
    </w:p>
    <w:p>
      <w:pPr>
        <w:pStyle w:val="Label"/>
      </w:pPr>
      <w:r>
        <w:t>Primary test</w:t>
      </w:r>
    </w:p>
    <w:p>
      <w:r>
        <w:t>ErisML-derived model vs. preregistered conventional interaction, sequential-sampling, and quantum-probability baselines on held-out data.</w:t>
      </w:r>
    </w:p>
    <w:p>
      <w:pPr>
        <w:pStyle w:val="Label"/>
      </w:pPr>
      <w:r>
        <w:t>Decision gate</w:t>
      </w:r>
    </w:p>
    <w:p>
      <w:r>
        <w:t>Do not proceed to neuroimaging unless the behavioral structure replicates and the ErisML model adds predictive value.</w:t>
      </w:r>
    </w:p>
    <w:p>
      <w:pPr>
        <w:pStyle w:val="Label"/>
      </w:pPr>
      <w:r>
        <w:t>Best-case outcome</w:t>
      </w:r>
    </w:p>
    <w:p>
      <w:r>
        <w:t>A reproducible mathematical characterization of a human distributed-decision phenomenon that generates novel, prospective predictions.</w:t>
      </w:r>
    </w:p>
    <w:p>
      <w:pPr>
        <w:pStyle w:val="Label"/>
      </w:pPr>
      <w:r>
        <w:t>Responsible interpretation</w:t>
      </w:r>
    </w:p>
    <w:p>
      <w:r>
        <w:t>Even a positive result would support a formal correspondence, not proof that the brain literally implements ErisML operators or quantum physics.</w:t>
      </w:r>
    </w:p>
    <w:p>
      <w:pPr>
        <w:pStyle w:val="Heading1"/>
        <w:pBdr>
          <w:bottom w:val="single" w:sz="10" w:space="1" w:color="17365D"/>
        </w:pBdr>
      </w:pPr>
      <w:r>
        <w:t>Selected Source Basis</w:t>
      </w:r>
    </w:p>
    <w:p>
      <w:pPr>
        <w:pStyle w:val="Small"/>
      </w:pPr>
      <w:r>
        <w:t>Access verified August 22, 2026. Sources below are included to anchor the campaign’s premises and prior-art positioning; the confirmatory protocol should undergo a fuller systematic literature review before IRB/preregistration.</w:t>
      </w:r>
    </w:p>
    <w:p>
      <w:pPr>
        <w:pStyle w:val="Small"/>
      </w:pPr>
      <w:r>
        <w:rPr>
          <w:rFonts w:ascii="Liberation Sans" w:hAnsi="Liberation Sans"/>
          <w:color w:val="1C2430"/>
          <w:sz w:val="16"/>
        </w:rPr>
        <w:t xml:space="preserve">1. ErisML-Lib repository (Andrew Bond / ahb-sjsu). Current README and repository documentation. </w:t>
      </w:r>
      <w:hyperlink r:id="rId10">
        <w:r>
          <w:rPr>
            <w:color w:val="1F5A8A"/>
            <w:u w:val="single"/>
            <w:rFonts w:ascii="Liberation Sans" w:hAnsi="Liberation Sans"/>
            <w:sz w:val="18"/>
          </w:rPr>
          <w:t>https://github.com/ahb-sjsu/erisml-lib</w:t>
        </w:r>
      </w:hyperlink>
    </w:p>
    <w:p>
      <w:pPr>
        <w:pStyle w:val="Small"/>
      </w:pPr>
      <w:r>
        <w:rPr>
          <w:rFonts w:ascii="Liberation Sans" w:hAnsi="Liberation Sans"/>
          <w:color w:val="1C2430"/>
          <w:sz w:val="16"/>
        </w:rPr>
        <w:t xml:space="preserve">2. Eagleman, D. “The Brain on Trial.” The Atlantic (2011). Primary source for the “team of rivals” / competing neural populations formulation. </w:t>
      </w:r>
      <w:hyperlink r:id="rId11">
        <w:r>
          <w:rPr>
            <w:color w:val="1F5A8A"/>
            <w:u w:val="single"/>
            <w:rFonts w:ascii="Liberation Sans" w:hAnsi="Liberation Sans"/>
            <w:sz w:val="18"/>
          </w:rPr>
          <w:t>https://eagleman.com/wp-content/uploads/2013/02/Eagleman_Atlantic_The_Brain_on_Trial.pdf</w:t>
        </w:r>
      </w:hyperlink>
    </w:p>
    <w:p>
      <w:pPr>
        <w:pStyle w:val="Small"/>
      </w:pPr>
      <w:r>
        <w:rPr>
          <w:rFonts w:ascii="Liberation Sans" w:hAnsi="Liberation Sans"/>
          <w:color w:val="1C2430"/>
          <w:sz w:val="16"/>
        </w:rPr>
        <w:t xml:space="preserve">3. Eagleman, D. Incognito excerpt. Primary source for distributed local decision processes, coalition language, and the statement that brain network complexity necessitates new kinds of mathematics. </w:t>
      </w:r>
      <w:hyperlink r:id="rId12">
        <w:r>
          <w:rPr>
            <w:color w:val="1F5A8A"/>
            <w:u w:val="single"/>
            <w:rFonts w:ascii="Liberation Sans" w:hAnsi="Liberation Sans"/>
            <w:sz w:val="18"/>
          </w:rPr>
          <w:t>https://eagleman.com/excerpt-2/</w:t>
        </w:r>
      </w:hyperlink>
    </w:p>
    <w:p>
      <w:pPr>
        <w:pStyle w:val="Small"/>
      </w:pPr>
      <w:r>
        <w:rPr>
          <w:rFonts w:ascii="Liberation Sans" w:hAnsi="Liberation Sans"/>
          <w:color w:val="1C2430"/>
          <w:sz w:val="16"/>
        </w:rPr>
        <w:t xml:space="preserve">4. Eagleman, D. “How is your brain like a team of rivals?” Inner Cosmos, Episode 5. </w:t>
      </w:r>
      <w:hyperlink r:id="rId13">
        <w:r>
          <w:rPr>
            <w:color w:val="1F5A8A"/>
            <w:u w:val="single"/>
            <w:rFonts w:ascii="Liberation Sans" w:hAnsi="Liberation Sans"/>
            <w:sz w:val="18"/>
          </w:rPr>
          <w:t>https://eagleman.com/podcast/do-people-experience-different-realities-2/</w:t>
        </w:r>
      </w:hyperlink>
    </w:p>
    <w:p>
      <w:pPr>
        <w:pStyle w:val="Small"/>
      </w:pPr>
      <w:r>
        <w:rPr>
          <w:rFonts w:ascii="Liberation Sans" w:hAnsi="Liberation Sans"/>
          <w:color w:val="1C2430"/>
          <w:sz w:val="16"/>
        </w:rPr>
        <w:t xml:space="preserve">5. Stanford University profile: David Eagleman. Current affiliation and Center for Science and Law role. </w:t>
      </w:r>
      <w:hyperlink r:id="rId14">
        <w:r>
          <w:rPr>
            <w:color w:val="1F5A8A"/>
            <w:u w:val="single"/>
            <w:rFonts w:ascii="Liberation Sans" w:hAnsi="Liberation Sans"/>
            <w:sz w:val="18"/>
          </w:rPr>
          <w:t>https://profiles.stanford.edu/</w:t>
        </w:r>
      </w:hyperlink>
    </w:p>
    <w:p>
      <w:pPr>
        <w:pStyle w:val="Small"/>
      </w:pPr>
      <w:r>
        <w:rPr>
          <w:rFonts w:ascii="Liberation Sans" w:hAnsi="Liberation Sans"/>
          <w:color w:val="1C2430"/>
          <w:sz w:val="16"/>
        </w:rPr>
        <w:t xml:space="preserve">6. Wang, Z., Solloway, T., Shiffrin, R. M., &amp; Busemeyer, J. R. (2014). Context effects produced by question orders reveal quantum nature of human judgments. PNAS, 111(26), 9431–9436. </w:t>
      </w:r>
      <w:hyperlink r:id="rId15">
        <w:r>
          <w:rPr>
            <w:color w:val="1F5A8A"/>
            <w:u w:val="single"/>
            <w:rFonts w:ascii="Liberation Sans" w:hAnsi="Liberation Sans"/>
            <w:sz w:val="18"/>
          </w:rPr>
          <w:t>https://pubmed.ncbi.nlm.nih.gov/24979797/</w:t>
        </w:r>
      </w:hyperlink>
    </w:p>
    <w:p>
      <w:pPr>
        <w:pStyle w:val="Small"/>
      </w:pPr>
      <w:r>
        <w:rPr>
          <w:rFonts w:ascii="Liberation Sans" w:hAnsi="Liberation Sans"/>
          <w:color w:val="1C2430"/>
          <w:sz w:val="16"/>
        </w:rPr>
        <w:t xml:space="preserve">7. Pothos, E. M., &amp; Busemeyer, J. R. (2022). Quantum Cognition. Annual Review of Psychology, 73, 749–778. </w:t>
      </w:r>
      <w:hyperlink r:id="rId16">
        <w:r>
          <w:rPr>
            <w:color w:val="1F5A8A"/>
            <w:u w:val="single"/>
            <w:rFonts w:ascii="Liberation Sans" w:hAnsi="Liberation Sans"/>
            <w:sz w:val="18"/>
          </w:rPr>
          <w:t>https://pubmed.ncbi.nlm.nih.gov/34546804/</w:t>
        </w:r>
      </w:hyperlink>
    </w:p>
    <w:p>
      <w:pPr>
        <w:pStyle w:val="Small"/>
      </w:pPr>
      <w:r>
        <w:rPr>
          <w:rFonts w:ascii="Liberation Sans" w:hAnsi="Liberation Sans"/>
          <w:color w:val="1C2430"/>
          <w:sz w:val="16"/>
        </w:rPr>
        <w:t xml:space="preserve">8. Forstmann, B. U., Ratcliff, R., &amp; Wagenmakers, E.-J. (2016). Sequential Sampling Models in Cognitive Neuroscience: Advantages, Applications, and Extensions. Annual Review of Psychology, 67, 641–666. </w:t>
      </w:r>
      <w:hyperlink r:id="rId17">
        <w:r>
          <w:rPr>
            <w:color w:val="1F5A8A"/>
            <w:u w:val="single"/>
            <w:rFonts w:ascii="Liberation Sans" w:hAnsi="Liberation Sans"/>
            <w:sz w:val="18"/>
          </w:rPr>
          <w:t>https://pmc.ncbi.nlm.nih.gov/articles/PMC5112760/</w:t>
        </w:r>
      </w:hyperlink>
    </w:p>
    <w:p>
      <w:pPr>
        <w:pStyle w:val="Small"/>
      </w:pPr>
      <w:r>
        <w:rPr>
          <w:rFonts w:ascii="Liberation Sans" w:hAnsi="Liberation Sans"/>
          <w:color w:val="1C2430"/>
          <w:sz w:val="16"/>
        </w:rPr>
        <w:t xml:space="preserve">9. Khona, M., &amp; Fiete, I. R. (2022). Attractor and integrator networks in the brain. Nature Reviews Neuroscience, 23, 744–766. </w:t>
      </w:r>
      <w:hyperlink r:id="rId18">
        <w:r>
          <w:rPr>
            <w:color w:val="1F5A8A"/>
            <w:u w:val="single"/>
            <w:rFonts w:ascii="Liberation Sans" w:hAnsi="Liberation Sans"/>
            <w:sz w:val="18"/>
          </w:rPr>
          <w:t>https://www.nature.com/articles/s41583-022-00642-0</w:t>
        </w:r>
      </w:hyperlink>
    </w:p>
    <w:p>
      <w:pPr>
        <w:spacing w:before="280"/>
        <w:pBdr>
          <w:bottom w:val="single" w:sz="8" w:space="1" w:color="1F6D78"/>
        </w:pBdr>
      </w:pPr>
      <w:r>
        <w:rPr>
          <w:rFonts w:ascii="Liberation Sans" w:hAnsi="Liberation Sans"/>
          <w:i/>
          <w:color w:val="5A6573"/>
          <w:sz w:val="17"/>
        </w:rPr>
        <w:t>Prepared as a research-development brief. The campaign is intentionally structured so that null results, competing models, and failed mappings are informative outcomes rather than threats to the project.</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3"/>
        <w:sz w:val="16"/>
      </w:rPr>
      <w:t xml:space="preserve">RESEARCH CAMPAIGN BRIEF  |  AUGUST 2026  |  </w:t>
    </w:r>
    <w:r>
      <w:rPr>
        <w:rFonts w:ascii="Liberation Sans" w:hAnsi="Liberation Sans"/>
        <w:color w:val="5A657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1C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1F6D78"/>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1C24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Liberation Sans" w:hAnsi="Liberation Sans"/>
      <w:b/>
      <w:color w:val="1F6D78"/>
      <w:sz w:val="18"/>
    </w:rPr>
  </w:style>
  <w:style w:type="paragraph" w:customStyle="1" w:styleId="SubtitleCustom">
    <w:name w:val="SubtitleCustom"/>
    <w:pPr>
      <w:spacing w:after="280"/>
    </w:pPr>
    <w:rPr>
      <w:rFonts w:ascii="Liberation Sans" w:hAnsi="Liberation Sans"/>
      <w:color w:val="5A6573"/>
      <w:sz w:val="30"/>
    </w:rPr>
  </w:style>
  <w:style w:type="paragraph" w:customStyle="1" w:styleId="Small">
    <w:name w:val="Small"/>
    <w:pPr>
      <w:spacing w:after="60"/>
    </w:pPr>
    <w:rPr>
      <w:rFonts w:ascii="Liberation Sans" w:hAnsi="Liberation Sans"/>
      <w:color w:val="5A6573"/>
      <w:sz w:val="16"/>
    </w:rPr>
  </w:style>
  <w:style w:type="paragraph" w:customStyle="1" w:styleId="Label">
    <w:name w:val="Label"/>
    <w:pPr>
      <w:keepNext/>
      <w:spacing w:before="100" w:after="40"/>
    </w:pPr>
    <w:rPr>
      <w:rFonts w:ascii="Liberation Sans" w:hAnsi="Liberation Sans"/>
      <w:b/>
      <w:color w:val="1C2430"/>
      <w:sz w:val="19"/>
    </w:rPr>
  </w:style>
  <w:style w:type="paragraph" w:customStyle="1" w:styleId="Callout">
    <w:name w:val="Callout"/>
    <w:pPr>
      <w:spacing w:after="60"/>
    </w:pPr>
    <w:rPr>
      <w:rFonts w:ascii="Liberation Sans" w:hAnsi="Liberation San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hb-sjsu/erisml-lib" TargetMode="External"/><Relationship Id="rId11" Type="http://schemas.openxmlformats.org/officeDocument/2006/relationships/hyperlink" Target="https://eagleman.com/wp-content/uploads/2013/02/Eagleman_Atlantic_The_Brain_on_Trial.pdf" TargetMode="External"/><Relationship Id="rId12" Type="http://schemas.openxmlformats.org/officeDocument/2006/relationships/hyperlink" Target="https://eagleman.com/excerpt-2/" TargetMode="External"/><Relationship Id="rId13" Type="http://schemas.openxmlformats.org/officeDocument/2006/relationships/hyperlink" Target="https://eagleman.com/podcast/do-people-experience-different-realities-2/" TargetMode="External"/><Relationship Id="rId14" Type="http://schemas.openxmlformats.org/officeDocument/2006/relationships/hyperlink" Target="https://profiles.stanford.edu/" TargetMode="External"/><Relationship Id="rId15" Type="http://schemas.openxmlformats.org/officeDocument/2006/relationships/hyperlink" Target="https://pubmed.ncbi.nlm.nih.gov/24979797/" TargetMode="External"/><Relationship Id="rId16" Type="http://schemas.openxmlformats.org/officeDocument/2006/relationships/hyperlink" Target="https://pubmed.ncbi.nlm.nih.gov/34546804/" TargetMode="External"/><Relationship Id="rId17" Type="http://schemas.openxmlformats.org/officeDocument/2006/relationships/hyperlink" Target="https://pmc.ncbi.nlm.nih.gov/articles/PMC5112760/" TargetMode="External"/><Relationship Id="rId18" Type="http://schemas.openxmlformats.org/officeDocument/2006/relationships/hyperlink" Target="https://www.nature.com/articles/s41583-022-006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of Distributed Decision-Making: ErisML-Lib Research Campaign</dc:title>
  <dc:subject>Research campaign testing ErisML-Lib against human cognitive dynamics</dc:subject>
  <dc:creator>Kim Baley / Justice Innovations</dc:creator>
  <cp:keywords>ErisML, David Eagleman, distributed decision-making, neuroscience, non-commutativity, cognition</cp:keywords>
  <dc:description>generated by python-docx</dc:description>
  <cp:lastModifiedBy/>
  <cp:revision>1</cp:revision>
  <dcterms:created xsi:type="dcterms:W3CDTF">2013-12-23T23:15:00Z</dcterms:created>
  <dcterms:modified xsi:type="dcterms:W3CDTF">2013-12-23T23:15:00Z</dcterms:modified>
  <cp:category/>
</cp:coreProperties>
</file>