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5190c98c0917027de952c04bac3326a924b048"/>
    <w:p>
      <w:pPr>
        <w:pStyle w:val="Heading1"/>
      </w:pPr>
      <w:r>
        <w:t xml:space="preserve">Response to Editorial Review (Round 2) —</w:t>
      </w:r>
      <w:r>
        <w:t xml:space="preserve"> </w:t>
      </w:r>
      <w:r>
        <w:rPr>
          <w:i/>
          <w:iCs/>
        </w:rPr>
        <w:t xml:space="preserve">The Legal Bond Index</w:t>
      </w:r>
      <w:r>
        <w:t xml:space="preserve"> </w:t>
      </w:r>
      <w:r>
        <w:t xml:space="preserve">(JSciLaw)</w:t>
      </w:r>
    </w:p>
    <w:p>
      <w:pPr>
        <w:pStyle w:val="FirstParagraph"/>
      </w:pPr>
      <w:r>
        <w:t xml:space="preserve">We thank the editors for a demanding and, as it turned out, prescient review. We implemented</w:t>
      </w:r>
      <w:r>
        <w:t xml:space="preserve"> </w:t>
      </w:r>
      <w:r>
        <w:t xml:space="preserve">every requested analysis rather than arguing around any of them, and two of the review’s</w:t>
      </w:r>
      <w:r>
        <w:t xml:space="preserve"> </w:t>
      </w:r>
      <w:r>
        <w:t xml:space="preserve">methodological concerns were</w:t>
      </w:r>
      <w:r>
        <w:t xml:space="preserve"> </w:t>
      </w:r>
      <w:r>
        <w:rPr>
          <w:b/>
          <w:bCs/>
        </w:rPr>
        <w:t xml:space="preserve">confirmed by the new analyses</w:t>
      </w:r>
      <w:r>
        <w:t xml:space="preserve">: cross-race neighbourhoods are</w:t>
      </w:r>
      <w:r>
        <w:t xml:space="preserve"> </w:t>
      </w:r>
      <w:r>
        <w:t xml:space="preserve">measurably worse-matched than same-race ones, and the plain permutation test does not test the</w:t>
      </w:r>
      <w:r>
        <w:t xml:space="preserve"> </w:t>
      </w:r>
      <w:r>
        <w:t xml:space="preserve">stated null (on semi-synthetic race-blind data it false-fires 56% of the time at the nominal 5%</w:t>
      </w:r>
      <w:r>
        <w:t xml:space="preserve"> </w:t>
      </w:r>
      <w:r>
        <w:t xml:space="preserve">level). The revision therefore does more than qualify claims — it rebuilds the inferential</w:t>
      </w:r>
      <w:r>
        <w:t xml:space="preserve"> </w:t>
      </w:r>
      <w:r>
        <w:t xml:space="preserve">machinery, validates it under known ground truth, and reports a corrected, two-sided result:</w:t>
      </w:r>
      <w:r>
        <w:t xml:space="preserve"> </w:t>
      </w:r>
      <w:r>
        <w:t xml:space="preserve">the race-associated signal survives the strictest calibrated test we could construct (conditional</w:t>
      </w:r>
      <w:r>
        <w:t xml:space="preserve"> </w:t>
      </w:r>
      <w:r>
        <w:t xml:space="preserve">randomization z = 5.0, global multiscale p = 0.001), while the unadjusted point estimate of 1.05</w:t>
      </w:r>
      <w:r>
        <w:t xml:space="preserve"> </w:t>
      </w:r>
      <w:r>
        <w:t xml:space="preserve">is shown to overstate the adjusted magnitude (matching-parity specifications land at 1.00–1.02).</w:t>
      </w:r>
      <w:r>
        <w:t xml:space="preserve"> </w:t>
      </w:r>
      <w:r>
        <w:t xml:space="preserve">One previously reported effect (sex) does not survive the corrected inference and has been</w:t>
      </w:r>
      <w:r>
        <w:t xml:space="preserve"> </w:t>
      </w:r>
      <w:r>
        <w:t xml:space="preserve">withdrawn. We believe the paper is substantially stronger for it.</w:t>
      </w:r>
    </w:p>
    <w:p>
      <w:pPr>
        <w:pStyle w:val="BodyText"/>
      </w:pPr>
      <w:r>
        <w:t xml:space="preserve">The analysis pipeline was rebuilt end-to-end (</w:t>
      </w:r>
      <w:r>
        <w:rPr>
          <w:rStyle w:val="VerbatimChar"/>
        </w:rPr>
        <w:t xml:space="preserve">revision2_analysis.py</w:t>
      </w:r>
      <w:r>
        <w:t xml:space="preserve">, replacing the earlier</w:t>
      </w:r>
      <w:r>
        <w:t xml:space="preserve"> </w:t>
      </w:r>
      <w:r>
        <w:t xml:space="preserve">scripts; deterministic stable-sort tie-breaking, full-sample nulls, neighbourhood-recomputing</w:t>
      </w:r>
      <w:r>
        <w:t xml:space="preserve"> </w:t>
      </w:r>
      <w:r>
        <w:t xml:space="preserve">bootstrap). All numbers in the manuscript are re-derived from this pipeline; a few point</w:t>
      </w:r>
      <w:r>
        <w:t xml:space="preserve"> </w:t>
      </w:r>
      <w:r>
        <w:t xml:space="preserve">estimates shift by at most 0.01 relative to the prior version (most visibly at k = 1, where 79% of</w:t>
      </w:r>
      <w:r>
        <w:t xml:space="preserve"> </w:t>
      </w:r>
      <w:r>
        <w:t xml:space="preserve">defendants have distance ties at the neighbourhood boundary), and the new, wider CIs reflect the</w:t>
      </w:r>
      <w:r>
        <w:t xml:space="preserve"> </w:t>
      </w:r>
      <w:r>
        <w:t xml:space="preserve">corrected bootstrap. The rebuild also surfaced an error we should disclose: the prior version’s</w:t>
      </w:r>
      <w:r>
        <w:t xml:space="preserve"> </w:t>
      </w:r>
      <w:r>
        <w:t xml:space="preserve">Table 1 (standard fairness metrics) mixed values from differently filtered drafting runs and was</w:t>
      </w:r>
      <w:r>
        <w:t xml:space="preserve"> </w:t>
      </w:r>
      <w:r>
        <w:t xml:space="preserve">not reproducible from the stated subset. It has been recomputed from the same script and subset</w:t>
      </w:r>
      <w:r>
        <w:t xml:space="preserve"> </w:t>
      </w:r>
      <w:r>
        <w:t xml:space="preserve">as everything else; the derived disparities are essentially unchanged (FPR disparity +0.203 and</w:t>
      </w:r>
      <w:r>
        <w:t xml:space="preserve"> </w:t>
      </w:r>
      <w:r>
        <w:t xml:space="preserve">predictive-parity gap +0.055 exactly as before; FNR disparity −0.212 to −0.211; base-rate gap</w:t>
      </w:r>
      <w:r>
        <w:t xml:space="preserve"> </w:t>
      </w:r>
      <w:r>
        <w:t xml:space="preserve">+0.129 to +0.132), but several cells shift visibly (e.g., Black FPR 0.443 to 0.423). Complete</w:t>
      </w:r>
      <w:r>
        <w:t xml:space="preserve"> </w:t>
      </w:r>
      <w:r>
        <w:t xml:space="preserve">outputs are in</w:t>
      </w:r>
      <w:r>
        <w:t xml:space="preserve"> </w:t>
      </w:r>
      <w:r>
        <w:rPr>
          <w:rStyle w:val="VerbatimChar"/>
        </w:rPr>
        <w:t xml:space="preserve">outputs/revision2_results.json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revision2_report.txt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b861a181bc84cc96ae1cfa1e820f3f7ed169c32"/>
    <w:p>
      <w:pPr>
        <w:pStyle w:val="Heading2"/>
      </w:pPr>
      <w:r>
        <w:t xml:space="preserve">1. Are cross-race and same-race neighbourhoods equally well matched?</w:t>
      </w:r>
    </w:p>
    <w:p>
      <w:pPr>
        <w:pStyle w:val="FirstParagraph"/>
      </w:pPr>
      <w:r>
        <w:t xml:space="preserve">They are not, and the manuscript now measures this directly in a dedicated subsection</w:t>
      </w:r>
      <w:r>
        <w:t xml:space="preserve"> </w:t>
      </w:r>
      <w:r>
        <w:t xml:space="preserve">(</w:t>
      </w:r>
      <w:r>
        <w:rPr>
          <w:b/>
          <w:bCs/>
        </w:rPr>
        <w:t xml:space="preserve">§4.5</w:t>
      </w:r>
      <w:r>
        <w:rPr>
          <w:b/>
          <w:bCs/>
        </w:rPr>
        <w:t xml:space="preserve"> </w:t>
      </w:r>
      <w:r>
        <w:rPr>
          <w:b/>
          <w:bCs/>
        </w:rPr>
        <w:t xml:space="preserve">“Are cross-race neighbours worse-matched?”</w:t>
      </w:r>
      <w:r>
        <w:t xml:space="preserve">), with every diagnostic the review requested: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Distance distributions across all k</w:t>
      </w:r>
      <w:r>
        <w:t xml:space="preserve"> </w:t>
      </w:r>
      <w:r>
        <w:t xml:space="preserve">(Table 3, Figure 2): mean Mahalanobis distance to</w:t>
      </w:r>
      <w:r>
        <w:t xml:space="preserve"> </w:t>
      </w:r>
      <w:r>
        <w:t xml:space="preserve">cross-race neighbours exceeds same-race at every scale — ratio 1.52 at k=1 declining to 1.17 at</w:t>
      </w:r>
      <w:r>
        <w:t xml:space="preserve"> </w:t>
      </w:r>
      <w:r>
        <w:t xml:space="preserve">k=100 (1.28 at k=20). Per-feature balance diagnostics show the same (worst on prior counts,</w:t>
      </w:r>
      <w:r>
        <w:t xml:space="preserve"> </w:t>
      </w:r>
      <w:r>
        <w:t xml:space="preserve">0.187 vs 0.141 mean |z-diff|).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Common-support diagnostics</w:t>
      </w:r>
      <w:r>
        <w:t xml:space="preserve">: 99.8% of defendants lie in the propensity common-support</w:t>
      </w:r>
      <w:r>
        <w:t xml:space="preserve"> </w:t>
      </w:r>
      <w:r>
        <w:t xml:space="preserve">interval; restricting to it leaves LBI unchanged (1.048).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Caliper analyses</w:t>
      </w:r>
      <w:r>
        <w:t xml:space="preserve">: excluding focal defendants whose nearest cross-race comparator is beyond</w:t>
      </w:r>
      <w:r>
        <w:t xml:space="preserve"> </w:t>
      </w:r>
      <w:r>
        <w:t xml:space="preserve">the 90th (75th) percentile of nearest same-race distances attenuates LBI at k=20 from 1.049 to</w:t>
      </w:r>
      <w:r>
        <w:t xml:space="preserve"> </w:t>
      </w:r>
      <w:r>
        <w:t xml:space="preserve">1.022 (1.012). Fixed-radius neighbourhoods give 1.022.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Distance-matched specification</w:t>
      </w:r>
      <w:r>
        <w:t xml:space="preserve">: selecting same-race comparators at the same distances as</w:t>
      </w:r>
      <w:r>
        <w:t xml:space="preserve"> </w:t>
      </w:r>
      <w:r>
        <w:t xml:space="preserve">the cross-race set gives 1.003 (the greedy matching overshoots — same-race comparators end up</w:t>
      </w:r>
      <w:r>
        <w:t xml:space="preserve"> </w:t>
      </w:r>
      <w:r>
        <w:rPr>
          <w:i/>
          <w:iCs/>
        </w:rPr>
        <w:t xml:space="preserve">farther</w:t>
      </w:r>
      <w:r>
        <w:t xml:space="preserve"> </w:t>
      </w:r>
      <w:r>
        <w:t xml:space="preserve">(0.662) than cross-race (0.458) — so we report this as an overcorrected lower bound).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Exact matching on the felony indicator</w:t>
      </w:r>
      <w:r>
        <w:t xml:space="preserve"> </w:t>
      </w:r>
      <w:r>
        <w:t xml:space="preserve">before continuous matching: 1.050 (unchanged; the</w:t>
      </w:r>
      <w:r>
        <w:t xml:space="preserve"> </w:t>
      </w:r>
      <w:r>
        <w:t xml:space="preserve">indicator was already well matched). We additionally ran coarsened-exact matching on</w:t>
      </w:r>
      <w:r>
        <w:t xml:space="preserve"> </w:t>
      </w:r>
      <w:r>
        <w:t xml:space="preserve">age/priors/juvenile/felony bins: 1.009 [1.000, 1.018] on the 3,159 defendants with sufficient</w:t>
      </w:r>
      <w:r>
        <w:t xml:space="preserve"> </w:t>
      </w:r>
      <w:r>
        <w:t xml:space="preserve">within-stratum comparators.</w:t>
      </w:r>
    </w:p>
    <w:p>
      <w:pPr>
        <w:pStyle w:val="FirstParagraph"/>
      </w:pPr>
      <w:r>
        <w:t xml:space="preserve">The manuscript now draws the conclusion these numbers force (§4.5, §4.11): the unadjusted index</w:t>
      </w:r>
      <w:r>
        <w:t xml:space="preserve"> </w:t>
      </w:r>
      <w:r>
        <w:t xml:space="preserve">contains a mechanical component of roughly +0.01 to +0.015 attributable to poorer cross-race</w:t>
      </w:r>
      <w:r>
        <w:t xml:space="preserve"> </w:t>
      </w:r>
      <w:r>
        <w:t xml:space="preserve">match quality, and the honest adjusted range on the decile score is 1.01–1.02. This is a real</w:t>
      </w:r>
      <w:r>
        <w:t xml:space="preserve"> </w:t>
      </w:r>
      <w:r>
        <w:t xml:space="preserve">change to the paper’s quantitative claims, made prominently rather than buried.</w:t>
      </w:r>
    </w:p>
    <w:bookmarkEnd w:id="9"/>
    <w:bookmarkStart w:id="10" w:name="the-permutation-test"/>
    <w:p>
      <w:pPr>
        <w:pStyle w:val="Heading2"/>
      </w:pPr>
      <w:r>
        <w:t xml:space="preserve">2. The permutation test</w:t>
      </w:r>
    </w:p>
    <w:p>
      <w:pPr>
        <w:pStyle w:val="FirstParagraph"/>
      </w:pPr>
      <w:r>
        <w:t xml:space="preserve">Every specific defect identified is fixed, and the deeper conceptual point is now a headline</w:t>
      </w:r>
      <w:r>
        <w:t xml:space="preserve"> </w:t>
      </w:r>
      <w:r>
        <w:t xml:space="preserve">methodological result: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Same sample size</w:t>
      </w:r>
      <w:r>
        <w:t xml:space="preserve">: observed and null statistics are both computed on the full n = 5,278</w:t>
      </w:r>
      <w:r>
        <w:t xml:space="preserve"> </w:t>
      </w:r>
      <w:r>
        <w:t xml:space="preserve">(the 500-defendant subsampling is gone; the text notes the correction explicitly, §4.6).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More permutations</w:t>
      </w:r>
      <w:r>
        <w:t xml:space="preserve">: 1,000 draws per null construction (was 200).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Conditional tests</w:t>
      </w:r>
      <w:r>
        <w:t xml:space="preserve">: we added both suggested constructions — permutation within</w:t>
      </w:r>
      <w:r>
        <w:t xml:space="preserve"> </w:t>
      </w:r>
      <w:r>
        <w:t xml:space="preserve">propensity-score deciles, and a full conditional randomization test (CRT) redrawing labels from</w:t>
      </w:r>
      <w:r>
        <w:t xml:space="preserve"> </w:t>
      </w:r>
      <w:r>
        <w:t xml:space="preserve">the estimated P(race | x) (§3.3, §4.6). The stricter nulls are centred at 1.012–1.015,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1.000,</w:t>
      </w:r>
      <w:r>
        <w:t xml:space="preserve"> </w:t>
      </w:r>
      <w:r>
        <w:t xml:space="preserve">confirming the review’s intuition that plain permutation destroys the race–feature dependence</w:t>
      </w:r>
      <w:r>
        <w:t xml:space="preserve"> </w:t>
      </w:r>
      <w:r>
        <w:t xml:space="preserve">and thereby tests the wrong null. Validated on race-blind synthetic data (see point 3), plain</w:t>
      </w:r>
      <w:r>
        <w:t xml:space="preserve"> </w:t>
      </w:r>
      <w:r>
        <w:t xml:space="preserve">permutation false-fires 56% of the time; the CRT is calibrated (4%). The observed LBI still</w:t>
      </w:r>
      <w:r>
        <w:t xml:space="preserve"> </w:t>
      </w:r>
      <w:r>
        <w:t xml:space="preserve">rejects against the correctly centred conditional null: z = 5.0, global p = 0.001, with the</w:t>
      </w:r>
      <w:r>
        <w:t xml:space="preserve"> </w:t>
      </w:r>
      <w:r>
        <w:t xml:space="preserve">stratified permutation (a nonparametric check on the CRT’s propensity model) agreeing (z = 5.5).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Bootstrap</w:t>
      </w:r>
      <w:r>
        <w:t xml:space="preserve">: confidence intervals now come from a bootstrap that</w:t>
      </w:r>
      <w:r>
        <w:t xml:space="preserve"> </w:t>
      </w:r>
      <w:r>
        <w:rPr>
          <w:b/>
          <w:bCs/>
        </w:rPr>
        <w:t xml:space="preserve">re-forms all</w:t>
      </w:r>
      <w:r>
        <w:rPr>
          <w:b/>
          <w:bCs/>
        </w:rPr>
        <w:t xml:space="preserve"> </w:t>
      </w:r>
      <w:r>
        <w:rPr>
          <w:b/>
          <w:bCs/>
        </w:rPr>
        <w:t xml:space="preserve">neighbourhoods inside every replicate</w:t>
      </w:r>
      <w:r>
        <w:t xml:space="preserve"> </w:t>
      </w:r>
      <w:r>
        <w:t xml:space="preserve">(1,000 replicates), addressing the dependence from</w:t>
      </w:r>
      <w:r>
        <w:t xml:space="preserve"> </w:t>
      </w:r>
      <w:r>
        <w:t xml:space="preserve">neighbour reuse (mean 40, max 198 reuses per defendant). The CIs widen accordingly (k=20:</w:t>
      </w:r>
      <w:r>
        <w:t xml:space="preserve"> </w:t>
      </w:r>
      <w:r>
        <w:t xml:space="preserve">[1.027, 1.072] vs the naive [1.039, 1.058]); both are shown so the effect of the correction is</w:t>
      </w:r>
      <w:r>
        <w:t xml:space="preserve"> </w:t>
      </w:r>
      <w:r>
        <w:t xml:space="preserve">visible (§4.4).</w:t>
      </w:r>
    </w:p>
    <w:bookmarkEnd w:id="10"/>
    <w:bookmarkStart w:id="11" w:name="validation-under-known-ground-truth"/>
    <w:p>
      <w:pPr>
        <w:pStyle w:val="Heading2"/>
      </w:pPr>
      <w:r>
        <w:t xml:space="preserve">3. Validation under known ground truth</w:t>
      </w:r>
    </w:p>
    <w:p>
      <w:pPr>
        <w:pStyle w:val="FirstParagraph"/>
      </w:pPr>
      <w:r>
        <w:t xml:space="preserve">Added as</w:t>
      </w:r>
      <w:r>
        <w:t xml:space="preserve"> </w:t>
      </w:r>
      <w:r>
        <w:rPr>
          <w:b/>
          <w:bCs/>
        </w:rPr>
        <w:t xml:space="preserve">§4.9</w:t>
      </w:r>
      <w:r>
        <w:t xml:space="preserve"> </w:t>
      </w:r>
      <w:r>
        <w:t xml:space="preserve">with exactly the four requested conditions, built semi-synthetically on the</w:t>
      </w:r>
      <w:r>
        <w:t xml:space="preserve"> </w:t>
      </w:r>
      <w:r>
        <w:t xml:space="preserve">real feature matrix and race labels (preserving the actual race–feature dependence): (1)</w:t>
      </w:r>
      <w:r>
        <w:t xml:space="preserve"> </w:t>
      </w:r>
      <w:r>
        <w:t xml:space="preserve">race-blind score with race-correlated features; (2) explicit race coefficient (β = 0.25/0.5/1.0</w:t>
      </w:r>
      <w:r>
        <w:t xml:space="preserve"> </w:t>
      </w:r>
      <w:r>
        <w:t xml:space="preserve">deciles); (3) strong proxy (corr 0.8 with race); (4) omitted legitimate predictor (score uses</w:t>
      </w:r>
      <w:r>
        <w:t xml:space="preserve"> </w:t>
      </w:r>
      <w:r>
        <w:t xml:space="preserve">priors count, matching cannot). Each condition: 60–200 Monte Carlo replicates, tested by plain</w:t>
      </w:r>
      <w:r>
        <w:t xml:space="preserve"> </w:t>
      </w:r>
      <w:r>
        <w:t xml:space="preserve">permutation, CRT, and an OLS race-coefficient baseline; a Dwork-style nearest-neighbour</w:t>
      </w:r>
      <w:r>
        <w:t xml:space="preserve"> </w:t>
      </w:r>
      <w:r>
        <w:t xml:space="preserve">consistency score is reported as the individual-fairness comparator. Findings (Table 8, Figure 5):</w:t>
      </w:r>
    </w:p>
    <w:p>
      <w:pPr>
        <w:pStyle w:val="Compact"/>
        <w:numPr>
          <w:ilvl w:val="0"/>
          <w:numId w:val="1003"/>
        </w:numPr>
      </w:pPr>
      <w:r>
        <w:t xml:space="preserve">race-blind level: LBI = 1.009 ± 0.006 (near, not at, 1 — the mechanical component);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false-positive rates at nominal 5%: plain permutation 56%, CRT 4%, OLS 6%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monotone response to direct discrimination (1.009 rising to 1.071 as β runs from 0 to 1</w:t>
      </w:r>
      <w:r>
        <w:t xml:space="preserve"> </w:t>
      </w:r>
      <w:r>
        <w:t xml:space="preserve">decile); strong response to proxy discrimination (1.153 at γ = 1);</w:t>
      </w:r>
    </w:p>
    <w:p>
      <w:pPr>
        <w:pStyle w:val="Compact"/>
        <w:numPr>
          <w:ilvl w:val="0"/>
          <w:numId w:val="1003"/>
        </w:numPr>
      </w:pPr>
      <w:r>
        <w:t xml:space="preserve">matching failure (condition 4) inflates the point estimate to 1.015 but the CRT remains</w:t>
      </w:r>
      <w:r>
        <w:t xml:space="preserve"> </w:t>
      </w:r>
      <w:r>
        <w:t xml:space="preserve">calibrated (5%), because it conditions on the recorded covariates;</w:t>
      </w:r>
    </w:p>
    <w:p>
      <w:pPr>
        <w:pStyle w:val="Compact"/>
        <w:numPr>
          <w:ilvl w:val="0"/>
          <w:numId w:val="1003"/>
        </w:numPr>
      </w:pPr>
      <w:r>
        <w:t xml:space="preserve">the consistency comparator barely moves across conditions (it measures smoothness, not</w:t>
      </w:r>
      <w:r>
        <w:t xml:space="preserve"> </w:t>
      </w:r>
      <w:r>
        <w:t xml:space="preserve">protected-attribute structure); OLS is more powerful against purely linear direct effects —</w:t>
      </w:r>
      <w:r>
        <w:t xml:space="preserve"> </w:t>
      </w:r>
      <w:r>
        <w:t xml:space="preserve">stated plainly, LBI’s niche is the model-free, black-box, categorical-output setting.</w:t>
      </w:r>
    </w:p>
    <w:bookmarkEnd w:id="11"/>
    <w:bookmarkStart w:id="12" w:name="title-overclaims-and-risk-categories"/>
    <w:p>
      <w:pPr>
        <w:pStyle w:val="Heading2"/>
      </w:pPr>
      <w:r>
        <w:t xml:space="preserve">4. Title, overclaims, and risk categories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changed as suggested:</w:t>
      </w:r>
      <w:r>
        <w:t xml:space="preserve"> </w:t>
      </w:r>
      <w:r>
        <w:rPr>
          <w:i/>
          <w:iCs/>
        </w:rPr>
        <w:t xml:space="preserve">“The Legal Bond Index: A Matched-Neighbourhood Diagnostic of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Algorithmic Disparity, Applied to COMPAS.”</w:t>
      </w:r>
    </w:p>
    <w:p>
      <w:pPr>
        <w:pStyle w:val="Compact"/>
        <w:numPr>
          <w:ilvl w:val="0"/>
          <w:numId w:val="1004"/>
        </w:numPr>
      </w:pPr>
      <w:r>
        <w:t xml:space="preserve">Every flagged formulation is rewritten: §2.3 no longer says LBI</w:t>
      </w:r>
      <w:r>
        <w:t xml:space="preserve"> </w:t>
      </w:r>
      <w:r>
        <w:t xml:space="preserve">“measures case-level fairness</w:t>
      </w:r>
      <w:r>
        <w:t xml:space="preserve"> </w:t>
      </w:r>
      <w:r>
        <w:t xml:space="preserve">directly”</w:t>
      </w:r>
      <w:r>
        <w:t xml:space="preserve">; the Definition’s interpretation bullets no longer speak of a protected-attribute</w:t>
      </w:r>
      <w:r>
        <w:t xml:space="preserve"> </w:t>
      </w:r>
      <w:r>
        <w:t xml:space="preserve">“flip”</w:t>
      </w:r>
      <w:r>
        <w:t xml:space="preserve"> </w:t>
      </w:r>
      <w:r>
        <w:t xml:space="preserve">or of the algorithm being</w:t>
      </w:r>
      <w:r>
        <w:t xml:space="preserve"> </w:t>
      </w:r>
      <w:r>
        <w:t xml:space="preserve">“responsive to the protected attribute”</w:t>
      </w:r>
      <w:r>
        <w:t xml:space="preserve">; the discussion no</w:t>
      </w:r>
      <w:r>
        <w:t xml:space="preserve"> </w:t>
      </w:r>
      <w:r>
        <w:t xml:space="preserve">longer claims</w:t>
      </w:r>
      <w:r>
        <w:t xml:space="preserve"> </w:t>
      </w:r>
      <w:r>
        <w:t xml:space="preserve">“case-level, not population-level”</w:t>
      </w:r>
      <w:r>
        <w:t xml:space="preserve"> </w:t>
      </w:r>
      <w:r>
        <w:t xml:space="preserve">(now:</w:t>
      </w:r>
      <w:r>
        <w:t xml:space="preserve"> </w:t>
      </w:r>
      <w:r>
        <w:t xml:space="preserve">“matched-neighbourhood, not marginal,”</w:t>
      </w:r>
      <w:r>
        <w:t xml:space="preserve"> </w:t>
      </w:r>
      <w:r>
        <w:t xml:space="preserve">§5.1, with the aggregation point made explicitly). The defensible interpretation the review</w:t>
      </w:r>
      <w:r>
        <w:t xml:space="preserve"> </w:t>
      </w:r>
      <w:r>
        <w:t xml:space="preserve">proposed — cross-group score divergence exceeding within-group divergence among neighbours</w:t>
      </w:r>
      <w:r>
        <w:t xml:space="preserve"> </w:t>
      </w:r>
      <w:r>
        <w:t xml:space="preserve">selected on specified observed features — now appears verbatim in §2.3 and governs the</w:t>
      </w:r>
      <w:r>
        <w:t xml:space="preserve"> </w:t>
      </w:r>
      <w:r>
        <w:t xml:space="preserve">abstract, definition, and conclusion.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“Inputs include protected attributes”</w:t>
      </w:r>
      <w:r>
        <w:rPr>
          <w:b/>
          <w:bCs/>
        </w:rPr>
        <w:t xml:space="preserve"> </w:t>
      </w:r>
      <w:r>
        <w:rPr>
          <w:b/>
          <w:bCs/>
        </w:rPr>
        <w:t xml:space="preserve">corrected</w:t>
      </w:r>
      <w:r>
        <w:t xml:space="preserve"> </w:t>
      </w:r>
      <w:r>
        <w:t xml:space="preserve">(abstract and §6.1): the audit dataset must</w:t>
      </w:r>
      <w:r>
        <w:t xml:space="preserve"> </w:t>
      </w:r>
      <w:r>
        <w:t xml:space="preserve">contain the protected attribute; the algorithm need not use it — with COMPAS as the example.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categories</w:t>
      </w:r>
      <w:r>
        <w:t xml:space="preserve"> </w:t>
      </w:r>
      <w:r>
        <w:t xml:space="preserve">(§4.7): the three cutoffs are defined (1–4/5–7/8–10); the ≥5 analysis is</w:t>
      </w:r>
      <w:r>
        <w:t xml:space="preserve"> </w:t>
      </w:r>
      <w:r>
        <w:t xml:space="preserve">renamed</w:t>
      </w:r>
      <w:r>
        <w:t xml:space="preserve"> </w:t>
      </w:r>
      <w:r>
        <w:t xml:space="preserve">“medium-or-high (ProPublica’s binary)”</w:t>
      </w:r>
      <w:r>
        <w:t xml:space="preserve">; a second binary at ≥8 is added (LBI 1.026</w:t>
      </w:r>
      <w:r>
        <w:t xml:space="preserve"> </w:t>
      </w:r>
      <w:r>
        <w:t xml:space="preserve">[1.007, 1.045]); the text explains ProPublica’s use of ≥5 and cautions that no threshold is</w:t>
      </w:r>
      <w:r>
        <w:t xml:space="preserve"> </w:t>
      </w:r>
      <w:r>
        <w:t xml:space="preserve">universally decision-relevant; and the table reports the</w:t>
      </w:r>
      <w:r>
        <w:t xml:space="preserve"> </w:t>
      </w:r>
      <w:r>
        <w:rPr>
          <w:b/>
          <w:bCs/>
        </w:rPr>
        <w:t xml:space="preserve">raw numerator and denominator</w:t>
      </w:r>
      <w:r>
        <w:t xml:space="preserve"> </w:t>
      </w:r>
      <w:r>
        <w:t xml:space="preserve">(≥5: cross-race disagreement 37.3% vs same-race 34.2% — stated as a 9.2% relative, 3.1</w:t>
      </w:r>
      <w:r>
        <w:t xml:space="preserve"> </w:t>
      </w:r>
      <w:r>
        <w:t xml:space="preserve">percentage-point excess, with the relative-vs-absolute distinction spelled out in §4.7 and</w:t>
      </w:r>
      <w:r>
        <w:t xml:space="preserve"> </w:t>
      </w:r>
      <w:r>
        <w:t xml:space="preserve">§5.4).</w:t>
      </w:r>
    </w:p>
    <w:bookmarkEnd w:id="12"/>
    <w:bookmarkStart w:id="13" w:name="robustness-across-matching-methods"/>
    <w:p>
      <w:pPr>
        <w:pStyle w:val="Heading2"/>
      </w:pPr>
      <w:r>
        <w:t xml:space="preserve">5. Robustness across matching methods</w:t>
      </w:r>
    </w:p>
    <w:p>
      <w:pPr>
        <w:pStyle w:val="FirstParagraph"/>
      </w:pPr>
      <w:r>
        <w:t xml:space="preserve">Added (§4.8, Table 7): Euclidean on standardized features (1.048), robust Mahalanobis/MinCovDet</w:t>
      </w:r>
      <w:r>
        <w:t xml:space="preserve"> </w:t>
      </w:r>
      <w:r>
        <w:t xml:space="preserve">(1.048), log(1+x) on count features (1.048), rank transform (1.044), Gower (1.049), plus</w:t>
      </w:r>
      <w:r>
        <w:t xml:space="preserve"> </w:t>
      </w:r>
      <w:r>
        <w:t xml:space="preserve">coarsened-exact matching and fixed-distance calipers (reported with the matching-parity family in</w:t>
      </w:r>
      <w:r>
        <w:t xml:space="preserve"> </w:t>
      </w:r>
      <w:r>
        <w:t xml:space="preserve">§4.5, since they change match quality, not just the metric). The text now distinguishes</w:t>
      </w:r>
      <w:r>
        <w:t xml:space="preserve"> </w:t>
      </w:r>
      <w:r>
        <w:t xml:space="preserve">robustness to the metric family (high) from robustness to match quality (the specifications that</w:t>
      </w:r>
      <w:r>
        <w:t xml:space="preserve"> </w:t>
      </w:r>
      <w:r>
        <w:t xml:space="preserve">move the estimate) — the review’s distinction, which we adopted.</w:t>
      </w:r>
    </w:p>
    <w:bookmarkEnd w:id="13"/>
    <w:bookmarkStart w:id="14" w:name="mahalanobis-wording"/>
    <w:p>
      <w:pPr>
        <w:pStyle w:val="Heading2"/>
      </w:pPr>
      <w:r>
        <w:t xml:space="preserve">6. Mahalanobis wording</w:t>
      </w:r>
    </w:p>
    <w:p>
      <w:pPr>
        <w:pStyle w:val="FirstParagraph"/>
      </w:pPr>
      <w:r>
        <w:t xml:space="preserve">Corrected (§3.2): Mahalanobis distance is Euclidean on the whitened representation; high-variance</w:t>
      </w:r>
      <w:r>
        <w:t xml:space="preserve"> </w:t>
      </w:r>
      <w:r>
        <w:t xml:space="preserve">leading principal directions are</w:t>
      </w:r>
      <w:r>
        <w:t xml:space="preserve"> </w:t>
      </w:r>
      <w:r>
        <w:rPr>
          <w:b/>
          <w:bCs/>
        </w:rPr>
        <w:t xml:space="preserve">downweighted</w:t>
      </w:r>
      <w:r>
        <w:t xml:space="preserve"> </w:t>
      </w:r>
      <w:r>
        <w:t xml:space="preserve">to the common scale (the previous</w:t>
      </w:r>
      <w:r>
        <w:t xml:space="preserve"> </w:t>
      </w:r>
      <w:r>
        <w:t xml:space="preserve">“upweight”</w:t>
      </w:r>
      <w:r>
        <w:t xml:space="preserve"> </w:t>
      </w:r>
      <w:r>
        <w:t xml:space="preserve">sentence was wrong and is gone).</w:t>
      </w:r>
    </w:p>
    <w:bookmarkEnd w:id="14"/>
    <w:bookmarkStart w:id="15" w:name="a.-legal-and-regulatory-claims"/>
    <w:p>
      <w:pPr>
        <w:pStyle w:val="Heading2"/>
      </w:pPr>
      <w:r>
        <w:t xml:space="preserve">7a. Legal and regulatory claims</w:t>
      </w:r>
    </w:p>
    <w:p>
      <w:pPr>
        <w:pStyle w:val="Compact"/>
        <w:numPr>
          <w:ilvl w:val="0"/>
          <w:numId w:val="1005"/>
        </w:numPr>
      </w:pPr>
      <w:r>
        <w:t xml:space="preserve">Demographic parity is no longer equated with disparate impact; the two-step doctrinal inquiry</w:t>
      </w:r>
      <w:r>
        <w:t xml:space="preserve"> </w:t>
      </w:r>
      <w:r>
        <w:t xml:space="preserve">is stated with citation to Barocas &amp; Selbst (2016) (§2.2).</w:t>
      </w:r>
    </w:p>
    <w:p>
      <w:pPr>
        <w:pStyle w:val="Compact"/>
        <w:numPr>
          <w:ilvl w:val="0"/>
          <w:numId w:val="1005"/>
        </w:numPr>
      </w:pPr>
      <w:r>
        <w:t xml:space="preserve">The four-fifths rule is identified as an employment-selection enforcement heuristic with no</w:t>
      </w:r>
      <w:r>
        <w:t xml:space="preserve"> </w:t>
      </w:r>
      <w:r>
        <w:t xml:space="preserve">doctrinal standing in criminal justice; its single remaining appearance (summary table) is</w:t>
      </w:r>
      <w:r>
        <w:t xml:space="preserve"> </w:t>
      </w:r>
      <w:r>
        <w:t xml:space="preserve">marked</w:t>
      </w:r>
      <w:r>
        <w:t xml:space="preserve"> </w:t>
      </w:r>
      <w:r>
        <w:t xml:space="preserve">“illustrative only”</w:t>
      </w:r>
      <w:r>
        <w:t xml:space="preserve"> </w:t>
      </w:r>
      <w:r>
        <w:t xml:space="preserve">(§2.2, Table 9, §6.3).</w:t>
      </w:r>
    </w:p>
    <w:p>
      <w:pPr>
        <w:pStyle w:val="Compact"/>
        <w:numPr>
          <w:ilvl w:val="0"/>
          <w:numId w:val="1005"/>
        </w:numPr>
      </w:pPr>
      <w:r>
        <w:t xml:space="preserve">A new</w:t>
      </w:r>
      <w:r>
        <w:t xml:space="preserve"> </w:t>
      </w:r>
      <w:r>
        <w:rPr>
          <w:b/>
          <w:bCs/>
        </w:rPr>
        <w:t xml:space="preserve">§6.3</w:t>
      </w:r>
      <w:r>
        <w:rPr>
          <w:b/>
          <w:bCs/>
        </w:rPr>
        <w:t xml:space="preserve"> </w:t>
      </w:r>
      <w:r>
        <w:rPr>
          <w:b/>
          <w:bCs/>
        </w:rPr>
        <w:t xml:space="preserve">“Doctrinal context”</w:t>
      </w:r>
      <w:r>
        <w:t xml:space="preserve"> </w:t>
      </w:r>
      <w:r>
        <w:t xml:space="preserve">discusses</w:t>
      </w:r>
      <w:r>
        <w:t xml:space="preserve"> </w:t>
      </w:r>
      <w:r>
        <w:rPr>
          <w:i/>
          <w:iCs/>
        </w:rPr>
        <w:t xml:space="preserve">Washington v. Davis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McCleskey v. Kemp</w:t>
      </w:r>
      <w:r>
        <w:t xml:space="preserve"> </w:t>
      </w:r>
      <w:r>
        <w:t xml:space="preserve">(equal protection / discriminatory-purpose requirement),</w:t>
      </w:r>
      <w:r>
        <w:t xml:space="preserve"> </w:t>
      </w:r>
      <w:r>
        <w:rPr>
          <w:i/>
          <w:iCs/>
        </w:rPr>
        <w:t xml:space="preserve">State v. Loomis</w:t>
      </w:r>
      <w:r>
        <w:t xml:space="preserve"> </w:t>
      </w:r>
      <w:r>
        <w:t xml:space="preserve">in more depth (due</w:t>
      </w:r>
      <w:r>
        <w:t xml:space="preserve"> </w:t>
      </w:r>
      <w:r>
        <w:t xml:space="preserve">process, proprietary methodology, required warnings, cert. denied), contestability</w:t>
      </w:r>
      <w:r>
        <w:t xml:space="preserve"> </w:t>
      </w:r>
      <w:r>
        <w:t xml:space="preserve">(Citron 2008), and the risk-assessment race-neutrality debate (Starr 2014; Mayson 2019;</w:t>
      </w:r>
      <w:r>
        <w:t xml:space="preserve"> </w:t>
      </w:r>
      <w:r>
        <w:t xml:space="preserve">Huq 2019). The</w:t>
      </w:r>
      <w:r>
        <w:t xml:space="preserve"> </w:t>
      </w:r>
      <w:r>
        <w:t xml:space="preserve">“legally irrelevant depending on jurisdiction”</w:t>
      </w:r>
      <w:r>
        <w:t xml:space="preserve"> </w:t>
      </w:r>
      <w:r>
        <w:t xml:space="preserve">sentence is replaced by the</w:t>
      </w:r>
      <w:r>
        <w:t xml:space="preserve"> </w:t>
      </w:r>
      <w:r>
        <w:t xml:space="preserve">attribute-specific treatment (race foreclosed; sex upheld in</w:t>
      </w:r>
      <w:r>
        <w:t xml:space="preserve"> </w:t>
      </w:r>
      <w:r>
        <w:rPr>
          <w:i/>
          <w:iCs/>
        </w:rPr>
        <w:t xml:space="preserve">Loomis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proposed LBI ranges are removed entirely.</w:t>
      </w:r>
      <w:r>
        <w:t xml:space="preserve"> </w:t>
      </w:r>
      <w:r>
        <w:t xml:space="preserve">§6.2 now states why (no empirical or legal</w:t>
      </w:r>
      <w:r>
        <w:t xml:space="preserve"> </w:t>
      </w:r>
      <w:r>
        <w:t xml:space="preserve">basis exists), notes what the synthetic validation can and cannot ground, and frames elevated</w:t>
      </w:r>
      <w:r>
        <w:t xml:space="preserve"> </w:t>
      </w:r>
      <w:r>
        <w:t xml:space="preserve">LBI as a trigger for disaggregated follow-up rather than a value to compare against a cutoff.</w:t>
      </w:r>
    </w:p>
    <w:bookmarkEnd w:id="15"/>
    <w:bookmarkStart w:id="16" w:name="b.-the-sex-result-and-the-choice-of-k"/>
    <w:p>
      <w:pPr>
        <w:pStyle w:val="Heading2"/>
      </w:pPr>
      <w:r>
        <w:t xml:space="preserve">7b. The sex result and the choice of k</w:t>
      </w:r>
    </w:p>
    <w:p>
      <w:pPr>
        <w:pStyle w:val="FirstParagraph"/>
      </w:pPr>
      <w:r>
        <w:t xml:space="preserve">The review was right, and the corrected inference is stronger than the requested fix: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sex claim is withdrawn</w:t>
      </w:r>
      <w:r>
        <w:t xml:space="preserve"> </w:t>
      </w:r>
      <w:r>
        <w:t xml:space="preserve">(§4.4). With the corrected bootstrap, LBI(sex) CIs include 1 for</w:t>
      </w:r>
      <w:r>
        <w:t xml:space="preserve"> </w:t>
      </w:r>
      <w:r>
        <w:t xml:space="preserve">all k ≤ 20 (k=1 point estimate 0.962); the global multiscale randomization tests do not reject</w:t>
      </w:r>
      <w:r>
        <w:t xml:space="preserve"> </w:t>
      </w:r>
      <w:r>
        <w:t xml:space="preserve">(plain p = 0.39; CRT p = 0.90). The manuscript says explicitly that the earlier version’s</w:t>
      </w:r>
      <w:r>
        <w:t xml:space="preserve"> </w:t>
      </w:r>
      <w:r>
        <w:t xml:space="preserve">“real but smaller”</w:t>
      </w:r>
      <w:r>
        <w:t xml:space="preserve"> </w:t>
      </w:r>
      <w:r>
        <w:t xml:space="preserve">characterization is not supported and is withdrawn; Figure 1’s caption is</w:t>
      </w:r>
      <w:r>
        <w:t xml:space="preserve"> </w:t>
      </w:r>
      <w:r>
        <w:t xml:space="preserve">corrected. We also note (per §6.3) that LBI(sex) would not carry the same normative</w:t>
      </w:r>
      <w:r>
        <w:t xml:space="preserve"> </w:t>
      </w:r>
      <w:r>
        <w:t xml:space="preserve">significance in any case.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 is defined at first use</w:t>
      </w:r>
      <w:r>
        <w:t xml:space="preserve"> </w:t>
      </w:r>
      <w:r>
        <w:t xml:space="preserve">(§3.1) with an explicit explanation of what the neighbourhood</w:t>
      </w:r>
      <w:r>
        <w:t xml:space="preserve"> </w:t>
      </w:r>
      <w:r>
        <w:t xml:space="preserve">scale means.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full k-curve is now the primary result</w:t>
      </w:r>
      <w:r>
        <w:t xml:space="preserve"> </w:t>
      </w:r>
      <w:r>
        <w:t xml:space="preserve">(§4.4:</w:t>
      </w:r>
      <w:r>
        <w:t xml:space="preserve"> </w:t>
      </w:r>
      <w:r>
        <w:t xml:space="preserve">“The race curve, not any single point on</w:t>
      </w:r>
      <w:r>
        <w:t xml:space="preserve"> </w:t>
      </w:r>
      <w:r>
        <w:t xml:space="preserve">it, is the primary finding”</w:t>
      </w:r>
      <w:r>
        <w:t xml:space="preserve">); k = 20 is explicitly an illustrative scale for detailed</w:t>
      </w:r>
      <w:r>
        <w:t xml:space="preserve"> </w:t>
      </w:r>
      <w:r>
        <w:t xml:space="preserve">diagnostics. Significance is carried by a</w:t>
      </w:r>
      <w:r>
        <w:t xml:space="preserve"> </w:t>
      </w:r>
      <w:r>
        <w:rPr>
          <w:b/>
          <w:bCs/>
        </w:rPr>
        <w:t xml:space="preserve">global multiscale max-z randomization test across</w:t>
      </w:r>
      <w:r>
        <w:rPr>
          <w:b/>
          <w:bCs/>
        </w:rPr>
        <w:t xml:space="preserve"> </w:t>
      </w:r>
      <w:r>
        <w:rPr>
          <w:b/>
          <w:bCs/>
        </w:rPr>
        <w:t xml:space="preserve">all six prespecified scales</w:t>
      </w:r>
      <w:r>
        <w:t xml:space="preserve"> </w:t>
      </w:r>
      <w:r>
        <w:t xml:space="preserve">(§3.3, §4.6), not by any single k; pointwise per-k tests are also</w:t>
      </w:r>
      <w:r>
        <w:t xml:space="preserve"> </w:t>
      </w:r>
      <w:r>
        <w:t xml:space="preserve">reported. This implements the review’s</w:t>
      </w:r>
      <w:r>
        <w:t xml:space="preserve"> </w:t>
      </w:r>
      <w:r>
        <w:t xml:space="preserve">“stronger correction.”</w:t>
      </w:r>
    </w:p>
    <w:bookmarkEnd w:id="16"/>
    <w:bookmarkStart w:id="17" w:name="other-items"/>
    <w:p>
      <w:pPr>
        <w:pStyle w:val="Heading2"/>
      </w:pPr>
      <w:r>
        <w:t xml:space="preserve">8. Other items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CIs labelled pointwise</w:t>
      </w:r>
      <w:r>
        <w:t xml:space="preserve"> </w:t>
      </w:r>
      <w:r>
        <w:t xml:space="preserve">wherever a k-range appears (§3.3, Table 2, Figure 1), with the</w:t>
      </w:r>
      <w:r>
        <w:t xml:space="preserve"> </w:t>
      </w:r>
      <w:r>
        <w:t xml:space="preserve">multiple-comparisons burden carried by the global max-z test.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Ties, reused neighbours, missing values, covariance inversion, tie-breaking, few-comparator</w:t>
      </w:r>
      <w:r>
        <w:rPr>
          <w:b/>
          <w:bCs/>
        </w:rPr>
        <w:t xml:space="preserve"> </w:t>
      </w:r>
      <w:r>
        <w:rPr>
          <w:b/>
          <w:bCs/>
        </w:rPr>
        <w:t xml:space="preserve">cases</w:t>
      </w:r>
      <w:r>
        <w:t xml:space="preserve">: a dedicated implementation subsection (§4.10) reports all of these quantitatively</w:t>
      </w:r>
      <w:r>
        <w:t xml:space="preserve"> </w:t>
      </w:r>
      <w:r>
        <w:t xml:space="preserve">(3,673/5,278 duplicated feature vectors; 79% boundary-tie rate at k=20; deterministic</w:t>
      </w:r>
      <w:r>
        <w:t xml:space="preserve"> </w:t>
      </w:r>
      <w:r>
        <w:t xml:space="preserve">stable-sort tie-breaking; reuse mean 40/max 198 — motivating the corrected bootstrap; zero</w:t>
      </w:r>
      <w:r>
        <w:t xml:space="preserve"> </w:t>
      </w:r>
      <w:r>
        <w:t xml:space="preserve">missing values; condition number 2.65 with 1e-6 ridge; n retained under restricted</w:t>
      </w:r>
      <w:r>
        <w:t xml:space="preserve"> </w:t>
      </w:r>
      <w:r>
        <w:t xml:space="preserve">specifications).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Focal-group results</w:t>
      </w:r>
      <w:r>
        <w:t xml:space="preserve"> </w:t>
      </w:r>
      <w:r>
        <w:t xml:space="preserve">(§4.4): Black-focal 1.027 [1.015, 1.039], White-focal 1.087</w:t>
      </w:r>
      <w:r>
        <w:t xml:space="preserve"> </w:t>
      </w:r>
      <w:r>
        <w:t xml:space="preserve">[1.071, 1.102], group-balanced 1.055 — the asymmetry is now itself a reported finding.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Distribution of per-defendant gaps</w:t>
      </w:r>
      <w:r>
        <w:t xml:space="preserve"> </w:t>
      </w:r>
      <w:r>
        <w:t xml:space="preserve">(§4.5, Figure 3): 53.9% positive, mean +0.108 deciles;</w:t>
      </w:r>
      <w:r>
        <w:t xml:space="preserve"> </w:t>
      </w:r>
      <w:r>
        <w:t xml:space="preserve">excluding the top 5% lowers LBI from 1.049 to 1.009 — the tail-concentration is stated plainly.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Recidivism defined precisely</w:t>
      </w:r>
      <w:r>
        <w:t xml:space="preserve"> </w:t>
      </w:r>
      <w:r>
        <w:t xml:space="preserve">(§4.1): ProPublica’s</w:t>
      </w:r>
      <w:r>
        <w:t xml:space="preserve"> </w:t>
      </w:r>
      <w:r>
        <w:rPr>
          <w:rStyle w:val="VerbatimChar"/>
        </w:rPr>
        <w:t xml:space="preserve">two_year_recid</w:t>
      </w:r>
      <w:r>
        <w:t xml:space="preserve"> </w:t>
      </w:r>
      <w:r>
        <w:t xml:space="preserve">— a new offence</w:t>
      </w:r>
      <w:r>
        <w:t xml:space="preserve"> </w:t>
      </w:r>
      <w:r>
        <w:t xml:space="preserve">resulting in a jail booking within two years of screening; arrest-based, not conviction-based.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Score specified</w:t>
      </w:r>
      <w:r>
        <w:t xml:space="preserve"> </w:t>
      </w:r>
      <w:r>
        <w:t xml:space="preserve">(§4.1): the general-recidivism decile (</w:t>
      </w:r>
      <w:r>
        <w:rPr>
          <w:rStyle w:val="VerbatimChar"/>
        </w:rPr>
        <w:t xml:space="preserve">decile_score</w:t>
      </w:r>
      <w:r>
        <w:t xml:space="preserve">), not the violent</w:t>
      </w:r>
      <w:r>
        <w:t xml:space="preserve"> </w:t>
      </w:r>
      <w:r>
        <w:t xml:space="preserve">scale.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Wilson-loop / Judicial Complex material</w:t>
      </w:r>
      <w:r>
        <w:t xml:space="preserve">: removed from the body (former §4 deleted); a</w:t>
      </w:r>
      <w:r>
        <w:t xml:space="preserve"> </w:t>
      </w:r>
      <w:r>
        <w:t xml:space="preserve">brief author note at the end records the provenance. No claims in the paper depend on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Bond (2026a)/(2026b)</w:t>
      </w:r>
      <w:r>
        <w:t xml:space="preserve"> </w:t>
      </w:r>
      <w:r>
        <w:t xml:space="preserve">labels fixed in the reference 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Reproducibility.</w:t>
      </w:r>
      <w:r>
        <w:t xml:space="preserve"> </w:t>
      </w:r>
      <w:r>
        <w:rPr>
          <w:rStyle w:val="VerbatimChar"/>
        </w:rPr>
        <w:t xml:space="preserve">revision2_analysis.py</w:t>
      </w:r>
      <w:r>
        <w:t xml:space="preserve"> </w:t>
      </w:r>
      <w:r>
        <w:t xml:space="preserve">(single script, seed 20260724) reproduces every</w:t>
      </w:r>
      <w:r>
        <w:t xml:space="preserve"> </w:t>
      </w:r>
      <w:r>
        <w:t xml:space="preserve">number, table, and figure from the public ProPublica file; outputs are bundled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outputs/revision2_results.json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outputs/revision2_report.txt</w:t>
      </w:r>
      <w:r>
        <w:t xml:space="preserve">). The Zenodo record will be</w:t>
      </w:r>
      <w:r>
        <w:t xml:space="preserve"> </w:t>
      </w:r>
      <w:r>
        <w:t xml:space="preserve">versioned with the revised manuscript.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2026-07-24T21:00:02Z</dcterms:created>
  <dcterms:modified xsi:type="dcterms:W3CDTF">2026-07-24T21:00:02Z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