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362a536c2e63b3592856a0f4c9e6084c682499"/>
    <w:p>
      <w:pPr>
        <w:pStyle w:val="Heading1"/>
      </w:pPr>
      <w:r>
        <w:t xml:space="preserve">Response to Reviewer —</w:t>
      </w:r>
      <w:r>
        <w:t xml:space="preserve"> </w:t>
      </w:r>
      <w:r>
        <w:rPr>
          <w:i/>
          <w:iCs/>
        </w:rPr>
        <w:t xml:space="preserve">The Legal Bond Index</w:t>
      </w:r>
      <w:r>
        <w:t xml:space="preserve"> </w:t>
      </w:r>
      <w:r>
        <w:t xml:space="preserve">(JSciLaw)</w:t>
      </w:r>
    </w:p>
    <w:p>
      <w:pPr>
        <w:pStyle w:val="FirstParagraph"/>
      </w:pPr>
      <w:r>
        <w:t xml:space="preserve">We thank the reviewer for a careful and constructive report. We have accepted essentially every</w:t>
      </w:r>
      <w:r>
        <w:t xml:space="preserve"> </w:t>
      </w:r>
      <w:r>
        <w:t xml:space="preserve">point. The revision does two things: (i) it</w:t>
      </w:r>
      <w:r>
        <w:t xml:space="preserve"> </w:t>
      </w:r>
      <w:r>
        <w:rPr>
          <w:b/>
          <w:bCs/>
        </w:rPr>
        <w:t xml:space="preserve">narrows the interpretive claims</w:t>
      </w:r>
      <w:r>
        <w:t xml:space="preserve"> </w:t>
      </w:r>
      <w:r>
        <w:t xml:space="preserve">throughout — LBI is</w:t>
      </w:r>
      <w:r>
        <w:t xml:space="preserve"> </w:t>
      </w:r>
      <w:r>
        <w:t xml:space="preserve">now consistently framed as a</w:t>
      </w:r>
      <w:r>
        <w:t xml:space="preserve"> </w:t>
      </w:r>
      <w:r>
        <w:rPr>
          <w:i/>
          <w:iCs/>
        </w:rPr>
        <w:t xml:space="preserve">conditional matched-comparison diagnostic / screening signal</w:t>
      </w:r>
      <w:r>
        <w:t xml:space="preserve">, not a</w:t>
      </w:r>
      <w:r>
        <w:t xml:space="preserve"> </w:t>
      </w:r>
      <w:r>
        <w:t xml:space="preserve">proof of case-level (un)fairness; and (ii) it adds a</w:t>
      </w:r>
      <w:r>
        <w:t xml:space="preserve"> </w:t>
      </w:r>
      <w:r>
        <w:rPr>
          <w:b/>
          <w:bCs/>
        </w:rPr>
        <w:t xml:space="preserve">new empirical robustness analysis</w:t>
      </w:r>
      <w:r>
        <w:t xml:space="preserve"> </w:t>
      </w:r>
      <w:r>
        <w:t xml:space="preserve">(§Robustness,</w:t>
      </w:r>
      <w:r>
        <w:t xml:space="preserve"> </w:t>
      </w:r>
      <w:r>
        <w:rPr>
          <w:rStyle w:val="VerbatimChar"/>
        </w:rPr>
        <w:t xml:space="preserve">ablation_lbi.py</w:t>
      </w:r>
      <w:r>
        <w:t xml:space="preserve">) that directly tests the reviewer’s central worry — that the signal</w:t>
      </w:r>
      <w:r>
        <w:t xml:space="preserve"> </w:t>
      </w:r>
      <w:r>
        <w:t xml:space="preserve">is an artefact of the feature choice — and, we believe, strengthens the paper’s evidentiary basis</w:t>
      </w:r>
      <w:r>
        <w:t xml:space="preserve"> </w:t>
      </w:r>
      <w:r>
        <w:t xml:space="preserve">rather than merely qualifying it.</w:t>
      </w:r>
    </w:p>
    <w:p>
      <w:pPr>
        <w:pStyle w:val="BodyText"/>
      </w:pPr>
      <w:r>
        <w:rPr>
          <w:b/>
          <w:bCs/>
        </w:rPr>
        <w:t xml:space="preserve">New result (headline of the revision).</w:t>
      </w:r>
      <w:r>
        <w:t xml:space="preserve"> </w:t>
      </w:r>
      <w:r>
        <w:t xml:space="preserve">Recomputing LBI(race) at k=20 across four</w:t>
      </w:r>
      <w:r>
        <w:t xml:space="preserve"> </w:t>
      </w:r>
      <w:r>
        <w:t xml:space="preserve">legitimate-feature sets and three score representations: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set (decile)</w:t>
            </w:r>
          </w:p>
        </w:tc>
        <w:tc>
          <w:tcPr/>
          <w:p>
            <w:pPr>
              <w:pStyle w:val="Compact"/>
            </w:pPr>
            <w:r>
              <w:t xml:space="preserve">LBI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score unit (6 features)</w:t>
            </w:r>
          </w:p>
        </w:tc>
        <w:tc>
          <w:tcPr/>
          <w:p>
            <w:pPr>
              <w:pStyle w:val="Compact"/>
            </w:pPr>
            <w:r>
              <w:t xml:space="preserve">LBI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 (age, priors)</w:t>
            </w:r>
          </w:p>
        </w:tc>
        <w:tc>
          <w:tcPr/>
          <w:p>
            <w:pPr>
              <w:pStyle w:val="Compact"/>
            </w:pPr>
            <w:r>
              <w:t xml:space="preserve">1.041</w:t>
            </w:r>
          </w:p>
        </w:tc>
        <w:tc>
          <w:tcPr/>
          <w:p>
            <w:pPr>
              <w:pStyle w:val="Compact"/>
            </w:pPr>
            <w:r>
              <w:t xml:space="preserve">[1.032,1.049]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raw decile</w:t>
            </w:r>
          </w:p>
        </w:tc>
        <w:tc>
          <w:tcPr/>
          <w:p>
            <w:pPr>
              <w:pStyle w:val="Compact"/>
            </w:pPr>
            <w:r>
              <w:t xml:space="preserve">1.050</w:t>
            </w:r>
          </w:p>
        </w:tc>
        <w:tc>
          <w:tcPr/>
          <w:p>
            <w:pPr>
              <w:pStyle w:val="Compact"/>
            </w:pPr>
            <w:r>
              <w:t xml:space="preserve">[1.040,1.058]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(6)</w:t>
            </w:r>
          </w:p>
        </w:tc>
        <w:tc>
          <w:tcPr/>
          <w:p>
            <w:pPr>
              <w:pStyle w:val="Compact"/>
            </w:pPr>
            <w:r>
              <w:t xml:space="preserve">1.050</w:t>
            </w:r>
          </w:p>
        </w:tc>
        <w:tc>
          <w:tcPr/>
          <w:p>
            <w:pPr>
              <w:pStyle w:val="Compact"/>
            </w:pPr>
            <w:r>
              <w:t xml:space="preserve">[1.040,1.059]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3-category (low/med/high)</w:t>
            </w:r>
          </w:p>
        </w:tc>
        <w:tc>
          <w:tcPr/>
          <w:p>
            <w:pPr>
              <w:pStyle w:val="Compact"/>
            </w:pPr>
            <w:r>
              <w:t xml:space="preserve">1.066</w:t>
            </w:r>
          </w:p>
        </w:tc>
        <w:tc>
          <w:tcPr/>
          <w:p>
            <w:pPr>
              <w:pStyle w:val="Compact"/>
            </w:pPr>
            <w:r>
              <w:t xml:space="preserve">[1.053,1.078]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 juvenile counts</w:t>
            </w:r>
          </w:p>
        </w:tc>
        <w:tc>
          <w:tcPr/>
          <w:p>
            <w:pPr>
              <w:pStyle w:val="Compact"/>
            </w:pPr>
            <w:r>
              <w:t xml:space="preserve">1.038</w:t>
            </w:r>
          </w:p>
        </w:tc>
        <w:tc>
          <w:tcPr/>
          <w:p>
            <w:pPr>
              <w:pStyle w:val="Compact"/>
            </w:pPr>
            <w:r>
              <w:t xml:space="preserve">[1.030,1.047]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high-risk (≥5)</w:t>
            </w:r>
          </w:p>
        </w:tc>
        <w:tc>
          <w:tcPr/>
          <w:p>
            <w:pPr>
              <w:pStyle w:val="Compact"/>
            </w:pPr>
            <w:r>
              <w:t xml:space="preserve">1.090</w:t>
            </w:r>
          </w:p>
        </w:tc>
        <w:tc>
          <w:tcPr/>
          <w:p>
            <w:pPr>
              <w:pStyle w:val="Compact"/>
            </w:pPr>
            <w:r>
              <w:t xml:space="preserve">[1.076,1.106]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+ sex control</w:t>
            </w:r>
          </w:p>
        </w:tc>
        <w:tc>
          <w:tcPr/>
          <w:p>
            <w:pPr>
              <w:pStyle w:val="Compact"/>
            </w:pPr>
            <w:r>
              <w:t xml:space="preserve">1.060</w:t>
            </w:r>
          </w:p>
        </w:tc>
        <w:tc>
          <w:tcPr/>
          <w:p>
            <w:pPr>
              <w:pStyle w:val="Compact"/>
            </w:pPr>
            <w:r>
              <w:t xml:space="preserve">[1.050,1.069]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signal survives every available-feature specification (all CIs exclude 1),</w:t>
      </w:r>
      <w:r>
        <w:t xml:space="preserve"> </w:t>
      </w:r>
      <w:r>
        <w:rPr>
          <w:b/>
          <w:bCs/>
        </w:rPr>
        <w:t xml:space="preserve">survives dropping the</w:t>
      </w:r>
      <w:r>
        <w:rPr>
          <w:b/>
          <w:bCs/>
        </w:rPr>
        <w:t xml:space="preserve"> </w:t>
      </w:r>
      <w:r>
        <w:rPr>
          <w:b/>
          <w:bCs/>
        </w:rPr>
        <w:t xml:space="preserve">contested juvenile proxies</w:t>
      </w:r>
      <w:r>
        <w:t xml:space="preserve">, and is</w:t>
      </w:r>
      <w:r>
        <w:t xml:space="preserve"> </w:t>
      </w:r>
      <w:r>
        <w:rPr>
          <w:b/>
          <w:bCs/>
        </w:rPr>
        <w:t xml:space="preserve">larger at the decision-relevant unit</w:t>
      </w:r>
      <w:r>
        <w:t xml:space="preserve"> </w:t>
      </w:r>
      <w:r>
        <w:t xml:space="preserve">(category/binary) than</w:t>
      </w:r>
      <w:r>
        <w:t xml:space="preserve"> </w:t>
      </w:r>
      <w:r>
        <w:t xml:space="preserve">at the raw decile. Point-by-point below.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“Legitimate features”</w:t>
      </w:r>
      <w:r>
        <w:rPr>
          <w:b/>
          <w:bCs/>
        </w:rPr>
        <w:t xml:space="preserve"> </w:t>
      </w:r>
      <w:r>
        <w:rPr>
          <w:b/>
          <w:bCs/>
        </w:rPr>
        <w:t xml:space="preserve">need stronger justification; distinguish available / unavailable /</w:t>
      </w:r>
      <w:r>
        <w:rPr>
          <w:b/>
          <w:bCs/>
        </w:rPr>
        <w:t xml:space="preserve"> </w:t>
      </w:r>
      <w:r>
        <w:rPr>
          <w:b/>
          <w:bCs/>
        </w:rPr>
        <w:t xml:space="preserve">contested; explain the low multicollinearity.</w:t>
      </w:r>
      <w:r>
        <w:t xml:space="preserve"> </w:t>
      </w:r>
      <w:r>
        <w:t xml:space="preserve">Accepted. (a) We now state explicitly that the choice of legitimate features is normative and that</w:t>
      </w:r>
      <w:r>
        <w:t xml:space="preserve"> </w:t>
      </w:r>
      <w:r>
        <w:rPr>
          <w:i/>
          <w:iCs/>
        </w:rPr>
        <w:t xml:space="preserve">data availability cannot substitute for legal justification</w:t>
      </w:r>
      <w:r>
        <w:t xml:space="preserve">, and we introduce the three-way</w:t>
      </w:r>
      <w:r>
        <w:t xml:space="preserve"> </w:t>
      </w:r>
      <w:r>
        <w:t xml:space="preserve">distinction the reviewer proposes — legitimate-and-available, legitimate-but-unavailable (the COMPAS</w:t>
      </w:r>
      <w:r>
        <w:t xml:space="preserve"> </w:t>
      </w:r>
      <w:r>
        <w:t xml:space="preserve">substance-use / education / employment items absent from the public file), and available-but-contested</w:t>
      </w:r>
      <w:r>
        <w:t xml:space="preserve"> </w:t>
      </w:r>
      <w:r>
        <w:t xml:space="preserve">(§Limitations, rewritten). (b) The new §Robustness shows the result does not hinge on the particular</w:t>
      </w:r>
      <w:r>
        <w:t xml:space="preserve"> </w:t>
      </w:r>
      <w:r>
        <w:t xml:space="preserve">6-feature set. (c) On multicollinearity: we now explain that the three juvenile counts are</w:t>
      </w:r>
      <w:r>
        <w:t xml:space="preserve"> </w:t>
      </w:r>
      <w:r>
        <w:rPr>
          <w:i/>
          <w:iCs/>
        </w:rPr>
        <w:t xml:space="preserve">mutually</w:t>
      </w:r>
      <w:r>
        <w:rPr>
          <w:i/>
          <w:iCs/>
        </w:rPr>
        <w:t xml:space="preserve"> </w:t>
      </w:r>
      <w:r>
        <w:rPr>
          <w:i/>
          <w:iCs/>
        </w:rPr>
        <w:t xml:space="preserve">exclusive</w:t>
      </w:r>
      <w:r>
        <w:t xml:space="preserve"> </w:t>
      </w:r>
      <w:r>
        <w:t xml:space="preserve">charge classes and</w:t>
      </w:r>
      <w:r>
        <w:t xml:space="preserve"> </w:t>
      </w:r>
      <w:r>
        <w:rPr>
          <w:rStyle w:val="VerbatimChar"/>
        </w:rPr>
        <w:t xml:space="preserve">priors_count</w:t>
      </w:r>
      <w:r>
        <w:t xml:space="preserve"> </w:t>
      </w:r>
      <w:r>
        <w:t xml:space="preserve">is adult priors, so the features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rather</w:t>
      </w:r>
      <w:r>
        <w:t xml:space="preserve"> </w:t>
      </w:r>
      <w:r>
        <w:t xml:space="preserve">than duplicate prior conduct — hence the low condition number (2.65) — and Mahalanobis de-correlates</w:t>
      </w:r>
      <w:r>
        <w:t xml:space="preserve"> </w:t>
      </w:r>
      <w:r>
        <w:t xml:space="preserve">any residual dependence (§Legitimate-feature space).</w:t>
      </w:r>
    </w:p>
    <w:p>
      <w:pPr>
        <w:pStyle w:val="BodyText"/>
      </w:pPr>
      <w:r>
        <w:rPr>
          <w:b/>
          <w:bCs/>
        </w:rPr>
        <w:t xml:space="preserve">2. Some</w:t>
      </w:r>
      <w:r>
        <w:rPr>
          <w:b/>
          <w:bCs/>
        </w:rPr>
        <w:t xml:space="preserve"> </w:t>
      </w:r>
      <w:r>
        <w:rPr>
          <w:b/>
          <w:bCs/>
        </w:rPr>
        <w:t xml:space="preserve">“noncontroversial”</w:t>
      </w:r>
      <w:r>
        <w:rPr>
          <w:b/>
          <w:bCs/>
        </w:rPr>
        <w:t xml:space="preserve"> </w:t>
      </w:r>
      <w:r>
        <w:rPr>
          <w:b/>
          <w:bCs/>
        </w:rPr>
        <w:t xml:space="preserve">factors are in fact contested (prior arrests, juvenile history).</w:t>
      </w:r>
      <w:r>
        <w:t xml:space="preserve"> </w:t>
      </w:r>
      <w:r>
        <w:t xml:space="preserve">Accepted, and this was the most important framing fix. We removed the word</w:t>
      </w:r>
      <w:r>
        <w:t xml:space="preserve"> </w:t>
      </w:r>
      <w:r>
        <w:t xml:space="preserve">“uncontroversial.”</w:t>
      </w:r>
      <w:r>
        <w:t xml:space="preserve"> </w:t>
      </w:r>
      <w:r>
        <w:t xml:space="preserve">The</w:t>
      </w:r>
      <w:r>
        <w:t xml:space="preserve"> </w:t>
      </w:r>
      <w:r>
        <w:t xml:space="preserve">§Limitations paragraph now states that prior/juvenile counts are</w:t>
      </w:r>
      <w:r>
        <w:t xml:space="preserve"> </w:t>
      </w:r>
      <w:r>
        <w:rPr>
          <w:i/>
          <w:iCs/>
        </w:rPr>
        <w:t xml:space="preserve">racially patterned proxies</w:t>
      </w:r>
      <w:r>
        <w:t xml:space="preserve"> </w:t>
      </w:r>
      <w:r>
        <w:t xml:space="preserve">reflecting policing, surveillance, and charging practices, and that controlling on them can</w:t>
      </w:r>
      <w:r>
        <w:t xml:space="preserve"> </w:t>
      </w:r>
      <w:r>
        <w:rPr>
          <w:i/>
          <w:iCs/>
        </w:rPr>
        <w:t xml:space="preserve">understate</w:t>
      </w:r>
      <w:r>
        <w:t xml:space="preserve"> </w:t>
      </w:r>
      <w:r>
        <w:t xml:space="preserve">unfairness by normalizing the disparity. Critically, the robustness table reports the</w:t>
      </w:r>
      <w:r>
        <w:t xml:space="preserve"> </w:t>
      </w:r>
      <w:r>
        <w:rPr>
          <w:b/>
          <w:bCs/>
        </w:rPr>
        <w:t xml:space="preserve">drop-juvenile-counts</w:t>
      </w:r>
      <w:r>
        <w:t xml:space="preserve"> </w:t>
      </w:r>
      <w:r>
        <w:t xml:space="preserve">specification (LBI 1.038, CI excludes 1): the signal is not an artefact of</w:t>
      </w:r>
      <w:r>
        <w:t xml:space="preserve"> </w:t>
      </w:r>
      <w:r>
        <w:t xml:space="preserve">those contested controls.</w:t>
      </w:r>
    </w:p>
    <w:p>
      <w:pPr>
        <w:pStyle w:val="BodyText"/>
      </w:pPr>
      <w:r>
        <w:rPr>
          <w:b/>
          <w:bCs/>
        </w:rPr>
        <w:t xml:space="preserve">3. Describe more cautiously what LBI can and cannot prove; it is protected-attribute-focused, not</w:t>
      </w:r>
      <w:r>
        <w:rPr>
          <w:b/>
          <w:bCs/>
        </w:rPr>
        <w:t xml:space="preserve"> </w:t>
      </w:r>
      <w:r>
        <w:rPr>
          <w:b/>
          <w:bCs/>
        </w:rPr>
        <w:t xml:space="preserve">classic individual fairness.</w:t>
      </w:r>
      <w:r>
        <w:t xml:space="preserve"> </w:t>
      </w:r>
      <w:r>
        <w:t xml:space="preserve">Accepted throughout. The intro now calls LBI a</w:t>
      </w:r>
      <w:r>
        <w:t xml:space="preserve"> </w:t>
      </w:r>
      <w:r>
        <w:t xml:space="preserve">“diagnostic”</w:t>
      </w:r>
      <w:r>
        <w:t xml:space="preserve">; the</w:t>
      </w:r>
      <w:r>
        <w:t xml:space="preserve"> </w:t>
      </w:r>
      <w:r>
        <w:t xml:space="preserve">“case-level fair by construction”</w:t>
      </w:r>
      <w:r>
        <w:t xml:space="preserve"> </w:t>
      </w:r>
      <w:r>
        <w:t xml:space="preserve">passage is rewritten to state that a matched-pair disparity is</w:t>
      </w:r>
      <w:r>
        <w:t xml:space="preserve"> </w:t>
      </w:r>
      <w:r>
        <w:t xml:space="preserve">“a diagnostic signal requiring further</w:t>
      </w:r>
      <w:r>
        <w:t xml:space="preserve"> </w:t>
      </w:r>
      <w:r>
        <w:t xml:space="preserve">investigation, not by itself proof of legal unfairness”</w:t>
      </w:r>
      <w:r>
        <w:t xml:space="preserve">; the ratio subsection no longer claims to</w:t>
      </w:r>
      <w:r>
        <w:t xml:space="preserve"> </w:t>
      </w:r>
      <w:r>
        <w:t xml:space="preserve">“isolate the marginal contribution”</w:t>
      </w:r>
      <w:r>
        <w:t xml:space="preserve"> </w:t>
      </w:r>
      <w:r>
        <w:t xml:space="preserve">(see #7); and §Robustness closes by re-framing LBI as a</w:t>
      </w:r>
      <w:r>
        <w:t xml:space="preserve"> </w:t>
      </w:r>
      <w:r>
        <w:t xml:space="preserve">conditional matched-comparison diagnostic. We also note it measures the</w:t>
      </w:r>
      <w:r>
        <w:t xml:space="preserve"> </w:t>
      </w:r>
      <w:r>
        <w:rPr>
          <w:i/>
          <w:iCs/>
        </w:rPr>
        <w:t xml:space="preserve">protected-attribute-focused</w:t>
      </w:r>
      <w:r>
        <w:t xml:space="preserve"> </w:t>
      </w:r>
      <w:r>
        <w:t xml:space="preserve">slice of individual fairness (similar on selected predictors, differing on the protected attribute),</w:t>
      </w:r>
      <w:r>
        <w:t xml:space="preserve"> </w:t>
      </w:r>
      <w:r>
        <w:t xml:space="preserve">not the full Lipschitz notion.</w:t>
      </w:r>
    </w:p>
    <w:p>
      <w:pPr>
        <w:pStyle w:val="BodyText"/>
      </w:pPr>
      <w:r>
        <w:rPr>
          <w:b/>
          <w:bCs/>
        </w:rPr>
        <w:t xml:space="preserve">4. Clarify whether LBI detects direct discrimination, proxy discrimination, or unexplained</w:t>
      </w:r>
      <w:r>
        <w:rPr>
          <w:b/>
          <w:bCs/>
        </w:rPr>
        <w:t xml:space="preserve"> </w:t>
      </w:r>
      <w:r>
        <w:rPr>
          <w:b/>
          <w:bCs/>
        </w:rPr>
        <w:t xml:space="preserve">disparity.</w:t>
      </w:r>
      <w:r>
        <w:t xml:space="preserve"> </w:t>
      </w:r>
      <w:r>
        <w:t xml:space="preserve">Accepted. We now state that a high LBI is a</w:t>
      </w:r>
      <w:r>
        <w:t xml:space="preserve"> </w:t>
      </w:r>
      <w:r>
        <w:rPr>
          <w:i/>
          <w:iCs/>
        </w:rPr>
        <w:t xml:space="preserve">screening signal</w:t>
      </w:r>
      <w:r>
        <w:t xml:space="preserve"> </w:t>
      </w:r>
      <w:r>
        <w:t xml:space="preserve">that does not self-interpret: it flags</w:t>
      </w:r>
      <w:r>
        <w:t xml:space="preserve"> </w:t>
      </w:r>
      <w:r>
        <w:t xml:space="preserve">that legitimately-matched defendants receive different outputs, but distinguishing direct use of race,</w:t>
      </w:r>
      <w:r>
        <w:t xml:space="preserve"> </w:t>
      </w:r>
      <w:r>
        <w:t xml:space="preserve">proxy encoding, or omitted-variable imbalance requires further, causal investigation (the</w:t>
      </w:r>
      <w:r>
        <w:t xml:space="preserve"> </w:t>
      </w:r>
      <w:r>
        <w:t xml:space="preserve">“Causal disentanglement”</w:t>
      </w:r>
      <w:r>
        <w:t xml:space="preserve"> </w:t>
      </w:r>
      <w:r>
        <w:t xml:space="preserve">limitation is retained and cross-referenced from the reframed passages).</w:t>
      </w:r>
    </w:p>
    <w:p>
      <w:pPr>
        <w:pStyle w:val="BodyText"/>
      </w:pPr>
      <w:r>
        <w:rPr>
          <w:b/>
          <w:bCs/>
        </w:rPr>
        <w:t xml:space="preserve">5. Distinguish risk scores from risk classifications; correct the Northpointe characterization.</w:t>
      </w:r>
      <w:r>
        <w:t xml:space="preserve"> </w:t>
      </w:r>
      <w:r>
        <w:t xml:space="preserve">Accepted. (a) We corrected the Northpointe characterization to</w:t>
      </w:r>
      <w:r>
        <w:t xml:space="preserve"> </w:t>
      </w:r>
      <w:r>
        <w:rPr>
          <w:b/>
          <w:bCs/>
        </w:rPr>
        <w:t xml:space="preserve">predictive parity</w:t>
      </w:r>
      <w:r>
        <w:t xml:space="preserve"> </w:t>
      </w:r>
      <w:r>
        <w:t xml:space="preserve">(equal precision</w:t>
      </w:r>
      <w:r>
        <w:t xml:space="preserve"> </w:t>
      </w:r>
      <w:r>
        <w:t xml:space="preserve">among those</w:t>
      </w:r>
      <w:r>
        <w:t xml:space="preserve"> </w:t>
      </w:r>
      <w:r>
        <w:rPr>
          <w:i/>
          <w:iCs/>
        </w:rPr>
        <w:t xml:space="preserve">classified</w:t>
      </w:r>
      <w:r>
        <w:t xml:space="preserve"> </w:t>
      </w:r>
      <w:r>
        <w:t xml:space="preserve">high-risk),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per-score calibration, in</w:t>
      </w:r>
      <w:r>
        <w:t xml:space="preserve"> </w:t>
      </w:r>
      <w:r>
        <w:rPr>
          <w:b/>
          <w:bCs/>
        </w:rPr>
        <w:t xml:space="preserve">all five places</w:t>
      </w:r>
      <w:r>
        <w:t xml:space="preserve"> </w:t>
      </w:r>
      <w:r>
        <w:t xml:space="preserve">it appears —</w:t>
      </w:r>
      <w:r>
        <w:t xml:space="preserve"> </w:t>
      </w:r>
      <w:r>
        <w:t xml:space="preserve">the abstract, introduction ¶1, §2.1, §2.2, and §4.3 — using consistent threshold-PPV phrasing</w:t>
      </w:r>
      <w:r>
        <w:t xml:space="preserve"> </w:t>
      </w:r>
      <w:r>
        <w:t xml:space="preserve">(</w:t>
      </w:r>
      <w:r>
        <w:t xml:space="preserve">“among defendants it classifies high-risk”</w:t>
      </w:r>
      <w:r>
        <w:t xml:space="preserve">). The summary table row is relabelled from</w:t>
      </w:r>
      <w:r>
        <w:t xml:space="preserve"> </w:t>
      </w:r>
      <w:r>
        <w:t xml:space="preserve">“Calibration</w:t>
      </w:r>
      <w:r>
        <w:t xml:space="preserve"> </w:t>
      </w:r>
      <w:r>
        <w:t xml:space="preserve">gap at high decile”</w:t>
      </w:r>
      <w:r>
        <w:t xml:space="preserve"> </w:t>
      </w:r>
      <w:r>
        <w:t xml:space="preserve">to</w:t>
      </w:r>
      <w:r>
        <w:t xml:space="preserve"> </w:t>
      </w:r>
      <w:r>
        <w:t xml:space="preserve">“Predictive-parity gap, P(recid | high).”</w:t>
      </w:r>
      <w:r>
        <w:t xml:space="preserve"> </w:t>
      </w:r>
      <w:r>
        <w:t xml:space="preserve">(b) On scores vs</w:t>
      </w:r>
      <w:r>
        <w:t xml:space="preserve"> </w:t>
      </w:r>
      <w:r>
        <w:t xml:space="preserve">categories: the new §Robustness computes LBI on the 3-category (low/med/high) mapping and the binary</w:t>
      </w:r>
      <w:r>
        <w:t xml:space="preserve"> </w:t>
      </w:r>
      <w:r>
        <w:t xml:space="preserve">high-risk classification. Far from being practically insignificant, the disparity is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at the</w:t>
      </w:r>
      <w:r>
        <w:t xml:space="preserve"> </w:t>
      </w:r>
      <w:r>
        <w:t xml:space="preserve">decision unit (1.066 category, 1.090 binary), which we take as evidence the finding is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legally</w:t>
      </w:r>
      <w:r>
        <w:t xml:space="preserve"> </w:t>
      </w:r>
      <w:r>
        <w:t xml:space="preserve">salient at the threshold, not less.</w:t>
      </w:r>
    </w:p>
    <w:p>
      <w:pPr>
        <w:pStyle w:val="BodyText"/>
      </w:pPr>
      <w:r>
        <w:rPr>
          <w:b/>
          <w:bCs/>
        </w:rPr>
        <w:t xml:space="preserve">6. Statistical descriptions.</w:t>
      </w:r>
      <w:r>
        <w:t xml:space="preserve"> </w:t>
      </w:r>
      <w:r>
        <w:t xml:space="preserve">All accepted. (a) FPR is no longer described as the</w:t>
      </w:r>
      <w:r>
        <w:t xml:space="preserve"> </w:t>
      </w:r>
      <w:r>
        <w:t xml:space="preserve">“mirror”</w:t>
      </w:r>
      <w:r>
        <w:t xml:space="preserve"> </w:t>
      </w:r>
      <w:r>
        <w:t xml:space="preserve">of FNR; we now note they are distinct</w:t>
      </w:r>
      <w:r>
        <w:t xml:space="preserve"> </w:t>
      </w:r>
      <w:r>
        <w:t xml:space="preserve">rates on different denominators (FPR complements TNR, FNR complements TPR). (b) Demographic parity is</w:t>
      </w:r>
      <w:r>
        <w:t xml:space="preserve"> </w:t>
      </w:r>
      <w:r>
        <w:t xml:space="preserve">softened from</w:t>
      </w:r>
      <w:r>
        <w:t xml:space="preserve"> </w:t>
      </w:r>
      <w:r>
        <w:t xml:space="preserve">“prohibits”</w:t>
      </w:r>
      <w:r>
        <w:t xml:space="preserve"> </w:t>
      </w:r>
      <w:r>
        <w:t xml:space="preserve">to</w:t>
      </w:r>
      <w:r>
        <w:t xml:space="preserve"> </w:t>
      </w:r>
      <w:r>
        <w:t xml:space="preserve">“generally in tension with”</w:t>
      </w:r>
      <w:r>
        <w:t xml:space="preserve"> </w:t>
      </w:r>
      <w:r>
        <w:t xml:space="preserve">using correlated legitimate predictors, with</w:t>
      </w:r>
      <w:r>
        <w:t xml:space="preserve"> </w:t>
      </w:r>
      <w:r>
        <w:t xml:space="preserve">the note that the correlation can be offset by design. (c) Predictive parity and calibration are now</w:t>
      </w:r>
      <w:r>
        <w:t xml:space="preserve"> </w:t>
      </w:r>
      <w:r>
        <w:t xml:space="preserve">separated: calibration is written score-level as</w:t>
      </w:r>
      <w:r>
        <w:t xml:space="preserve"> </w:t>
      </w:r>
      <w:r>
        <w:rPr>
          <w:rStyle w:val="VerbatimChar"/>
        </w:rPr>
        <w:t xml:space="preserve">Pr(Y=1 | S=s, A=a)</w:t>
      </w:r>
      <w:r>
        <w:t xml:space="preserve"> </w:t>
      </w:r>
      <w:r>
        <w:t xml:space="preserve">and predictive parity as the</w:t>
      </w:r>
      <w:r>
        <w:t xml:space="preserve"> </w:t>
      </w:r>
      <w:r>
        <w:t xml:space="preserve">threshold PPV condition, per Chouldechova (2017).</w:t>
      </w:r>
    </w:p>
    <w:p>
      <w:pPr>
        <w:pStyle w:val="BodyText"/>
      </w:pPr>
      <w:r>
        <w:rPr>
          <w:b/>
          <w:bCs/>
        </w:rPr>
        <w:t xml:space="preserve">7. The ratio’s inferential significance may be overstated.</w:t>
      </w:r>
      <w:r>
        <w:t xml:space="preserve"> </w:t>
      </w:r>
      <w:r>
        <w:t xml:space="preserve">Accepted. The ratio subsection now says it</w:t>
      </w:r>
      <w:r>
        <w:t xml:space="preserve"> </w:t>
      </w:r>
      <w:r>
        <w:t xml:space="preserve">“quotients out sensitivity to the</w:t>
      </w:r>
      <w:r>
        <w:t xml:space="preserve"> </w:t>
      </w:r>
      <w:r>
        <w:rPr>
          <w:i/>
          <w:iCs/>
        </w:rPr>
        <w:t xml:space="preserve">selected</w:t>
      </w:r>
      <w:r>
        <w:t xml:space="preserve"> </w:t>
      </w:r>
      <w:r>
        <w:t xml:space="preserve">legitimate</w:t>
      </w:r>
      <w:r>
        <w:t xml:space="preserve"> </w:t>
      </w:r>
      <w:r>
        <w:t xml:space="preserve">predictors”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by itself isolate the marginal causal contribution of the protected</w:t>
      </w:r>
      <w:r>
        <w:t xml:space="preserve"> </w:t>
      </w:r>
      <w:r>
        <w:t xml:space="preserve">attribute,”</w:t>
      </w:r>
      <w:r>
        <w:t xml:space="preserve"> </w:t>
      </w:r>
      <w:r>
        <w:t xml:space="preserve">which holds</w:t>
      </w:r>
      <w:r>
        <w:t xml:space="preserve"> </w:t>
      </w:r>
      <w:r>
        <w:t xml:space="preserve">“only to the extent that the matching features are a sufficiently complete and</w:t>
      </w:r>
      <w:r>
        <w:t xml:space="preserve"> </w:t>
      </w:r>
      <w:r>
        <w:t xml:space="preserve">legally defensible account of relevant similarity.”</w:t>
      </w:r>
      <w:r>
        <w:t xml:space="preserve"> </w:t>
      </w:r>
      <w:r>
        <w:t xml:space="preserve">§Robustness provides the empirical counterpart.</w:t>
      </w:r>
    </w:p>
    <w:p>
      <w:pPr>
        <w:pStyle w:val="BodyText"/>
      </w:pPr>
      <w:r>
        <w:rPr>
          <w:b/>
          <w:bCs/>
        </w:rPr>
        <w:t xml:space="preserve">8. Qualify the Legal Invariance Principle.</w:t>
      </w:r>
      <w:r>
        <w:t xml:space="preserve"> </w:t>
      </w:r>
      <w:r>
        <w:t xml:space="preserve">Accepted. The §Judicial-Complex bridge now adds two qualifications: (i) k-NN holds fixed only the</w:t>
      </w:r>
      <w:r>
        <w:t xml:space="preserve"> </w:t>
      </w:r>
      <w:r>
        <w:rPr>
          <w:i/>
          <w:iCs/>
        </w:rPr>
        <w:t xml:space="preserve">selected</w:t>
      </w:r>
      <w:r>
        <w:t xml:space="preserve"> </w:t>
      </w:r>
      <w:r>
        <w:t xml:space="preserve">legitimate features, so the LIP as measured is conditional on the matching set (with</w:t>
      </w:r>
      <w:r>
        <w:t xml:space="preserve"> </w:t>
      </w:r>
      <w:r>
        <w:t xml:space="preserve">§Robustness testing sensitivity); (ii)</w:t>
      </w:r>
      <w:r>
        <w:t xml:space="preserve"> </w:t>
      </w:r>
      <w:r>
        <w:t xml:space="preserve">“legally irrelevant”</w:t>
      </w:r>
      <w:r>
        <w:t xml:space="preserve"> </w:t>
      </w:r>
      <w:r>
        <w:t xml:space="preserve">is attribute-specific — for sex and</w:t>
      </w:r>
      <w:r>
        <w:t xml:space="preserve"> </w:t>
      </w:r>
      <w:r>
        <w:t xml:space="preserve">citizenship, courts have upheld express differential treatment in risk tools, so a nonzero LBI on</w:t>
      </w:r>
      <w:r>
        <w:t xml:space="preserve"> </w:t>
      </w:r>
      <w:r>
        <w:t xml:space="preserve">those attributes is not automatically a defect, and we report LBI(sex) as a comparison, not a</w:t>
      </w:r>
      <w:r>
        <w:t xml:space="preserve"> </w:t>
      </w:r>
      <w:r>
        <w:t xml:space="preserve">violation. We also note k-NN is not assumption-free (matching set, metric, scaling, k), and interpret</w:t>
      </w:r>
      <w:r>
        <w:t xml:space="preserve"> </w:t>
      </w:r>
      <w:r>
        <w:t xml:space="preserve">k-stability cautiously.</w:t>
      </w:r>
    </w:p>
    <w:p>
      <w:pPr>
        <w:pStyle w:val="BodyText"/>
      </w:pPr>
      <w:r>
        <w:rPr>
          <w:b/>
          <w:bCs/>
        </w:rPr>
        <w:t xml:space="preserve">9. Contextualize the single-number preference.</w:t>
      </w:r>
      <w:r>
        <w:t xml:space="preserve"> </w:t>
      </w:r>
      <w:r>
        <w:t xml:space="preserve">Accepted. The Discussion now states that scalar simplicity is a reporting convenience, not an</w:t>
      </w:r>
      <w:r>
        <w:t xml:space="preserve"> </w:t>
      </w:r>
      <w:r>
        <w:t xml:space="preserve">epistemic virtue, and that case-level fairness may vary by offence type, decision point, or assessment</w:t>
      </w:r>
      <w:r>
        <w:t xml:space="preserve"> </w:t>
      </w:r>
      <w:r>
        <w:t xml:space="preserve">window — so LBI is best read as a screening index to be disaggregated when it fires, not a substitute</w:t>
      </w:r>
      <w:r>
        <w:t xml:space="preserve"> </w:t>
      </w:r>
      <w:r>
        <w:t xml:space="preserve">for the fuller metric panel.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The robustness analysis is</w:t>
      </w:r>
      <w:r>
        <w:t xml:space="preserve"> </w:t>
      </w:r>
      <w:r>
        <w:rPr>
          <w:rStyle w:val="VerbatimChar"/>
        </w:rPr>
        <w:t xml:space="preserve">ablation_lbi.py</w:t>
      </w:r>
      <w:r>
        <w:t xml:space="preserve"> </w:t>
      </w:r>
      <w:r>
        <w:t xml:space="preserve">(public ProPublica file, same</w:t>
      </w:r>
      <w:r>
        <w:t xml:space="preserve"> </w:t>
      </w:r>
      <w:r>
        <w:t xml:space="preserve">Mahalanobis k-NN estimator as</w:t>
      </w:r>
      <w:r>
        <w:t xml:space="preserve"> </w:t>
      </w:r>
      <w:r>
        <w:rPr>
          <w:rStyle w:val="VerbatimChar"/>
        </w:rPr>
        <w:t xml:space="preserve">lbi_compas_analysis.py</w:t>
      </w:r>
      <w:r>
        <w:t xml:space="preserve">); output in</w:t>
      </w:r>
      <w:r>
        <w:t xml:space="preserve"> </w:t>
      </w:r>
      <w:r>
        <w:rPr>
          <w:rStyle w:val="VerbatimChar"/>
        </w:rPr>
        <w:t xml:space="preserve">outputs/ablation_lbi_results.txt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fc8157ad328abc12ad8ee55ec7d9422b18ae7d8"/>
    <w:p>
      <w:pPr>
        <w:pStyle w:val="Heading2"/>
      </w:pPr>
      <w:r>
        <w:t xml:space="preserve">Second-pass corrections (landing the letter fully in the manuscript)</w:t>
      </w:r>
    </w:p>
    <w:p>
      <w:pPr>
        <w:pStyle w:val="FirstParagraph"/>
      </w:pPr>
      <w:r>
        <w:t xml:space="preserve">A second read confirmed several fixes promised above needed to be carried into the</w:t>
      </w:r>
      <w:r>
        <w:t xml:space="preserve"> </w:t>
      </w:r>
      <w:r>
        <w:rPr>
          <w:i/>
          <w:iCs/>
        </w:rPr>
        <w:t xml:space="preserve">abstract and</w:t>
      </w:r>
      <w:r>
        <w:rPr>
          <w:i/>
          <w:iCs/>
        </w:rPr>
        <w:t xml:space="preserve"> </w:t>
      </w:r>
      <w:r>
        <w:rPr>
          <w:i/>
          <w:iCs/>
        </w:rPr>
        <w:t xml:space="preserve">introduction</w:t>
      </w:r>
      <w:r>
        <w:t xml:space="preserve"> </w:t>
      </w:r>
      <w:r>
        <w:t xml:space="preserve">specifically (the most-read paragraphs), and surfaced one technical error: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Northpointe / predictive parity</w:t>
      </w:r>
      <w:r>
        <w:t xml:space="preserve"> </w:t>
      </w:r>
      <w:r>
        <w:t xml:space="preserve">is now fixed in all five occurrences (abstract, intro ¶1, §2.1,</w:t>
      </w:r>
      <w:r>
        <w:t xml:space="preserve"> </w:t>
      </w:r>
      <w:r>
        <w:t xml:space="preserve">§2.2, §4.3), including the abstract, which previously attached the right term to the score-level</w:t>
      </w:r>
      <w:r>
        <w:t xml:space="preserve"> </w:t>
      </w:r>
      <w:r>
        <w:t xml:space="preserve">(calibration) definition.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Abstract narrowed:</w:t>
      </w:r>
      <w:r>
        <w:t xml:space="preserve"> </w:t>
      </w:r>
      <w:r>
        <w:t xml:space="preserve">“case-level</w:t>
      </w:r>
      <w:r>
        <w:t xml:space="preserve"> </w:t>
      </w:r>
      <w:r>
        <w:rPr>
          <w:i/>
          <w:iCs/>
        </w:rPr>
        <w:t xml:space="preserve">test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“case-level</w:t>
      </w:r>
      <w:r>
        <w:t xml:space="preserve"> </w:t>
      </w:r>
      <w:r>
        <w:rPr>
          <w:i/>
          <w:iCs/>
        </w:rPr>
        <w:t xml:space="preserve">diagnostic</w:t>
      </w:r>
      <w:r>
        <w:t xml:space="preserve">”</w:t>
      </w:r>
      <w:r>
        <w:t xml:space="preserve">;</w:t>
      </w:r>
      <w:r>
        <w:t xml:space="preserve"> </w:t>
      </w:r>
      <w:r>
        <w:t xml:space="preserve">“individually-similar”</w:t>
      </w:r>
      <w:r>
        <w:t xml:space="preserve"> </w:t>
      </w:r>
      <w:r>
        <w:t xml:space="preserve">→</w:t>
      </w:r>
      <w:r>
        <w:t xml:space="preserve"> </w:t>
      </w:r>
      <w:r>
        <w:t xml:space="preserve">“similar on selected legitimate predictors”</w:t>
      </w:r>
      <w:r>
        <w:t xml:space="preserve">;</w:t>
      </w:r>
      <w:r>
        <w:t xml:space="preserve"> </w:t>
      </w:r>
      <w:r>
        <w:t xml:space="preserve">“The answer for COMPAS is</w:t>
      </w:r>
      <w:r>
        <w:t xml:space="preserve"> </w:t>
      </w:r>
      <w:r>
        <w:rPr>
          <w:i/>
          <w:iCs/>
        </w:rPr>
        <w:t xml:space="preserve">no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“a robust case-level</w:t>
      </w:r>
      <w:r>
        <w:t xml:space="preserve"> </w:t>
      </w:r>
      <w:r>
        <w:rPr>
          <w:i/>
          <w:iCs/>
        </w:rPr>
        <w:t xml:space="preserve">disparity</w:t>
      </w:r>
      <w:r>
        <w:t xml:space="preserve">”</w:t>
      </w:r>
      <w:r>
        <w:t xml:space="preserve">; and a sentence on the robustness result (survives dropping juvenile controls;</w:t>
      </w:r>
      <w:r>
        <w:t xml:space="preserve"> </w:t>
      </w:r>
      <w:r>
        <w:t xml:space="preserve">LBI = 1.090 at the binary threshold) now appears, with an explicit</w:t>
      </w:r>
      <w:r>
        <w:t xml:space="preserve"> </w:t>
      </w:r>
      <w:r>
        <w:t xml:space="preserve">“diagnostic to be investigated,</w:t>
      </w:r>
      <w:r>
        <w:t xml:space="preserve"> </w:t>
      </w:r>
      <w:r>
        <w:t xml:space="preserve">not a proof of legal unfairness”</w:t>
      </w:r>
      <w:r>
        <w:t xml:space="preserve"> </w:t>
      </w:r>
      <w:r>
        <w:t xml:space="preserve">clause.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k-NN is not assumption-free (§3.2):</w:t>
      </w:r>
      <w:r>
        <w:t xml:space="preserve"> </w:t>
      </w:r>
      <w:r>
        <w:t xml:space="preserve">added that the assumptions are</w:t>
      </w:r>
      <w:r>
        <w:t xml:space="preserve"> </w:t>
      </w:r>
      <w:r>
        <w:rPr>
          <w:i/>
          <w:iCs/>
        </w:rPr>
        <w:t xml:space="preserve">shifted</w:t>
      </w:r>
      <w:r>
        <w:t xml:space="preserve"> </w:t>
      </w:r>
      <w:r>
        <w:t xml:space="preserve">to the matching</w:t>
      </w:r>
      <w:r>
        <w:t xml:space="preserve"> </w:t>
      </w:r>
      <w:r>
        <w:t xml:space="preserve">set, metric, scaling, and k; and that persistent scale-invariance is equally consistent with a</w:t>
      </w:r>
      <w:r>
        <w:t xml:space="preserve"> </w:t>
      </w:r>
      <w:r>
        <w:t xml:space="preserve">persistent omitted-variable imbalance as with a genuine case-level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Corrected a limit statement (§5.3):</w:t>
      </w:r>
      <w:r>
        <w:t xml:space="preserve"> </w:t>
      </w:r>
      <w:r>
        <w:t xml:space="preserve">under perfect counterfactual fairness LBI →</w:t>
      </w:r>
      <w:r>
        <w:t xml:space="preserve"> </w:t>
      </w:r>
      <w:r>
        <w:rPr>
          <w:b/>
          <w:bCs/>
        </w:rPr>
        <w:t xml:space="preserve">1</w:t>
      </w:r>
      <w:r>
        <w:t xml:space="preserve">, not 0</w:t>
      </w:r>
      <w:r>
        <w:t xml:space="preserve"> </w:t>
      </w:r>
      <w:r>
        <w:t xml:space="preserve">(cross-group gaps approach same-group gaps); the previous</w:t>
      </w:r>
      <w:r>
        <w:t xml:space="preserve"> </w:t>
      </w:r>
      <w:r>
        <w:t xml:space="preserve">“→ 0”</w:t>
      </w:r>
      <w:r>
        <w:t xml:space="preserve"> </w:t>
      </w:r>
      <w:r>
        <w:t xml:space="preserve">was backwards.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Smaller items:</w:t>
      </w:r>
      <w:r>
        <w:t xml:space="preserve"> </w:t>
      </w:r>
      <w:r>
        <w:t xml:space="preserve">added a</w:t>
      </w:r>
      <w:r>
        <w:t xml:space="preserve"> </w:t>
      </w:r>
      <w:r>
        <w:rPr>
          <w:i/>
          <w:iCs/>
        </w:rPr>
        <w:t xml:space="preserve">State v. Loomis</w:t>
      </w:r>
      <w:r>
        <w:t xml:space="preserve"> </w:t>
      </w:r>
      <w:r>
        <w:t xml:space="preserve">(881 N.W.2d 749) citation for judicial engagement with</w:t>
      </w:r>
      <w:r>
        <w:t xml:space="preserve"> </w:t>
      </w:r>
      <w:r>
        <w:t xml:space="preserve">the inputs (§4.2); noted the permutation null’s 500-subsample dispersion makes the significance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 </w:t>
      </w:r>
      <w:r>
        <w:t xml:space="preserve">(§4.5); explained the sex-control row (within-sex matching removes cross-sex dilution,</w:t>
      </w:r>
      <w:r>
        <w:t xml:space="preserve"> </w:t>
      </w:r>
      <w:r>
        <w:t xml:space="preserve">1.050 → 1.060; §Robustness); and reframed the §7.2 threshold reference points as</w:t>
      </w:r>
      <w:r>
        <w:t xml:space="preserve"> </w:t>
      </w:r>
      <w:r>
        <w:t xml:space="preserve">“descriptive</w:t>
      </w:r>
      <w:r>
        <w:t xml:space="preserve"> </w:t>
      </w:r>
      <w:r>
        <w:t xml:space="preserve">anchors, for orientation, not proposal.”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author decision:</w:t>
      </w:r>
      <w:r>
        <w:t xml:space="preserve"> </w:t>
      </w:r>
      <w:r>
        <w:t xml:space="preserve">the Wilson-loop paragraph and the two companion citations (one an</w:t>
      </w:r>
      <w:r>
        <w:t xml:space="preserve"> </w:t>
      </w:r>
      <w:r>
        <w:t xml:space="preserve">economics monograph) may not earn their space with a legal readership;</w:t>
      </w:r>
      <w:r>
        <w:t xml:space="preserve"> </w:t>
      </w:r>
      <w:r>
        <w:t xml:space="preserve">“developed in companion work</w:t>
      </w:r>
      <w:r>
        <w:t xml:space="preserve"> </w:t>
      </w:r>
      <w:r>
        <w:t xml:space="preserve">(in preparation)”</w:t>
      </w:r>
      <w:r>
        <w:t xml:space="preserve"> </w:t>
      </w:r>
      <w:r>
        <w:t xml:space="preserve">would suffice if the author prefers to trim.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2026-07-11T14:25:46Z</dcterms:created>
  <dcterms:modified xsi:type="dcterms:W3CDTF">2026-07-11T14:25:46Z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