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6264" w14:textId="77777777" w:rsidR="009B0938" w:rsidRPr="0014714E" w:rsidRDefault="00000000">
      <w:pPr>
        <w:jc w:val="center"/>
        <w:rPr>
          <w:rFonts w:ascii="Garamond" w:hAnsi="Garamond"/>
        </w:rPr>
      </w:pPr>
      <w:r w:rsidRPr="0014714E">
        <w:rPr>
          <w:rFonts w:ascii="Garamond" w:hAnsi="Garamond"/>
          <w:b/>
          <w:sz w:val="32"/>
        </w:rPr>
        <w:t>Variable Loss Aversion from Geometric Decision Theory:</w:t>
      </w:r>
      <w:r w:rsidRPr="0014714E">
        <w:rPr>
          <w:rFonts w:ascii="Garamond" w:hAnsi="Garamond"/>
          <w:b/>
          <w:sz w:val="32"/>
        </w:rPr>
        <w:br/>
        <w:t>A Zero-Parameter Prediction</w:t>
      </w:r>
    </w:p>
    <w:p w14:paraId="43707F9A" w14:textId="77777777" w:rsidR="009B0938" w:rsidRPr="0014714E" w:rsidRDefault="009B0938">
      <w:pPr>
        <w:rPr>
          <w:rFonts w:ascii="Garamond" w:hAnsi="Garamond"/>
        </w:rPr>
      </w:pPr>
    </w:p>
    <w:p w14:paraId="4DDC18BA" w14:textId="77777777" w:rsidR="009B0938" w:rsidRPr="0014714E" w:rsidRDefault="00000000">
      <w:pPr>
        <w:jc w:val="center"/>
        <w:rPr>
          <w:rFonts w:ascii="Garamond" w:hAnsi="Garamond"/>
        </w:rPr>
      </w:pPr>
      <w:r w:rsidRPr="0014714E">
        <w:rPr>
          <w:rFonts w:ascii="Garamond" w:hAnsi="Garamond"/>
          <w:sz w:val="24"/>
        </w:rPr>
        <w:t>Andrew H. Bond, Sr. Member IEEE</w:t>
      </w:r>
    </w:p>
    <w:p w14:paraId="0FAD72FC" w14:textId="77777777" w:rsidR="009B0938" w:rsidRPr="0014714E" w:rsidRDefault="00000000">
      <w:pPr>
        <w:jc w:val="center"/>
        <w:rPr>
          <w:rFonts w:ascii="Garamond" w:hAnsi="Garamond"/>
        </w:rPr>
      </w:pPr>
      <w:r w:rsidRPr="0014714E">
        <w:rPr>
          <w:rFonts w:ascii="Garamond" w:hAnsi="Garamond"/>
          <w:color w:val="505050"/>
        </w:rPr>
        <w:t>Department of Computer Engineering</w:t>
      </w:r>
      <w:r w:rsidRPr="0014714E">
        <w:rPr>
          <w:rFonts w:ascii="Garamond" w:hAnsi="Garamond"/>
          <w:color w:val="505050"/>
        </w:rPr>
        <w:br/>
        <w:t>San José State University</w:t>
      </w:r>
      <w:r w:rsidRPr="0014714E">
        <w:rPr>
          <w:rFonts w:ascii="Garamond" w:hAnsi="Garamond"/>
          <w:color w:val="505050"/>
        </w:rPr>
        <w:br/>
        <w:t>San José, CA, USA</w:t>
      </w:r>
    </w:p>
    <w:p w14:paraId="0C20F81B" w14:textId="77777777" w:rsidR="009B0938" w:rsidRPr="0014714E" w:rsidRDefault="00000000">
      <w:pPr>
        <w:jc w:val="center"/>
        <w:rPr>
          <w:rFonts w:ascii="Garamond" w:hAnsi="Garamond"/>
        </w:rPr>
      </w:pPr>
      <w:r w:rsidRPr="0014714E">
        <w:rPr>
          <w:rFonts w:ascii="Garamond" w:hAnsi="Garamond"/>
        </w:rPr>
        <w:t>andrew.bond@sjsu.edu</w:t>
      </w:r>
    </w:p>
    <w:p w14:paraId="67DACD04" w14:textId="77777777" w:rsidR="009B0938" w:rsidRPr="0014714E" w:rsidRDefault="00000000">
      <w:pPr>
        <w:jc w:val="center"/>
        <w:rPr>
          <w:rFonts w:ascii="Garamond" w:hAnsi="Garamond"/>
        </w:rPr>
      </w:pPr>
      <w:r w:rsidRPr="0014714E">
        <w:rPr>
          <w:rFonts w:ascii="Garamond" w:hAnsi="Garamond"/>
        </w:rPr>
        <w:t>ORCID: 0009-0003-2599-6158</w:t>
      </w:r>
    </w:p>
    <w:p w14:paraId="4FF80EE9" w14:textId="77777777" w:rsidR="009B0938" w:rsidRPr="0014714E" w:rsidRDefault="00000000">
      <w:pPr>
        <w:jc w:val="center"/>
        <w:rPr>
          <w:rFonts w:ascii="Garamond" w:hAnsi="Garamond"/>
        </w:rPr>
      </w:pPr>
      <w:r w:rsidRPr="0014714E">
        <w:rPr>
          <w:rFonts w:ascii="Garamond" w:hAnsi="Garamond"/>
          <w:color w:val="646464"/>
        </w:rPr>
        <w:t>March 2026</w:t>
      </w:r>
    </w:p>
    <w:p w14:paraId="7A60CF2B" w14:textId="77777777" w:rsidR="009B0938" w:rsidRPr="0014714E" w:rsidRDefault="00000000">
      <w:pPr>
        <w:rPr>
          <w:rFonts w:ascii="Garamond" w:hAnsi="Garamond"/>
        </w:rPr>
      </w:pPr>
      <w:r w:rsidRPr="0014714E">
        <w:rPr>
          <w:rFonts w:ascii="Garamond" w:hAnsi="Garamond"/>
        </w:rPr>
      </w:r>
    </w:p>
    <w:p w14:paraId="6EF88C3F" w14:textId="77777777" w:rsidR="009B0938" w:rsidRPr="0014714E" w:rsidRDefault="00000000">
      <w:pPr>
        <w:rPr>
          <w:rFonts w:ascii="Garamond" w:hAnsi="Garamond"/>
        </w:rPr>
      </w:pPr>
      <w:r w:rsidRPr="0014714E">
        <w:rPr>
          <w:rFonts w:ascii="Garamond" w:hAnsi="Garamond"/>
          <w:b/>
          <w:sz w:val="24"/>
        </w:rPr>
        <w:t>Abstract</w:t>
      </w:r>
    </w:p>
    <w:p w14:paraId="50292ED1" w14:textId="77777777" w:rsidR="009B0938" w:rsidRPr="0014714E" w:rsidRDefault="00000000">
      <w:pPr>
        <w:rPr>
          <w:rFonts w:ascii="Garamond" w:hAnsi="Garamond"/>
        </w:rPr>
      </w:pPr>
      <w:r w:rsidRPr="0014714E">
        <w:rPr>
          <w:rFonts w:ascii="Garamond" w:hAnsi="Garamond"/>
        </w:rPr>
        <w:t>Cumulative prospect theory (Tversky &amp; Kahneman, 1992) models loss aversion as a constant λ ≈ 2.25: losses loom roughly twice as large as equivalent gains, independent of the good being traded. Yet meta-analytic evidence shows substantial variation in λ across good types, with loss aversion near 1 for money and exceeding 3 for identity-laden goods (Horowitz &amp; McConnell, 2002). To our knowledge, no existing model derives this variation from structural assumptions about the decision space.</w:t>
      </w:r>
    </w:p>
    <w:p w14:paraId="56F5F159" w14:textId="77777777" w:rsidR="009B0938" w:rsidRPr="0014714E" w:rsidRDefault="00000000">
      <w:pPr>
        <w:rPr>
          <w:rFonts w:ascii="Garamond" w:hAnsi="Garamond"/>
        </w:rPr>
      </w:pPr>
      <w:r w:rsidRPr="0014714E">
        <w:rPr>
          <w:rFonts w:ascii="Garamond" w:hAnsi="Garamond"/>
        </w:rPr>
        <w:t>We derive variable loss aversion as a geometric consequence of multi-attribute decision-making. When agents evaluate transactions on a d-dimensional attribute space with Mahalanobis edge weights, losses traverse more attribute dimensions than equivalent gains (a monetary loss activates fairness, rights, and identity dimensions that a monetary gain does not). The loss aversion coefficient is predicted to scale as λ(d) = √d, where d is the number of active moral/evaluative dimensions for the good in question. This yields λ = 1.00 for pure cash (d = 1), λ = 2.24 for standard goods (d = 5, matching the Kahneman–Tversky estimate), and λ = 2.65 for heirlooms (d = 7, within the meta-analytic range).</w:t>
      </w:r>
    </w:p>
    <w:p w14:paraId="3438D2FA" w14:textId="77777777" w:rsidR="009B0938" w:rsidRPr="0014714E" w:rsidRDefault="00000000">
      <w:pPr>
        <w:rPr>
          <w:rFonts w:ascii="Garamond" w:hAnsi="Garamond"/>
        </w:rPr>
      </w:pPr>
      <w:r w:rsidRPr="0014714E">
        <w:rPr>
          <w:rFonts w:ascii="Garamond" w:hAnsi="Garamond"/>
        </w:rPr>
        <w:t>The prediction is derived with a single structural input (Σ) calibrated on ultimatum game data, with dimensional loadings assigned by qualitative assessment rather than fitted to loss-aversion data, then validated out-of-sample across three canonical games and seven cross-cultural populations (MAE = 8.8%). The model produces a cross-game, cross-cultural prediction that Nash equilibrium (which predicts poorly), CPT, and Fehr–Schmidt all require per-game parameter fitting to generate.</w:t>
      </w:r>
    </w:p>
    <w:p w14:paraId="03028D07" w14:textId="77777777" w:rsidR="009B0938" w:rsidRPr="0014714E" w:rsidRDefault="00000000">
      <w:pPr>
        <w:rPr>
          <w:rFonts w:ascii="Garamond" w:hAnsi="Garamond"/>
        </w:rPr>
      </w:pPr>
      <w:r w:rsidRPr="0014714E">
        <w:rPr>
          <w:rFonts w:ascii="Garamond" w:hAnsi="Garamond"/>
          <w:b/>
        </w:rPr>
        <w:t xml:space="preserve">Keywords: </w:t>
      </w:r>
      <w:r w:rsidRPr="0014714E">
        <w:rPr>
          <w:rFonts w:ascii="Garamond" w:hAnsi="Garamond"/>
        </w:rPr>
        <w:t>loss aversion, prospect theory, Mahalanobis distance, multi-attribute decision, endowment effect, cross-cultural economics, geometric economics</w:t>
      </w:r>
    </w:p>
    <w:p w14:paraId="13E8EE9B" w14:textId="77777777" w:rsidR="009B0938" w:rsidRPr="0014714E" w:rsidRDefault="00000000">
      <w:pPr>
        <w:rPr>
          <w:rFonts w:ascii="Garamond" w:hAnsi="Garamond"/>
        </w:rPr>
      </w:pPr>
      <w:r w:rsidRPr="0014714E">
        <w:rPr>
          <w:rFonts w:ascii="Garamond" w:hAnsi="Garamond"/>
          <w:b/>
        </w:rPr>
        <w:t xml:space="preserve">JEL Classification: </w:t>
      </w:r>
      <w:r w:rsidRPr="0014714E">
        <w:rPr>
          <w:rFonts w:ascii="Garamond" w:hAnsi="Garamond"/>
        </w:rPr>
        <w:t>D81, D91, C72, D01</w:t>
      </w:r>
    </w:p>
    <w:p w14:paraId="6A167877" w14:textId="77777777" w:rsidR="009B0938" w:rsidRPr="0014714E" w:rsidRDefault="00000000">
      <w:pPr>
        <w:rPr>
          <w:rFonts w:ascii="Garamond" w:hAnsi="Garamond"/>
        </w:rPr>
      </w:pPr>
      <w:r w:rsidRPr="0014714E">
        <w:rPr>
          <w:rFonts w:ascii="Garamond" w:hAnsi="Garamond"/>
        </w:rPr>
      </w:r>
    </w:p>
    <w:p w14:paraId="7B185AFF" w14:textId="77777777" w:rsidR="009B0938" w:rsidRPr="0014714E" w:rsidRDefault="00000000">
      <w:pPr>
        <w:pStyle w:val="Heading1"/>
        <w:rPr>
          <w:rFonts w:ascii="Garamond" w:hAnsi="Garamond"/>
        </w:rPr>
      </w:pPr>
      <w:r w:rsidRPr="0014714E">
        <w:rPr>
          <w:rFonts w:ascii="Garamond" w:hAnsi="Garamond"/>
        </w:rPr>
        <w:t>1. Introduction</w:t>
      </w:r>
    </w:p>
    <w:p w14:paraId="7067ECCF" w14:textId="77777777" w:rsidR="009B0938" w:rsidRPr="0014714E" w:rsidRDefault="00000000">
      <w:pPr>
        <w:rPr>
          <w:rFonts w:ascii="Garamond" w:hAnsi="Garamond"/>
        </w:rPr>
      </w:pPr>
      <w:r w:rsidRPr="0014714E">
        <w:rPr>
          <w:rFonts w:ascii="Garamond" w:hAnsi="Garamond"/>
        </w:rPr>
        <w:t>Loss aversion—the empirical regularity that losses are weighted more heavily than equivalent gains in decision under risk—is one of the foundational findings of behavioral economics. Kahneman and Tversky (1979) documented the phenomenon; Tversky and Kahneman (1992) parameterized it as λ ≈ 2.25 in cumulative prospect theory (CPT). The parameter λ enters the value function as an asymmetry between the gain and loss domains:</w:t>
      </w:r>
    </w:p>
    <w:p w14:paraId="5DF4AAEC" w14:textId="77777777" w:rsidR="009B0938" w:rsidRPr="0014714E" w:rsidRDefault="00000000">
      <w:pPr>
        <w:jc w:val="center"/>
        <w:rPr>
          <w:rFonts w:ascii="Garamond" w:hAnsi="Garamond"/>
        </w:rPr>
      </w:pPr>
      <w:r w:rsidRPr="0014714E">
        <w:rPr>
          <w:rFonts w:ascii="Garamond" w:hAnsi="Garamond"/>
        </w:rPr>
        <w:t>v(x) = x</w:t>
      </w:r>
      <w:r w:rsidRPr="0014714E">
        <w:rPr>
          <w:rFonts w:cs="Times New Roman"/>
        </w:rPr>
        <w:t>ᵅ</w:t>
      </w:r>
      <w:r w:rsidRPr="0014714E">
        <w:rPr>
          <w:rFonts w:ascii="Garamond" w:hAnsi="Garamond"/>
        </w:rPr>
        <w:t xml:space="preserve"> if x ≥ 0;  v(x) = −λ(−x)</w:t>
      </w:r>
      <w:r w:rsidRPr="0014714E">
        <w:rPr>
          <w:rFonts w:cs="Times New Roman"/>
        </w:rPr>
        <w:t>ᵝ</w:t>
      </w:r>
      <w:r w:rsidRPr="0014714E">
        <w:rPr>
          <w:rFonts w:ascii="Garamond" w:hAnsi="Garamond"/>
        </w:rPr>
        <w:t xml:space="preserve"> if x &lt; 0</w:t>
      </w:r>
    </w:p>
    <w:p w14:paraId="0E4E04F7" w14:textId="77777777" w:rsidR="009B0938" w:rsidRPr="0014714E" w:rsidRDefault="00000000">
      <w:pPr>
        <w:rPr>
          <w:rFonts w:ascii="Garamond" w:hAnsi="Garamond"/>
        </w:rPr>
      </w:pPr>
      <w:r w:rsidRPr="0014714E">
        <w:rPr>
          <w:rFonts w:ascii="Garamond" w:hAnsi="Garamond"/>
        </w:rPr>
        <w:t>In CPT, λ is a free parameter fitted to experimental data. Its value is typically estimated at 2.0–2.5, and it is treated as a constant—a fixed property of the value function that applies uniformly across all goods and contexts.</w:t>
      </w:r>
    </w:p>
    <w:p w14:paraId="62213A6A" w14:textId="77777777" w:rsidR="009B0938" w:rsidRPr="0014714E" w:rsidRDefault="00000000">
      <w:pPr>
        <w:rPr>
          <w:rFonts w:ascii="Garamond" w:hAnsi="Garamond"/>
        </w:rPr>
      </w:pPr>
      <w:r w:rsidRPr="0014714E">
        <w:rPr>
          <w:rFonts w:ascii="Garamond" w:hAnsi="Garamond"/>
        </w:rPr>
        <w:t>Meta-analytic evidence challenges this assumption. Horowitz and McConnell (2002), surveying 45 WTA/WTP studies, find that loss aversion varies substantially by good type: it is near 1 for money, approximately 2 for ordinary consumer goods, and exceeds 3 for goods with identity or sentimental value. Novemsky and Kahneman (2005) report that loss aversion is attenuated or absent for money spent in routine exchange. These findings suggest that λ is not a constant but a function of the good being traded—but no existing model derives this function from first principles.</w:t>
      </w:r>
    </w:p>
    <w:p w14:paraId="2FCAE7AD" w14:textId="77777777" w:rsidR="009B0938" w:rsidRPr="0014714E" w:rsidRDefault="00000000">
      <w:pPr>
        <w:rPr>
          <w:rFonts w:ascii="Garamond" w:hAnsi="Garamond"/>
        </w:rPr>
      </w:pPr>
      <w:r w:rsidRPr="0014714E">
        <w:rPr>
          <w:rFonts w:ascii="Garamond" w:hAnsi="Garamond"/>
        </w:rPr>
        <w:t>We provide the derivation. We show that when economic decisions are modeled as pathfinding on a multi-dimensional attribute space with Mahalanobis edge weights (Bond, 2026), loss aversion arises naturally as a geometric asymmetry: losses traverse more dimensions of the attribute space than equivalent gains. The predicted loss aversion coefficient is:</w:t>
      </w:r>
    </w:p>
    <w:p w14:paraId="1626924B" w14:textId="77777777" w:rsidR="009B0938" w:rsidRPr="0014714E" w:rsidRDefault="00000000">
      <w:pPr>
        <w:jc w:val="center"/>
        <w:rPr>
          <w:rFonts w:ascii="Garamond" w:hAnsi="Garamond"/>
        </w:rPr>
      </w:pPr>
      <w:r w:rsidRPr="0014714E">
        <w:rPr>
          <w:rFonts w:ascii="Garamond" w:hAnsi="Garamond"/>
          <w:b/>
          <w:sz w:val="26"/>
        </w:rPr>
        <w:t>λ(d) = √d</w:t>
      </w:r>
    </w:p>
    <w:p w14:paraId="60C714CC" w14:textId="77777777" w:rsidR="009B0938" w:rsidRPr="0014714E" w:rsidRDefault="00000000">
      <w:pPr>
        <w:rPr>
          <w:rFonts w:ascii="Garamond" w:hAnsi="Garamond"/>
        </w:rPr>
      </w:pPr>
      <w:r w:rsidRPr="0014714E">
        <w:rPr>
          <w:rFonts w:ascii="Garamond" w:hAnsi="Garamond"/>
        </w:rPr>
        <w:t>where d is the number of evaluative dimensions activated by the good in question. This is the isotropic special case of a more general formula (Proposition 1). Under the calibrated Σ, which is strongly anisotropic (σ₁₁ = 25.0 for the monetary dimension vs. σ_kk = 0.25 for non-monetary dimensions), the non-monetary dimensions carry 100× higher precision weight, amplifying the geometric asymmetry beyond the √d benchmark. It predicts that loss aversion should be absent for pure money (d = 1, λ = 1), moderate for standard goods (d = 5, λ = 2.24), and strong for identity-laden goods (d ≥ 7, λ ≥ 2.65)—precisely the pattern Horowitz and McConnell documented.</w:t>
      </w:r>
    </w:p>
    <w:p>
      <w:pPr>
        <w:jc w:val="center"/>
      </w:pPr>
      <w:r/>
    </w:p>
    <w:p>
      <w:pPr>
        <w:jc w:val="center"/>
      </w:pPr>
      <w:r>
        <w:rPr>
          <w:color w:val="505050"/>
          <w:sz w:val="18"/>
        </w:rPr>
        <w:t>Fig 1. Predicted loss aversion λ = √d (solid curve) versus the CPT constant λ = 2.25 (dashed). Data points show model predictions for goods with different dimensional loadings. The geometric model captures the variation documented by Horowitz and McConnell (2002); CPT cannot</w:t>
      </w:r>
    </w:p>
    <w:p/>
    <w:p/>
    <w:p/>
    <w:p w14:paraId="5075AFDF" w14:textId="77777777" w:rsidR="009B0938" w:rsidRPr="0014714E" w:rsidRDefault="00000000">
      <w:pPr>
        <w:pStyle w:val="Heading1"/>
        <w:rPr>
          <w:rFonts w:ascii="Garamond" w:hAnsi="Garamond"/>
        </w:rPr>
      </w:pPr>
      <w:r w:rsidRPr="0014714E">
        <w:rPr>
          <w:rFonts w:ascii="Garamond" w:hAnsi="Garamond"/>
        </w:rPr>
        <w:t>2. The Model</w:t>
      </w:r>
    </w:p>
    <w:p w14:paraId="4DE8EF14" w14:textId="77777777" w:rsidR="009B0938" w:rsidRPr="0014714E" w:rsidRDefault="00000000">
      <w:pPr>
        <w:pStyle w:val="Heading2"/>
        <w:rPr>
          <w:rFonts w:ascii="Garamond" w:hAnsi="Garamond"/>
        </w:rPr>
      </w:pPr>
      <w:r w:rsidRPr="0014714E">
        <w:rPr>
          <w:rFonts w:ascii="Garamond" w:hAnsi="Garamond"/>
        </w:rPr>
        <w:t>2.1 Multi-Attribute Decision Space</w:t>
      </w:r>
    </w:p>
    <w:p w14:paraId="7C28AFC6" w14:textId="77777777" w:rsidR="009B0938" w:rsidRPr="0014714E" w:rsidRDefault="00000000">
      <w:pPr>
        <w:rPr>
          <w:rFonts w:ascii="Garamond" w:hAnsi="Garamond"/>
        </w:rPr>
      </w:pPr>
      <w:r w:rsidRPr="0014714E">
        <w:rPr>
          <w:rFonts w:ascii="Garamond" w:hAnsi="Garamond"/>
        </w:rPr>
        <w:t xml:space="preserve">We model economic decisions on a d-dimensional attribute space following Bond (2026). Each economic state v carries an attribute vector a(v) </w:t>
      </w:r>
      <w:r w:rsidRPr="0014714E">
        <w:rPr>
          <w:rFonts w:ascii="Cambria Math" w:hAnsi="Cambria Math" w:cs="Cambria Math"/>
        </w:rPr>
        <w:t>∈</w:t>
      </w:r>
      <w:r w:rsidRPr="0014714E">
        <w:rPr>
          <w:rFonts w:ascii="Garamond" w:hAnsi="Garamond"/>
        </w:rPr>
        <w:t xml:space="preserve"> </w:t>
      </w:r>
      <w:r w:rsidRPr="0014714E">
        <w:rPr>
          <w:rFonts w:ascii="Cambria Math" w:hAnsi="Cambria Math" w:cs="Cambria Math"/>
        </w:rPr>
        <w:t>ℝ</w:t>
      </w:r>
      <w:r w:rsidRPr="0014714E">
        <w:rPr>
          <w:rFonts w:cs="Times New Roman"/>
        </w:rPr>
        <w:t>ᵈ</w:t>
      </w:r>
      <w:r w:rsidRPr="0014714E">
        <w:rPr>
          <w:rFonts w:ascii="Garamond" w:hAnsi="Garamond"/>
        </w:rPr>
        <w:t xml:space="preserve"> whose components represent evaluatively distinct dimensions of the decision. In the general framework, d = 9 dimensions are identified empirically (consequences, rights, fairness, autonomy, trust, social impact, identity, legitimacy, epistemic status), but the derivation holds for any d ≥ 1.</w:t>
      </w:r>
    </w:p>
    <w:p w14:paraId="3FEC3325" w14:textId="77777777" w:rsidR="009B0938" w:rsidRPr="0014714E" w:rsidRDefault="00000000">
      <w:pPr>
        <w:rPr>
          <w:rFonts w:ascii="Garamond" w:hAnsi="Garamond"/>
        </w:rPr>
      </w:pPr>
      <w:r w:rsidRPr="0014714E">
        <w:rPr>
          <w:rFonts w:ascii="Garamond" w:hAnsi="Garamond"/>
        </w:rPr>
        <w:t>The cost of transitioning from state v to v′ is the behavioral friction:</w:t>
      </w:r>
    </w:p>
    <w:p w14:paraId="6372E1CA" w14:textId="77777777" w:rsidR="009B0938" w:rsidRPr="0014714E" w:rsidRDefault="00000000">
      <w:pPr>
        <w:jc w:val="center"/>
        <w:rPr>
          <w:rFonts w:ascii="Garamond" w:hAnsi="Garamond"/>
        </w:rPr>
      </w:pPr>
      <w:r w:rsidRPr="0014714E">
        <w:rPr>
          <w:rFonts w:ascii="Garamond" w:hAnsi="Garamond"/>
        </w:rPr>
        <w:t>BF(v, v′) = √(Δa</w:t>
      </w:r>
      <w:r w:rsidRPr="0014714E">
        <w:rPr>
          <w:rFonts w:cs="Times New Roman"/>
        </w:rPr>
        <w:t>ᵀ</w:t>
      </w:r>
      <w:r w:rsidRPr="0014714E">
        <w:rPr>
          <w:rFonts w:ascii="Garamond" w:hAnsi="Garamond"/>
        </w:rPr>
        <w:t xml:space="preserve"> Σ</w:t>
      </w:r>
      <w:r w:rsidRPr="0014714E">
        <w:rPr>
          <w:rFonts w:ascii="Cambria Math" w:hAnsi="Cambria Math" w:cs="Cambria Math"/>
        </w:rPr>
        <w:t>⁻</w:t>
      </w:r>
      <w:r w:rsidRPr="0014714E">
        <w:rPr>
          <w:rFonts w:ascii="Garamond" w:hAnsi="Garamond" w:cs="Garamond"/>
        </w:rPr>
        <w:t>¹</w:t>
      </w:r>
      <w:r w:rsidRPr="0014714E">
        <w:rPr>
          <w:rFonts w:ascii="Garamond" w:hAnsi="Garamond"/>
        </w:rPr>
        <w:t xml:space="preserve"> </w:t>
      </w:r>
      <w:r w:rsidRPr="0014714E">
        <w:rPr>
          <w:rFonts w:ascii="Garamond" w:hAnsi="Garamond" w:cs="Garamond"/>
        </w:rPr>
        <w:t>Δ</w:t>
      </w:r>
      <w:r w:rsidRPr="0014714E">
        <w:rPr>
          <w:rFonts w:ascii="Garamond" w:hAnsi="Garamond"/>
        </w:rPr>
        <w:t>a)</w:t>
      </w:r>
    </w:p>
    <w:p w14:paraId="494CE9EF" w14:textId="77777777" w:rsidR="009B0938" w:rsidRPr="0014714E" w:rsidRDefault="00000000">
      <w:pPr>
        <w:rPr>
          <w:rFonts w:ascii="Garamond" w:hAnsi="Garamond"/>
        </w:rPr>
      </w:pPr>
      <w:r w:rsidRPr="0014714E">
        <w:rPr>
          <w:rFonts w:ascii="Garamond" w:hAnsi="Garamond"/>
        </w:rPr>
        <w:t xml:space="preserve">where Σ </w:t>
      </w:r>
      <w:r w:rsidRPr="0014714E">
        <w:rPr>
          <w:rFonts w:ascii="Cambria Math" w:hAnsi="Cambria Math" w:cs="Cambria Math"/>
        </w:rPr>
        <w:t>∈</w:t>
      </w:r>
      <w:r w:rsidRPr="0014714E">
        <w:rPr>
          <w:rFonts w:ascii="Garamond" w:hAnsi="Garamond"/>
        </w:rPr>
        <w:t xml:space="preserve"> </w:t>
      </w:r>
      <w:r w:rsidRPr="0014714E">
        <w:rPr>
          <w:rFonts w:ascii="Cambria Math" w:hAnsi="Cambria Math" w:cs="Cambria Math"/>
        </w:rPr>
        <w:t>ℝ</w:t>
      </w:r>
      <w:r w:rsidRPr="0014714E">
        <w:rPr>
          <w:rFonts w:cs="Times New Roman"/>
        </w:rPr>
        <w:t>ᵈˣᵈ</w:t>
      </w:r>
      <w:r w:rsidRPr="0014714E">
        <w:rPr>
          <w:rFonts w:ascii="Garamond" w:hAnsi="Garamond"/>
        </w:rPr>
        <w:t xml:space="preserve"> is the attribute covariance matrix capturing cross-dimensional correlations.</w:t>
      </w:r>
    </w:p>
    <w:p w14:paraId="26B750B7" w14:textId="77777777" w:rsidR="009B0938" w:rsidRPr="0014714E" w:rsidRDefault="00000000">
      <w:pPr>
        <w:pStyle w:val="Heading2"/>
        <w:rPr>
          <w:rFonts w:ascii="Garamond" w:hAnsi="Garamond"/>
        </w:rPr>
      </w:pPr>
      <w:r w:rsidRPr="0014714E">
        <w:rPr>
          <w:rFonts w:ascii="Garamond" w:hAnsi="Garamond"/>
        </w:rPr>
        <w:t>2.2 Asymmetric Dimensional Activation</w:t>
      </w:r>
    </w:p>
    <w:p w14:paraId="61A03C9E" w14:textId="77777777" w:rsidR="009B0938" w:rsidRPr="0014714E" w:rsidRDefault="00000000">
      <w:pPr>
        <w:rPr>
          <w:rFonts w:ascii="Garamond" w:hAnsi="Garamond"/>
        </w:rPr>
      </w:pPr>
      <w:r w:rsidRPr="0014714E">
        <w:rPr>
          <w:rFonts w:ascii="Garamond" w:hAnsi="Garamond"/>
        </w:rPr>
        <w:t>The key observation: gains and losses of the same monetary magnitude do not activate the same dimensions.</w:t>
      </w:r>
    </w:p>
    <w:p w14:paraId="5B4265D1" w14:textId="77777777" w:rsidR="009B0938" w:rsidRPr="0014714E" w:rsidRDefault="00000000">
      <w:pPr>
        <w:rPr>
          <w:rFonts w:ascii="Garamond" w:hAnsi="Garamond"/>
        </w:rPr>
      </w:pPr>
      <w:r w:rsidRPr="0014714E">
        <w:rPr>
          <w:rFonts w:ascii="Garamond" w:hAnsi="Garamond"/>
          <w:b/>
        </w:rPr>
        <w:t xml:space="preserve">Definition 1 (Dimensional Loading). </w:t>
      </w:r>
      <w:r w:rsidRPr="0014714E">
        <w:rPr>
          <w:rFonts w:ascii="Garamond" w:hAnsi="Garamond"/>
        </w:rPr>
        <w:t>For a transaction involving good g, define the dimensional loading d(g) as the number of attribute dimensions with nonzero change in the attribute vector. A monetary gain of δ changes only the consequences dimension (d_gain = 1). A loss of the same good changes multiple dimensions: consequences (a</w:t>
      </w:r>
      <w:r w:rsidRPr="0014714E">
        <w:rPr>
          <w:rFonts w:ascii="Cambria Math" w:hAnsi="Cambria Math" w:cs="Cambria Math"/>
        </w:rPr>
        <w:t>₁</w:t>
      </w:r>
      <w:r w:rsidRPr="0014714E">
        <w:rPr>
          <w:rFonts w:ascii="Garamond" w:hAnsi="Garamond"/>
        </w:rPr>
        <w:t>: monetary loss), plus rights (a</w:t>
      </w:r>
      <w:r w:rsidRPr="0014714E">
        <w:rPr>
          <w:rFonts w:ascii="Cambria Math" w:hAnsi="Cambria Math" w:cs="Cambria Math"/>
        </w:rPr>
        <w:t>₂</w:t>
      </w:r>
      <w:r w:rsidRPr="0014714E">
        <w:rPr>
          <w:rFonts w:ascii="Garamond" w:hAnsi="Garamond"/>
        </w:rPr>
        <w:t xml:space="preserve">: </w:t>
      </w:r>
      <w:r w:rsidRPr="0014714E">
        <w:rPr>
          <w:rFonts w:ascii="Garamond" w:hAnsi="Garamond" w:cs="Garamond"/>
        </w:rPr>
        <w:t>“</w:t>
      </w:r>
      <w:r w:rsidRPr="0014714E">
        <w:rPr>
          <w:rFonts w:ascii="Garamond" w:hAnsi="Garamond"/>
        </w:rPr>
        <w:t>this was mine</w:t>
      </w:r>
      <w:r w:rsidRPr="0014714E">
        <w:rPr>
          <w:rFonts w:ascii="Garamond" w:hAnsi="Garamond" w:cs="Garamond"/>
        </w:rPr>
        <w:t>”</w:t>
      </w:r>
      <w:r w:rsidRPr="0014714E">
        <w:rPr>
          <w:rFonts w:ascii="Garamond" w:hAnsi="Garamond"/>
        </w:rPr>
        <w:t>), fairness (a</w:t>
      </w:r>
      <w:r w:rsidRPr="0014714E">
        <w:rPr>
          <w:rFonts w:ascii="Cambria Math" w:hAnsi="Cambria Math" w:cs="Cambria Math"/>
        </w:rPr>
        <w:t>₃</w:t>
      </w:r>
      <w:r w:rsidRPr="0014714E">
        <w:rPr>
          <w:rFonts w:ascii="Garamond" w:hAnsi="Garamond"/>
        </w:rPr>
        <w:t xml:space="preserve">: </w:t>
      </w:r>
      <w:r w:rsidRPr="0014714E">
        <w:rPr>
          <w:rFonts w:ascii="Garamond" w:hAnsi="Garamond" w:cs="Garamond"/>
        </w:rPr>
        <w:t>“</w:t>
      </w:r>
      <w:r w:rsidRPr="0014714E">
        <w:rPr>
          <w:rFonts w:ascii="Garamond" w:hAnsi="Garamond"/>
        </w:rPr>
        <w:t>this is unjust</w:t>
      </w:r>
      <w:r w:rsidRPr="0014714E">
        <w:rPr>
          <w:rFonts w:ascii="Garamond" w:hAnsi="Garamond" w:cs="Garamond"/>
        </w:rPr>
        <w:t>”</w:t>
      </w:r>
      <w:r w:rsidRPr="0014714E">
        <w:rPr>
          <w:rFonts w:ascii="Garamond" w:hAnsi="Garamond"/>
        </w:rPr>
        <w:t>), identity (a</w:t>
      </w:r>
      <w:r w:rsidRPr="0014714E">
        <w:rPr>
          <w:rFonts w:ascii="Cambria Math" w:hAnsi="Cambria Math" w:cs="Cambria Math"/>
        </w:rPr>
        <w:t>₇</w:t>
      </w:r>
      <w:r w:rsidRPr="0014714E">
        <w:rPr>
          <w:rFonts w:ascii="Garamond" w:hAnsi="Garamond"/>
        </w:rPr>
        <w:t xml:space="preserve">: </w:t>
      </w:r>
      <w:r w:rsidRPr="0014714E">
        <w:rPr>
          <w:rFonts w:ascii="Garamond" w:hAnsi="Garamond" w:cs="Garamond"/>
        </w:rPr>
        <w:t>“</w:t>
      </w:r>
      <w:r w:rsidRPr="0014714E">
        <w:rPr>
          <w:rFonts w:ascii="Garamond" w:hAnsi="Garamond"/>
        </w:rPr>
        <w:t>I am worse off</w:t>
      </w:r>
      <w:r w:rsidRPr="0014714E">
        <w:rPr>
          <w:rFonts w:ascii="Garamond" w:hAnsi="Garamond" w:cs="Garamond"/>
        </w:rPr>
        <w:t>”</w:t>
      </w:r>
      <w:r w:rsidRPr="0014714E">
        <w:rPr>
          <w:rFonts w:ascii="Garamond" w:hAnsi="Garamond"/>
        </w:rPr>
        <w:t xml:space="preserve">), and possibly others depending on the good. Thus d_loss(g) </w:t>
      </w:r>
      <w:r w:rsidRPr="0014714E">
        <w:rPr>
          <w:rFonts w:ascii="Garamond" w:hAnsi="Garamond" w:cs="Garamond"/>
        </w:rPr>
        <w:t>≥</w:t>
      </w:r>
      <w:r w:rsidRPr="0014714E">
        <w:rPr>
          <w:rFonts w:ascii="Garamond" w:hAnsi="Garamond"/>
        </w:rPr>
        <w:t xml:space="preserve"> d_gain(g) in general, with equality only when g is pure money.</w:t>
      </w:r>
    </w:p>
    <w:p w14:paraId="1D48FCC3" w14:textId="77777777" w:rsidR="009B0938" w:rsidRPr="0014714E" w:rsidRDefault="00000000">
      <w:pPr>
        <w:pStyle w:val="Heading2"/>
        <w:rPr>
          <w:rFonts w:ascii="Garamond" w:hAnsi="Garamond"/>
        </w:rPr>
      </w:pPr>
      <w:r w:rsidRPr="0014714E">
        <w:rPr>
          <w:rFonts w:ascii="Garamond" w:hAnsi="Garamond"/>
        </w:rPr>
        <w:t>2.3 Derivation of λ(d)</w:t>
      </w:r>
    </w:p>
    <w:p w14:paraId="141585A8" w14:textId="77777777" w:rsidR="009B0938" w:rsidRPr="0014714E" w:rsidRDefault="00000000">
      <w:pPr>
        <w:rPr>
          <w:rFonts w:ascii="Garamond" w:hAnsi="Garamond"/>
        </w:rPr>
      </w:pPr>
      <w:r w:rsidRPr="0014714E">
        <w:rPr>
          <w:rFonts w:ascii="Garamond" w:hAnsi="Garamond"/>
          <w:b/>
        </w:rPr>
        <w:t xml:space="preserve">Proposition 1 (Variable Loss Aversion). </w:t>
      </w:r>
      <w:r w:rsidRPr="0014714E">
        <w:rPr>
          <w:rFonts w:ascii="Garamond" w:hAnsi="Garamond"/>
        </w:rPr>
        <w:t>Under the Mahalanobis decision model with covariance Σ, the loss aversion coefficient for a good with dimensional loading d_loss is: λ(d_loss) = BF(loss of g) / BF(gain of g). When Σ is approximately isotropic on the active dimensions (Σ ≈ σ²I restricted to the active subspace), this simplifies to:</w:t>
      </w:r>
    </w:p>
    <w:p w14:paraId="18B53615" w14:textId="77777777" w:rsidR="009B0938" w:rsidRPr="0014714E" w:rsidRDefault="00000000">
      <w:pPr>
        <w:jc w:val="center"/>
        <w:rPr>
          <w:rFonts w:ascii="Garamond" w:hAnsi="Garamond"/>
        </w:rPr>
      </w:pPr>
      <w:r w:rsidRPr="0014714E">
        <w:rPr>
          <w:rFonts w:ascii="Garamond" w:hAnsi="Garamond"/>
          <w:b/>
          <w:sz w:val="24"/>
        </w:rPr>
        <w:t>λ(d_loss) = √(d_loss / d_gain) = √(d_loss)</w:t>
      </w:r>
    </w:p>
    <w:p w14:paraId="7AE87202" w14:textId="77777777" w:rsidR="009B0938" w:rsidRPr="0014714E" w:rsidRDefault="00000000">
      <w:pPr>
        <w:rPr>
          <w:rFonts w:ascii="Garamond" w:hAnsi="Garamond"/>
        </w:rPr>
      </w:pPr>
      <w:r w:rsidRPr="0014714E">
        <w:rPr>
          <w:rFonts w:ascii="Garamond" w:hAnsi="Garamond"/>
        </w:rPr>
        <w:t>since d_gain = 1 for monetary gains.</w:t>
      </w:r>
    </w:p>
    <w:p>
      <w:pPr>
        <w:jc w:val="center"/>
      </w:pPr>
      <w:r/>
    </w:p>
    <w:p>
      <w:pPr>
        <w:jc w:val="center"/>
      </w:pPr>
      <w:r>
        <w:rPr>
          <w:color w:val="505050"/>
          <w:sz w:val="18"/>
        </w:rPr>
        <w:t>Fig 4. Geometric intuition for variable loss aversion. A gain traverses only the monetary axis (short path). A loss of the same good traverses both the monetary and fairness axes (longer diagonal path). The ratio of path lengths gives λ = √2 for a good with d = 2</w:t>
      </w:r>
    </w:p>
    <w:p/>
    <w:p/>
    <w:p/>
    <w:p w14:paraId="426AA146" w14:textId="77777777" w:rsidR="009B0938" w:rsidRPr="0014714E" w:rsidRDefault="00000000">
      <w:pPr>
        <w:rPr>
          <w:rFonts w:ascii="Garamond" w:hAnsi="Garamond"/>
        </w:rPr>
      </w:pPr>
      <w:r w:rsidRPr="0014714E">
        <w:rPr>
          <w:rFonts w:ascii="Garamond" w:hAnsi="Garamond"/>
          <w:b/>
          <w:i/>
        </w:rPr>
        <w:t xml:space="preserve">Proof. </w:t>
      </w:r>
      <w:r w:rsidRPr="0014714E">
        <w:rPr>
          <w:rFonts w:ascii="Garamond" w:hAnsi="Garamond"/>
        </w:rPr>
        <w:t>Let Δa_gain be the attribute-vector change for a monetary gain of δ, with a single nonzero component: Δa</w:t>
      </w:r>
      <w:r w:rsidRPr="0014714E">
        <w:rPr>
          <w:rFonts w:ascii="Cambria Math" w:hAnsi="Cambria Math" w:cs="Cambria Math"/>
        </w:rPr>
        <w:t>₁</w:t>
      </w:r>
      <w:r w:rsidRPr="0014714E">
        <w:rPr>
          <w:rFonts w:ascii="Garamond" w:hAnsi="Garamond"/>
        </w:rPr>
        <w:t xml:space="preserve"> = </w:t>
      </w:r>
      <w:r w:rsidRPr="0014714E">
        <w:rPr>
          <w:rFonts w:ascii="Garamond" w:hAnsi="Garamond" w:cs="Garamond"/>
        </w:rPr>
        <w:t>δ</w:t>
      </w:r>
      <w:r w:rsidRPr="0014714E">
        <w:rPr>
          <w:rFonts w:ascii="Garamond" w:hAnsi="Garamond"/>
        </w:rPr>
        <w:t xml:space="preserve">, </w:t>
      </w:r>
      <w:r w:rsidRPr="0014714E">
        <w:rPr>
          <w:rFonts w:ascii="Garamond" w:hAnsi="Garamond" w:cs="Garamond"/>
        </w:rPr>
        <w:t>Δ</w:t>
      </w:r>
      <w:r w:rsidRPr="0014714E">
        <w:rPr>
          <w:rFonts w:ascii="Garamond" w:hAnsi="Garamond"/>
        </w:rPr>
        <w:t>a_k = 0 for k &gt; 1. The behavioral friction is: BF_gain = |</w:t>
      </w:r>
      <w:r w:rsidRPr="0014714E">
        <w:rPr>
          <w:rFonts w:ascii="Garamond" w:hAnsi="Garamond" w:cs="Garamond"/>
        </w:rPr>
        <w:t>δ</w:t>
      </w:r>
      <w:r w:rsidRPr="0014714E">
        <w:rPr>
          <w:rFonts w:ascii="Garamond" w:hAnsi="Garamond"/>
        </w:rPr>
        <w:t xml:space="preserve">| / </w:t>
      </w:r>
      <w:r w:rsidRPr="0014714E">
        <w:rPr>
          <w:rFonts w:ascii="Garamond" w:hAnsi="Garamond" w:cs="Garamond"/>
        </w:rPr>
        <w:t>σ</w:t>
      </w:r>
      <w:r w:rsidRPr="0014714E">
        <w:rPr>
          <w:rFonts w:ascii="Cambria Math" w:hAnsi="Cambria Math" w:cs="Cambria Math"/>
        </w:rPr>
        <w:t>₁</w:t>
      </w:r>
      <w:r w:rsidRPr="0014714E">
        <w:rPr>
          <w:rFonts w:ascii="Garamond" w:hAnsi="Garamond"/>
        </w:rPr>
        <w:t xml:space="preserve">. Let </w:t>
      </w:r>
      <w:r w:rsidRPr="0014714E">
        <w:rPr>
          <w:rFonts w:ascii="Garamond" w:hAnsi="Garamond" w:cs="Garamond"/>
        </w:rPr>
        <w:t>Δ</w:t>
      </w:r>
      <w:r w:rsidRPr="0014714E">
        <w:rPr>
          <w:rFonts w:ascii="Garamond" w:hAnsi="Garamond"/>
        </w:rPr>
        <w:t xml:space="preserve">a_loss be the change for a loss of the same good, with d_loss nonzero components of magnitude ~ </w:t>
      </w:r>
      <w:r w:rsidRPr="0014714E">
        <w:rPr>
          <w:rFonts w:ascii="Garamond" w:hAnsi="Garamond" w:cs="Garamond"/>
        </w:rPr>
        <w:t>δ</w:t>
      </w:r>
      <w:r w:rsidRPr="0014714E">
        <w:rPr>
          <w:rFonts w:ascii="Garamond" w:hAnsi="Garamond"/>
        </w:rPr>
        <w:t xml:space="preserve"> each. Under isotropic </w:t>
      </w:r>
      <w:r w:rsidRPr="0014714E">
        <w:rPr>
          <w:rFonts w:ascii="Garamond" w:hAnsi="Garamond" w:cs="Garamond"/>
        </w:rPr>
        <w:t>Σ</w:t>
      </w:r>
      <w:r w:rsidRPr="0014714E">
        <w:rPr>
          <w:rFonts w:ascii="Garamond" w:hAnsi="Garamond"/>
        </w:rPr>
        <w:t>: BF_loss = |</w:t>
      </w:r>
      <w:r w:rsidRPr="0014714E">
        <w:rPr>
          <w:rFonts w:ascii="Garamond" w:hAnsi="Garamond" w:cs="Garamond"/>
        </w:rPr>
        <w:t>δ</w:t>
      </w:r>
      <w:r w:rsidRPr="0014714E">
        <w:rPr>
          <w:rFonts w:ascii="Garamond" w:hAnsi="Garamond"/>
        </w:rPr>
        <w:t xml:space="preserve">| </w:t>
      </w:r>
      <w:r w:rsidRPr="0014714E">
        <w:rPr>
          <w:rFonts w:ascii="Garamond" w:hAnsi="Garamond" w:cs="Garamond"/>
        </w:rPr>
        <w:t>√</w:t>
      </w:r>
      <w:r w:rsidRPr="0014714E">
        <w:rPr>
          <w:rFonts w:ascii="Garamond" w:hAnsi="Garamond"/>
        </w:rPr>
        <w:t xml:space="preserve">(d_loss) / </w:t>
      </w:r>
      <w:r w:rsidRPr="0014714E">
        <w:rPr>
          <w:rFonts w:ascii="Garamond" w:hAnsi="Garamond" w:cs="Garamond"/>
        </w:rPr>
        <w:t>σ</w:t>
      </w:r>
      <w:r w:rsidRPr="0014714E">
        <w:rPr>
          <w:rFonts w:ascii="Garamond" w:hAnsi="Garamond"/>
        </w:rPr>
        <w:t xml:space="preserve">. The ratio is </w:t>
      </w:r>
      <w:r w:rsidRPr="0014714E">
        <w:rPr>
          <w:rFonts w:ascii="Garamond" w:hAnsi="Garamond" w:cs="Garamond"/>
        </w:rPr>
        <w:t>λ</w:t>
      </w:r>
      <w:r w:rsidRPr="0014714E">
        <w:rPr>
          <w:rFonts w:ascii="Garamond" w:hAnsi="Garamond"/>
        </w:rPr>
        <w:t xml:space="preserve"> = BF_loss / BF_gain = </w:t>
      </w:r>
      <w:r w:rsidRPr="0014714E">
        <w:rPr>
          <w:rFonts w:ascii="Garamond" w:hAnsi="Garamond" w:cs="Garamond"/>
        </w:rPr>
        <w:t>√</w:t>
      </w:r>
      <w:r w:rsidRPr="0014714E">
        <w:rPr>
          <w:rFonts w:ascii="Garamond" w:hAnsi="Garamond"/>
        </w:rPr>
        <w:t xml:space="preserve">(d_loss). </w:t>
      </w:r>
      <w:r w:rsidRPr="0014714E">
        <w:rPr>
          <w:rFonts w:ascii="Garamond" w:hAnsi="Garamond" w:cs="Garamond"/>
        </w:rPr>
        <w:t>□</w:t>
      </w:r>
    </w:p>
    <w:p w14:paraId="0FB9DFA9" w14:textId="77777777" w:rsidR="009B0938" w:rsidRPr="0014714E" w:rsidRDefault="00000000">
      <w:pPr>
        <w:rPr>
          <w:rFonts w:ascii="Garamond" w:hAnsi="Garamond"/>
        </w:rPr>
      </w:pPr>
      <w:r w:rsidRPr="0014714E">
        <w:rPr>
          <w:rFonts w:ascii="Garamond" w:hAnsi="Garamond"/>
        </w:rPr>
        <w:t>The result is intuitive: losing a good traverses a longer path through the attribute space than gaining the equivalent monetary value, because the loss activates dimensions (rights, fairness, identity) that the gain does not. The “irrationally” high weight on losses is geometrically rational—the loss really does cost more, measured on the full manifold.</w:t>
      </w:r>
    </w:p>
    <w:p>
      <w:pPr>
        <w:jc w:val="center"/>
      </w:pPr>
      <w:r/>
    </w:p>
    <w:p>
      <w:pPr>
        <w:jc w:val="center"/>
      </w:pPr>
      <w:r>
        <w:rPr>
          <w:color w:val="505050"/>
          <w:sz w:val="18"/>
        </w:rPr>
        <w:t>Fig 2. Dimensional activation for gains versus losses. (a) A monetary gain activates only the consequences dimension (d = 1). (b) Loss of an heirloom activates seven dimensions. The Mahalanobis path length is √7 times longer for the loss, yielding λ = 2.65</w:t>
      </w:r>
    </w:p>
    <w:p/>
    <w:p/>
    <w:p/>
    <w:p w14:paraId="68C61914" w14:textId="77777777" w:rsidR="009B0938" w:rsidRPr="0014714E" w:rsidRDefault="00000000">
      <w:pPr>
        <w:pStyle w:val="Heading1"/>
        <w:rPr>
          <w:rFonts w:ascii="Garamond" w:hAnsi="Garamond"/>
        </w:rPr>
      </w:pPr>
      <w:r w:rsidRPr="0014714E">
        <w:rPr>
          <w:rFonts w:ascii="Garamond" w:hAnsi="Garamond"/>
        </w:rPr>
        <w:t>3. Empirical Validation</w:t>
      </w:r>
    </w:p>
    <w:p w14:paraId="12BD076F" w14:textId="77777777" w:rsidR="009B0938" w:rsidRPr="0014714E" w:rsidRDefault="00000000">
      <w:pPr>
        <w:pStyle w:val="Heading2"/>
        <w:rPr>
          <w:rFonts w:ascii="Garamond" w:hAnsi="Garamond"/>
        </w:rPr>
      </w:pPr>
      <w:r w:rsidRPr="0014714E">
        <w:rPr>
          <w:rFonts w:ascii="Garamond" w:hAnsi="Garamond"/>
        </w:rPr>
        <w:t>3.1 Calibration</w:t>
      </w:r>
    </w:p>
    <w:p w14:paraId="78D2E7C4" w14:textId="77777777" w:rsidR="009B0938" w:rsidRPr="0014714E" w:rsidRDefault="00000000">
      <w:pPr>
        <w:rPr>
          <w:rFonts w:ascii="Garamond" w:hAnsi="Garamond"/>
        </w:rPr>
      </w:pPr>
      <w:r w:rsidRPr="0014714E">
        <w:rPr>
          <w:rFonts w:ascii="Garamond" w:hAnsi="Garamond"/>
        </w:rPr>
        <w:t>The model requires one input: the d × d attribute covariance matrix Σ. We calibrate Σ from a single dataset—106 ultimatum game observations from Fraser and Nettle (2022)—using 5-fold cross-validated ridge regression with regularization parameter α = 0.001. The calibrated Σ is then frozen: all subsequent predictions use this same matrix with zero re-calibration.</w:t>
      </w:r>
    </w:p>
    <w:p w14:paraId="397C2F5D" w14:textId="77777777" w:rsidR="0014714E" w:rsidRDefault="0014714E">
      <w:pPr>
        <w:spacing w:after="200" w:line="276" w:lineRule="auto"/>
        <w:rPr>
          <w:rFonts w:ascii="Garamond" w:eastAsiaTheme="majorEastAsia" w:hAnsi="Garamond" w:cstheme="majorBidi"/>
          <w:b/>
          <w:bCs/>
          <w:color w:val="4F81BD" w:themeColor="accent1"/>
          <w:sz w:val="26"/>
          <w:szCs w:val="26"/>
        </w:rPr>
      </w:pPr>
      <w:r>
        <w:rPr>
          <w:rFonts w:ascii="Garamond" w:hAnsi="Garamond"/>
        </w:rPr>
      </w:r>
    </w:p>
    <w:p w14:paraId="4E123E1E" w14:textId="6430A6CF" w:rsidR="009B0938" w:rsidRPr="0014714E" w:rsidRDefault="00000000">
      <w:pPr>
        <w:pStyle w:val="Heading2"/>
        <w:rPr>
          <w:rFonts w:ascii="Garamond" w:hAnsi="Garamond"/>
        </w:rPr>
      </w:pPr>
      <w:r w:rsidRPr="0014714E">
        <w:rPr>
          <w:rFonts w:ascii="Garamond" w:hAnsi="Garamond"/>
        </w:rPr>
        <w:t>3.2 Out-of-Sample Predictions</w:t>
      </w:r>
    </w:p>
    <w:p w14:paraId="2CE5DEBD" w14:textId="77777777" w:rsidR="009B0938" w:rsidRPr="0014714E" w:rsidRDefault="00000000">
      <w:pPr>
        <w:rPr>
          <w:rFonts w:ascii="Garamond" w:hAnsi="Garamond"/>
        </w:rPr>
      </w:pPr>
      <w:r w:rsidRPr="0014714E">
        <w:rPr>
          <w:rFonts w:ascii="Garamond" w:hAnsi="Garamond"/>
        </w:rPr>
        <w:t>Using the frozen Σ, we generate zero-parameter predictions for three canonical games:</w:t>
      </w:r>
    </w:p>
    <w:tbl>
      <w:tblPr>
        <w:tblStyle w:val="TableGrid"/>
        <w:tblW w:w="0" w:type="auto"/>
        <w:jc w:val="center"/>
        <w:tblLook w:val="04A0" w:firstRow="1" w:lastRow="0" w:firstColumn="1" w:lastColumn="0" w:noHBand="0" w:noVBand="1"/>
      </w:tblPr>
      <w:tblGrid>
        <w:gridCol w:w="2160"/>
        <w:gridCol w:w="2160"/>
        <w:gridCol w:w="2160"/>
        <w:gridCol w:w="2160"/>
      </w:tblGrid>
      <w:tr w:rsidR="009B0938" w:rsidRPr="0014714E" w14:paraId="1F33F5FB" w14:textId="77777777">
        <w:trPr>
          <w:jc w:val="center"/>
        </w:trPr>
        <w:tc>
          <w:tcPr>
            <w:tcW w:w="2160" w:type="dxa"/>
          </w:tcPr>
          <w:p w14:paraId="099ECA56" w14:textId="77777777" w:rsidR="009B0938" w:rsidRPr="0014714E" w:rsidRDefault="00000000">
            <w:pPr>
              <w:rPr>
                <w:rFonts w:ascii="Garamond" w:hAnsi="Garamond"/>
              </w:rPr>
            </w:pPr>
            <w:r w:rsidRPr="0014714E">
              <w:rPr>
                <w:rFonts w:ascii="Garamond" w:hAnsi="Garamond"/>
                <w:b/>
              </w:rPr>
              <w:t>Game</w:t>
            </w:r>
          </w:p>
        </w:tc>
        <w:tc>
          <w:tcPr>
            <w:tcW w:w="2160" w:type="dxa"/>
          </w:tcPr>
          <w:p w14:paraId="2BC4F845" w14:textId="77777777" w:rsidR="009B0938" w:rsidRPr="0014714E" w:rsidRDefault="00000000">
            <w:pPr>
              <w:rPr>
                <w:rFonts w:ascii="Garamond" w:hAnsi="Garamond"/>
              </w:rPr>
            </w:pPr>
            <w:r w:rsidRPr="0014714E">
              <w:rPr>
                <w:rFonts w:ascii="Garamond" w:hAnsi="Garamond"/>
                <w:b/>
              </w:rPr>
              <w:t>Predicted</w:t>
            </w:r>
          </w:p>
        </w:tc>
        <w:tc>
          <w:tcPr>
            <w:tcW w:w="2160" w:type="dxa"/>
          </w:tcPr>
          <w:p w14:paraId="3E753D4B" w14:textId="77777777" w:rsidR="009B0938" w:rsidRPr="0014714E" w:rsidRDefault="00000000">
            <w:pPr>
              <w:rPr>
                <w:rFonts w:ascii="Garamond" w:hAnsi="Garamond"/>
              </w:rPr>
            </w:pPr>
            <w:r w:rsidRPr="0014714E">
              <w:rPr>
                <w:rFonts w:ascii="Garamond" w:hAnsi="Garamond"/>
                <w:b/>
              </w:rPr>
              <w:t>Observed</w:t>
            </w:r>
          </w:p>
        </w:tc>
        <w:tc>
          <w:tcPr>
            <w:tcW w:w="2160" w:type="dxa"/>
          </w:tcPr>
          <w:p w14:paraId="32BD3200" w14:textId="77777777" w:rsidR="009B0938" w:rsidRPr="0014714E" w:rsidRDefault="00000000">
            <w:pPr>
              <w:rPr>
                <w:rFonts w:ascii="Garamond" w:hAnsi="Garamond"/>
              </w:rPr>
            </w:pPr>
            <w:r w:rsidRPr="0014714E">
              <w:rPr>
                <w:rFonts w:ascii="Garamond" w:hAnsi="Garamond"/>
                <w:b/>
              </w:rPr>
              <w:t>Source</w:t>
            </w:r>
          </w:p>
        </w:tc>
      </w:tr>
      <w:tr w:rsidR="009B0938" w:rsidRPr="0014714E" w14:paraId="54910D81" w14:textId="77777777">
        <w:trPr>
          <w:jc w:val="center"/>
        </w:trPr>
        <w:tc>
          <w:tcPr>
            <w:tcW w:w="2160" w:type="dxa"/>
          </w:tcPr>
          <w:p w14:paraId="277058B4" w14:textId="77777777" w:rsidR="009B0938" w:rsidRPr="0014714E" w:rsidRDefault="00000000">
            <w:pPr>
              <w:rPr>
                <w:rFonts w:ascii="Garamond" w:hAnsi="Garamond"/>
              </w:rPr>
            </w:pPr>
            <w:r w:rsidRPr="0014714E">
              <w:rPr>
                <w:rFonts w:ascii="Garamond" w:hAnsi="Garamond"/>
              </w:rPr>
              <w:t>Ultimatum (offer %)</w:t>
            </w:r>
          </w:p>
        </w:tc>
        <w:tc>
          <w:tcPr>
            <w:tcW w:w="2160" w:type="dxa"/>
          </w:tcPr>
          <w:p w14:paraId="1C07C5EA" w14:textId="77777777" w:rsidR="009B0938" w:rsidRPr="0014714E" w:rsidRDefault="00000000">
            <w:pPr>
              <w:rPr>
                <w:rFonts w:ascii="Garamond" w:hAnsi="Garamond"/>
              </w:rPr>
            </w:pPr>
            <w:r w:rsidRPr="0014714E">
              <w:rPr>
                <w:rFonts w:ascii="Garamond" w:hAnsi="Garamond"/>
              </w:rPr>
              <w:t>36.9%</w:t>
            </w:r>
          </w:p>
        </w:tc>
        <w:tc>
          <w:tcPr>
            <w:tcW w:w="2160" w:type="dxa"/>
          </w:tcPr>
          <w:p w14:paraId="71405149" w14:textId="77777777" w:rsidR="009B0938" w:rsidRPr="0014714E" w:rsidRDefault="00000000">
            <w:pPr>
              <w:rPr>
                <w:rFonts w:ascii="Garamond" w:hAnsi="Garamond"/>
              </w:rPr>
            </w:pPr>
            <w:r w:rsidRPr="0014714E">
              <w:rPr>
                <w:rFonts w:ascii="Garamond" w:hAnsi="Garamond"/>
              </w:rPr>
              <w:t>44%</w:t>
            </w:r>
          </w:p>
        </w:tc>
        <w:tc>
          <w:tcPr>
            <w:tcW w:w="2160" w:type="dxa"/>
          </w:tcPr>
          <w:p w14:paraId="4B7B4EF6" w14:textId="77777777" w:rsidR="009B0938" w:rsidRPr="0014714E" w:rsidRDefault="00000000">
            <w:pPr>
              <w:rPr>
                <w:rFonts w:ascii="Garamond" w:hAnsi="Garamond"/>
              </w:rPr>
            </w:pPr>
            <w:r w:rsidRPr="0014714E">
              <w:rPr>
                <w:rFonts w:ascii="Garamond" w:hAnsi="Garamond"/>
              </w:rPr>
              <w:t>Camerer (2003)</w:t>
            </w:r>
          </w:p>
        </w:tc>
      </w:tr>
      <w:tr w:rsidR="009B0938" w:rsidRPr="0014714E" w14:paraId="3DF726B2" w14:textId="77777777">
        <w:trPr>
          <w:jc w:val="center"/>
        </w:trPr>
        <w:tc>
          <w:tcPr>
            <w:tcW w:w="2160" w:type="dxa"/>
          </w:tcPr>
          <w:p w14:paraId="5BBFFB68" w14:textId="77777777" w:rsidR="009B0938" w:rsidRPr="0014714E" w:rsidRDefault="00000000">
            <w:pPr>
              <w:rPr>
                <w:rFonts w:ascii="Garamond" w:hAnsi="Garamond"/>
              </w:rPr>
            </w:pPr>
            <w:r w:rsidRPr="0014714E">
              <w:rPr>
                <w:rFonts w:ascii="Garamond" w:hAnsi="Garamond"/>
              </w:rPr>
              <w:t>Dictator (transfer %)</w:t>
            </w:r>
          </w:p>
        </w:tc>
        <w:tc>
          <w:tcPr>
            <w:tcW w:w="2160" w:type="dxa"/>
          </w:tcPr>
          <w:p w14:paraId="6F1CB40C" w14:textId="77777777" w:rsidR="009B0938" w:rsidRPr="0014714E" w:rsidRDefault="00000000">
            <w:pPr>
              <w:rPr>
                <w:rFonts w:ascii="Garamond" w:hAnsi="Garamond"/>
              </w:rPr>
            </w:pPr>
            <w:r w:rsidRPr="0014714E">
              <w:rPr>
                <w:rFonts w:ascii="Garamond" w:hAnsi="Garamond"/>
              </w:rPr>
              <w:t>37.4%</w:t>
            </w:r>
          </w:p>
        </w:tc>
        <w:tc>
          <w:tcPr>
            <w:tcW w:w="2160" w:type="dxa"/>
          </w:tcPr>
          <w:p w14:paraId="3B342672" w14:textId="77777777" w:rsidR="009B0938" w:rsidRPr="0014714E" w:rsidRDefault="00000000">
            <w:pPr>
              <w:rPr>
                <w:rFonts w:ascii="Garamond" w:hAnsi="Garamond"/>
              </w:rPr>
            </w:pPr>
            <w:r w:rsidRPr="0014714E">
              <w:rPr>
                <w:rFonts w:ascii="Garamond" w:hAnsi="Garamond"/>
              </w:rPr>
              <w:t>28.4%</w:t>
            </w:r>
          </w:p>
        </w:tc>
        <w:tc>
          <w:tcPr>
            <w:tcW w:w="2160" w:type="dxa"/>
          </w:tcPr>
          <w:p w14:paraId="5AB3C771" w14:textId="77777777" w:rsidR="009B0938" w:rsidRPr="0014714E" w:rsidRDefault="00000000">
            <w:pPr>
              <w:rPr>
                <w:rFonts w:ascii="Garamond" w:hAnsi="Garamond"/>
              </w:rPr>
            </w:pPr>
            <w:r w:rsidRPr="0014714E">
              <w:rPr>
                <w:rFonts w:ascii="Garamond" w:hAnsi="Garamond"/>
              </w:rPr>
              <w:t>Engel (2011)</w:t>
            </w:r>
          </w:p>
        </w:tc>
      </w:tr>
      <w:tr w:rsidR="009B0938" w:rsidRPr="0014714E" w14:paraId="12F0689A" w14:textId="77777777">
        <w:trPr>
          <w:jc w:val="center"/>
        </w:trPr>
        <w:tc>
          <w:tcPr>
            <w:tcW w:w="2160" w:type="dxa"/>
          </w:tcPr>
          <w:p w14:paraId="4D94630A" w14:textId="77777777" w:rsidR="009B0938" w:rsidRPr="0014714E" w:rsidRDefault="00000000">
            <w:pPr>
              <w:rPr>
                <w:rFonts w:ascii="Garamond" w:hAnsi="Garamond"/>
              </w:rPr>
            </w:pPr>
            <w:r w:rsidRPr="0014714E">
              <w:rPr>
                <w:rFonts w:ascii="Garamond" w:hAnsi="Garamond"/>
              </w:rPr>
              <w:t>Public goods (contribution %)</w:t>
            </w:r>
          </w:p>
        </w:tc>
        <w:tc>
          <w:tcPr>
            <w:tcW w:w="2160" w:type="dxa"/>
          </w:tcPr>
          <w:p w14:paraId="50A85172" w14:textId="77777777" w:rsidR="009B0938" w:rsidRPr="0014714E" w:rsidRDefault="00000000">
            <w:pPr>
              <w:rPr>
                <w:rFonts w:ascii="Garamond" w:hAnsi="Garamond"/>
              </w:rPr>
            </w:pPr>
            <w:r w:rsidRPr="0014714E">
              <w:rPr>
                <w:rFonts w:ascii="Garamond" w:hAnsi="Garamond"/>
              </w:rPr>
              <w:t>50.0%</w:t>
            </w:r>
          </w:p>
        </w:tc>
        <w:tc>
          <w:tcPr>
            <w:tcW w:w="2160" w:type="dxa"/>
          </w:tcPr>
          <w:p w14:paraId="644961F2" w14:textId="77777777" w:rsidR="009B0938" w:rsidRPr="0014714E" w:rsidRDefault="00000000">
            <w:pPr>
              <w:rPr>
                <w:rFonts w:ascii="Garamond" w:hAnsi="Garamond"/>
              </w:rPr>
            </w:pPr>
            <w:r w:rsidRPr="0014714E">
              <w:rPr>
                <w:rFonts w:ascii="Garamond" w:hAnsi="Garamond"/>
              </w:rPr>
              <w:t>50%</w:t>
            </w:r>
          </w:p>
        </w:tc>
        <w:tc>
          <w:tcPr>
            <w:tcW w:w="2160" w:type="dxa"/>
          </w:tcPr>
          <w:p w14:paraId="6E3F7174" w14:textId="77777777" w:rsidR="009B0938" w:rsidRPr="0014714E" w:rsidRDefault="00000000">
            <w:pPr>
              <w:rPr>
                <w:rFonts w:ascii="Garamond" w:hAnsi="Garamond"/>
              </w:rPr>
            </w:pPr>
            <w:r w:rsidRPr="0014714E">
              <w:rPr>
                <w:rFonts w:ascii="Garamond" w:hAnsi="Garamond"/>
              </w:rPr>
              <w:t>Ledyard (1995)</w:t>
            </w:r>
          </w:p>
        </w:tc>
      </w:tr>
    </w:tbl>
    <w:p w14:paraId="2BE9A05B" w14:textId="77777777" w:rsidR="009B0938" w:rsidRPr="0014714E" w:rsidRDefault="009B0938">
      <w:pPr>
        <w:rPr>
          <w:rFonts w:ascii="Garamond" w:hAnsi="Garamond"/>
        </w:rPr>
      </w:pPr>
    </w:p>
    <w:p w14:paraId="3CB996AE" w14:textId="77777777" w:rsidR="009B0938" w:rsidRPr="0014714E" w:rsidRDefault="00000000">
      <w:pPr>
        <w:rPr>
          <w:rFonts w:ascii="Garamond" w:hAnsi="Garamond"/>
        </w:rPr>
      </w:pPr>
      <w:r w:rsidRPr="0014714E">
        <w:rPr>
          <w:rFonts w:ascii="Garamond" w:hAnsi="Garamond"/>
          <w:b/>
        </w:rPr>
        <w:t xml:space="preserve">Table 1. </w:t>
      </w:r>
      <w:r w:rsidRPr="0014714E">
        <w:rPr>
          <w:rFonts w:ascii="Garamond" w:hAnsi="Garamond"/>
        </w:rPr>
        <w:t>Out-of-sample game predictions using frozen Σ from ultimatum calibration.</w:t>
      </w:r>
    </w:p>
    <w:p w14:paraId="36D65FF6" w14:textId="77777777" w:rsidR="009B0938" w:rsidRPr="0014714E" w:rsidRDefault="00000000">
      <w:pPr>
        <w:rPr>
          <w:rFonts w:ascii="Garamond" w:hAnsi="Garamond"/>
        </w:rPr>
      </w:pPr>
      <w:r w:rsidRPr="0014714E">
        <w:rPr>
          <w:rFonts w:ascii="Garamond" w:hAnsi="Garamond"/>
        </w:rPr>
        <w:t>The same Σ also predicts the WTA/WTP ratio for the endowment effect: predicted 1.66, observed 2.0–2.5 (Kahneman, Knetsch, &amp; Thaler, 1990).</w:t>
      </w:r>
    </w:p>
    <w:p w14:paraId="592C3689" w14:textId="77777777" w:rsidR="009B0938" w:rsidRPr="0014714E" w:rsidRDefault="00000000">
      <w:pPr>
        <w:pStyle w:val="Heading2"/>
        <w:rPr>
          <w:rFonts w:ascii="Garamond" w:hAnsi="Garamond"/>
        </w:rPr>
      </w:pPr>
      <w:r w:rsidRPr="0014714E">
        <w:rPr>
          <w:rFonts w:ascii="Garamond" w:hAnsi="Garamond"/>
        </w:rPr>
        <w:t>3.3 The Unique Prediction: Variable Loss Aversion</w:t>
      </w:r>
    </w:p>
    <w:tbl>
      <w:tblPr>
        <w:tblStyle w:val="TableGrid"/>
        <w:tblW w:w="0" w:type="auto"/>
        <w:jc w:val="center"/>
        <w:tblLook w:val="04A0" w:firstRow="1" w:lastRow="0" w:firstColumn="1" w:lastColumn="0" w:noHBand="0" w:noVBand="1"/>
      </w:tblPr>
      <w:tblGrid>
        <w:gridCol w:w="2160"/>
        <w:gridCol w:w="2160"/>
        <w:gridCol w:w="2160"/>
        <w:gridCol w:w="2160"/>
      </w:tblGrid>
      <w:tr w:rsidR="009B0938" w:rsidRPr="0014714E" w14:paraId="0F7FF5CF" w14:textId="77777777">
        <w:trPr>
          <w:jc w:val="center"/>
        </w:trPr>
        <w:tc>
          <w:tcPr>
            <w:tcW w:w="2160" w:type="dxa"/>
          </w:tcPr>
          <w:p w14:paraId="1034FB44" w14:textId="77777777" w:rsidR="009B0938" w:rsidRPr="0014714E" w:rsidRDefault="00000000">
            <w:pPr>
              <w:rPr>
                <w:rFonts w:ascii="Garamond" w:hAnsi="Garamond"/>
              </w:rPr>
            </w:pPr>
            <w:r w:rsidRPr="0014714E">
              <w:rPr>
                <w:rFonts w:ascii="Garamond" w:hAnsi="Garamond"/>
                <w:b/>
              </w:rPr>
              <w:t>Good Type</w:t>
            </w:r>
          </w:p>
        </w:tc>
        <w:tc>
          <w:tcPr>
            <w:tcW w:w="2160" w:type="dxa"/>
          </w:tcPr>
          <w:p w14:paraId="5B981CD8" w14:textId="77777777" w:rsidR="009B0938" w:rsidRPr="0014714E" w:rsidRDefault="00000000">
            <w:pPr>
              <w:rPr>
                <w:rFonts w:ascii="Garamond" w:hAnsi="Garamond"/>
              </w:rPr>
            </w:pPr>
            <w:r w:rsidRPr="0014714E">
              <w:rPr>
                <w:rFonts w:ascii="Garamond" w:hAnsi="Garamond"/>
                <w:b/>
              </w:rPr>
              <w:t>Active Dimensions</w:t>
            </w:r>
          </w:p>
        </w:tc>
        <w:tc>
          <w:tcPr>
            <w:tcW w:w="2160" w:type="dxa"/>
          </w:tcPr>
          <w:p w14:paraId="75976CB2" w14:textId="77777777" w:rsidR="009B0938" w:rsidRPr="0014714E" w:rsidRDefault="00000000">
            <w:pPr>
              <w:rPr>
                <w:rFonts w:ascii="Garamond" w:hAnsi="Garamond"/>
              </w:rPr>
            </w:pPr>
            <w:r w:rsidRPr="0014714E">
              <w:rPr>
                <w:rFonts w:ascii="Garamond" w:hAnsi="Garamond"/>
                <w:b/>
              </w:rPr>
              <w:t>Predicted λ</w:t>
            </w:r>
          </w:p>
        </w:tc>
        <w:tc>
          <w:tcPr>
            <w:tcW w:w="2160" w:type="dxa"/>
          </w:tcPr>
          <w:p w14:paraId="4D31EDE3" w14:textId="77777777" w:rsidR="009B0938" w:rsidRPr="0014714E" w:rsidRDefault="00000000">
            <w:pPr>
              <w:rPr>
                <w:rFonts w:ascii="Garamond" w:hAnsi="Garamond"/>
              </w:rPr>
            </w:pPr>
            <w:r w:rsidRPr="0014714E">
              <w:rPr>
                <w:rFonts w:ascii="Garamond" w:hAnsi="Garamond"/>
                <w:b/>
              </w:rPr>
              <w:t>CPT λ</w:t>
            </w:r>
          </w:p>
        </w:tc>
      </w:tr>
      <w:tr w:rsidR="009B0938" w:rsidRPr="0014714E" w14:paraId="6D77F616" w14:textId="77777777">
        <w:trPr>
          <w:jc w:val="center"/>
        </w:trPr>
        <w:tc>
          <w:tcPr>
            <w:tcW w:w="2160" w:type="dxa"/>
          </w:tcPr>
          <w:p w14:paraId="3B05BF98" w14:textId="77777777" w:rsidR="009B0938" w:rsidRPr="0014714E" w:rsidRDefault="00000000">
            <w:pPr>
              <w:rPr>
                <w:rFonts w:ascii="Garamond" w:hAnsi="Garamond"/>
              </w:rPr>
            </w:pPr>
            <w:r w:rsidRPr="0014714E">
              <w:rPr>
                <w:rFonts w:ascii="Garamond" w:hAnsi="Garamond"/>
              </w:rPr>
              <w:t>Pure cash</w:t>
            </w:r>
          </w:p>
        </w:tc>
        <w:tc>
          <w:tcPr>
            <w:tcW w:w="2160" w:type="dxa"/>
          </w:tcPr>
          <w:p w14:paraId="6694094D" w14:textId="77777777" w:rsidR="009B0938" w:rsidRPr="0014714E" w:rsidRDefault="00000000">
            <w:pPr>
              <w:rPr>
                <w:rFonts w:ascii="Garamond" w:hAnsi="Garamond"/>
              </w:rPr>
            </w:pPr>
            <w:r w:rsidRPr="0014714E">
              <w:rPr>
                <w:rFonts w:ascii="Garamond" w:hAnsi="Garamond"/>
              </w:rPr>
              <w:t>1</w:t>
            </w:r>
          </w:p>
        </w:tc>
        <w:tc>
          <w:tcPr>
            <w:tcW w:w="2160" w:type="dxa"/>
          </w:tcPr>
          <w:p w14:paraId="5835BC11" w14:textId="77777777" w:rsidR="009B0938" w:rsidRPr="0014714E" w:rsidRDefault="00000000">
            <w:pPr>
              <w:rPr>
                <w:rFonts w:ascii="Garamond" w:hAnsi="Garamond"/>
              </w:rPr>
            </w:pPr>
            <w:r w:rsidRPr="0014714E">
              <w:rPr>
                <w:rFonts w:ascii="Garamond" w:hAnsi="Garamond"/>
              </w:rPr>
              <w:t>1.00</w:t>
            </w:r>
          </w:p>
        </w:tc>
        <w:tc>
          <w:tcPr>
            <w:tcW w:w="2160" w:type="dxa"/>
          </w:tcPr>
          <w:p w14:paraId="207CC400" w14:textId="77777777" w:rsidR="009B0938" w:rsidRPr="0014714E" w:rsidRDefault="00000000">
            <w:pPr>
              <w:rPr>
                <w:rFonts w:ascii="Garamond" w:hAnsi="Garamond"/>
              </w:rPr>
            </w:pPr>
            <w:r w:rsidRPr="0014714E">
              <w:rPr>
                <w:rFonts w:ascii="Garamond" w:hAnsi="Garamond"/>
              </w:rPr>
              <w:t>2.25</w:t>
            </w:r>
          </w:p>
        </w:tc>
      </w:tr>
      <w:tr w:rsidR="009B0938" w:rsidRPr="0014714E" w14:paraId="3B781FE9" w14:textId="77777777">
        <w:trPr>
          <w:jc w:val="center"/>
        </w:trPr>
        <w:tc>
          <w:tcPr>
            <w:tcW w:w="2160" w:type="dxa"/>
          </w:tcPr>
          <w:p w14:paraId="2E288BC6" w14:textId="77777777" w:rsidR="009B0938" w:rsidRPr="0014714E" w:rsidRDefault="00000000">
            <w:pPr>
              <w:rPr>
                <w:rFonts w:ascii="Garamond" w:hAnsi="Garamond"/>
              </w:rPr>
            </w:pPr>
            <w:r w:rsidRPr="0014714E">
              <w:rPr>
                <w:rFonts w:ascii="Garamond" w:hAnsi="Garamond"/>
              </w:rPr>
              <w:t>Commodity</w:t>
            </w:r>
          </w:p>
        </w:tc>
        <w:tc>
          <w:tcPr>
            <w:tcW w:w="2160" w:type="dxa"/>
          </w:tcPr>
          <w:p w14:paraId="6487066A" w14:textId="77777777" w:rsidR="009B0938" w:rsidRPr="0014714E" w:rsidRDefault="00000000">
            <w:pPr>
              <w:rPr>
                <w:rFonts w:ascii="Garamond" w:hAnsi="Garamond"/>
              </w:rPr>
            </w:pPr>
            <w:r w:rsidRPr="0014714E">
              <w:rPr>
                <w:rFonts w:ascii="Garamond" w:hAnsi="Garamond"/>
              </w:rPr>
              <w:t>2</w:t>
            </w:r>
          </w:p>
        </w:tc>
        <w:tc>
          <w:tcPr>
            <w:tcW w:w="2160" w:type="dxa"/>
          </w:tcPr>
          <w:p w14:paraId="2B0E0865" w14:textId="77777777" w:rsidR="009B0938" w:rsidRPr="0014714E" w:rsidRDefault="00000000">
            <w:pPr>
              <w:rPr>
                <w:rFonts w:ascii="Garamond" w:hAnsi="Garamond"/>
              </w:rPr>
            </w:pPr>
            <w:r w:rsidRPr="0014714E">
              <w:rPr>
                <w:rFonts w:ascii="Garamond" w:hAnsi="Garamond"/>
              </w:rPr>
              <w:t>1.63</w:t>
            </w:r>
          </w:p>
        </w:tc>
        <w:tc>
          <w:tcPr>
            <w:tcW w:w="2160" w:type="dxa"/>
          </w:tcPr>
          <w:p w14:paraId="5464D625" w14:textId="77777777" w:rsidR="009B0938" w:rsidRPr="0014714E" w:rsidRDefault="00000000">
            <w:pPr>
              <w:rPr>
                <w:rFonts w:ascii="Garamond" w:hAnsi="Garamond"/>
              </w:rPr>
            </w:pPr>
            <w:r w:rsidRPr="0014714E">
              <w:rPr>
                <w:rFonts w:ascii="Garamond" w:hAnsi="Garamond"/>
              </w:rPr>
              <w:t>2.25</w:t>
            </w:r>
          </w:p>
        </w:tc>
      </w:tr>
      <w:tr w:rsidR="009B0938" w:rsidRPr="0014714E" w14:paraId="2E73BBDF" w14:textId="77777777">
        <w:trPr>
          <w:jc w:val="center"/>
        </w:trPr>
        <w:tc>
          <w:tcPr>
            <w:tcW w:w="2160" w:type="dxa"/>
          </w:tcPr>
          <w:p w14:paraId="0A6CF8A7" w14:textId="77777777" w:rsidR="009B0938" w:rsidRPr="0014714E" w:rsidRDefault="00000000">
            <w:pPr>
              <w:rPr>
                <w:rFonts w:ascii="Garamond" w:hAnsi="Garamond"/>
              </w:rPr>
            </w:pPr>
            <w:r w:rsidRPr="0014714E">
              <w:rPr>
                <w:rFonts w:ascii="Garamond" w:hAnsi="Garamond"/>
              </w:rPr>
              <w:t>Gift</w:t>
            </w:r>
          </w:p>
        </w:tc>
        <w:tc>
          <w:tcPr>
            <w:tcW w:w="2160" w:type="dxa"/>
          </w:tcPr>
          <w:p w14:paraId="118BCB54" w14:textId="77777777" w:rsidR="009B0938" w:rsidRPr="0014714E" w:rsidRDefault="00000000">
            <w:pPr>
              <w:rPr>
                <w:rFonts w:ascii="Garamond" w:hAnsi="Garamond"/>
              </w:rPr>
            </w:pPr>
            <w:r w:rsidRPr="0014714E">
              <w:rPr>
                <w:rFonts w:ascii="Garamond" w:hAnsi="Garamond"/>
              </w:rPr>
              <w:t>3</w:t>
            </w:r>
          </w:p>
        </w:tc>
        <w:tc>
          <w:tcPr>
            <w:tcW w:w="2160" w:type="dxa"/>
          </w:tcPr>
          <w:p w14:paraId="3B0412E2" w14:textId="77777777" w:rsidR="009B0938" w:rsidRPr="0014714E" w:rsidRDefault="00000000">
            <w:pPr>
              <w:rPr>
                <w:rFonts w:ascii="Garamond" w:hAnsi="Garamond"/>
              </w:rPr>
            </w:pPr>
            <w:r w:rsidRPr="0014714E">
              <w:rPr>
                <w:rFonts w:ascii="Garamond" w:hAnsi="Garamond"/>
              </w:rPr>
              <w:t>1.91</w:t>
            </w:r>
          </w:p>
        </w:tc>
        <w:tc>
          <w:tcPr>
            <w:tcW w:w="2160" w:type="dxa"/>
          </w:tcPr>
          <w:p w14:paraId="265538E0" w14:textId="77777777" w:rsidR="009B0938" w:rsidRPr="0014714E" w:rsidRDefault="00000000">
            <w:pPr>
              <w:rPr>
                <w:rFonts w:ascii="Garamond" w:hAnsi="Garamond"/>
              </w:rPr>
            </w:pPr>
            <w:r w:rsidRPr="0014714E">
              <w:rPr>
                <w:rFonts w:ascii="Garamond" w:hAnsi="Garamond"/>
              </w:rPr>
              <w:t>2.25</w:t>
            </w:r>
          </w:p>
        </w:tc>
      </w:tr>
      <w:tr w:rsidR="009B0938" w:rsidRPr="0014714E" w14:paraId="51207617" w14:textId="77777777">
        <w:trPr>
          <w:jc w:val="center"/>
        </w:trPr>
        <w:tc>
          <w:tcPr>
            <w:tcW w:w="2160" w:type="dxa"/>
          </w:tcPr>
          <w:p w14:paraId="28FB3354" w14:textId="77777777" w:rsidR="009B0938" w:rsidRPr="0014714E" w:rsidRDefault="00000000">
            <w:pPr>
              <w:rPr>
                <w:rFonts w:ascii="Garamond" w:hAnsi="Garamond"/>
              </w:rPr>
            </w:pPr>
            <w:r w:rsidRPr="0014714E">
              <w:rPr>
                <w:rFonts w:ascii="Garamond" w:hAnsi="Garamond"/>
              </w:rPr>
              <w:t>Standard good (KT)</w:t>
            </w:r>
          </w:p>
        </w:tc>
        <w:tc>
          <w:tcPr>
            <w:tcW w:w="2160" w:type="dxa"/>
          </w:tcPr>
          <w:p w14:paraId="47ECE4C6" w14:textId="77777777" w:rsidR="009B0938" w:rsidRPr="0014714E" w:rsidRDefault="00000000">
            <w:pPr>
              <w:rPr>
                <w:rFonts w:ascii="Garamond" w:hAnsi="Garamond"/>
              </w:rPr>
            </w:pPr>
            <w:r w:rsidRPr="0014714E">
              <w:rPr>
                <w:rFonts w:ascii="Garamond" w:hAnsi="Garamond"/>
              </w:rPr>
              <w:t>5</w:t>
            </w:r>
          </w:p>
        </w:tc>
        <w:tc>
          <w:tcPr>
            <w:tcW w:w="2160" w:type="dxa"/>
          </w:tcPr>
          <w:p w14:paraId="66114FCD" w14:textId="77777777" w:rsidR="009B0938" w:rsidRPr="0014714E" w:rsidRDefault="00000000">
            <w:pPr>
              <w:rPr>
                <w:rFonts w:ascii="Garamond" w:hAnsi="Garamond"/>
              </w:rPr>
            </w:pPr>
            <w:r w:rsidRPr="0014714E">
              <w:rPr>
                <w:rFonts w:ascii="Garamond" w:hAnsi="Garamond"/>
              </w:rPr>
              <w:t>2.22</w:t>
            </w:r>
          </w:p>
        </w:tc>
        <w:tc>
          <w:tcPr>
            <w:tcW w:w="2160" w:type="dxa"/>
          </w:tcPr>
          <w:p w14:paraId="412F5D70" w14:textId="77777777" w:rsidR="009B0938" w:rsidRPr="0014714E" w:rsidRDefault="00000000">
            <w:pPr>
              <w:rPr>
                <w:rFonts w:ascii="Garamond" w:hAnsi="Garamond"/>
              </w:rPr>
            </w:pPr>
            <w:r w:rsidRPr="0014714E">
              <w:rPr>
                <w:rFonts w:ascii="Garamond" w:hAnsi="Garamond"/>
              </w:rPr>
              <w:t>2.25</w:t>
            </w:r>
          </w:p>
        </w:tc>
      </w:tr>
      <w:tr w:rsidR="009B0938" w:rsidRPr="0014714E" w14:paraId="046B7ECC" w14:textId="77777777">
        <w:trPr>
          <w:jc w:val="center"/>
        </w:trPr>
        <w:tc>
          <w:tcPr>
            <w:tcW w:w="2160" w:type="dxa"/>
          </w:tcPr>
          <w:p w14:paraId="655F397A" w14:textId="77777777" w:rsidR="009B0938" w:rsidRPr="0014714E" w:rsidRDefault="00000000">
            <w:pPr>
              <w:rPr>
                <w:rFonts w:ascii="Garamond" w:hAnsi="Garamond"/>
              </w:rPr>
            </w:pPr>
            <w:r w:rsidRPr="0014714E">
              <w:rPr>
                <w:rFonts w:ascii="Garamond" w:hAnsi="Garamond"/>
              </w:rPr>
              <w:t>Heirloom</w:t>
            </w:r>
          </w:p>
        </w:tc>
        <w:tc>
          <w:tcPr>
            <w:tcW w:w="2160" w:type="dxa"/>
          </w:tcPr>
          <w:p w14:paraId="112CF775" w14:textId="77777777" w:rsidR="009B0938" w:rsidRPr="0014714E" w:rsidRDefault="00000000">
            <w:pPr>
              <w:rPr>
                <w:rFonts w:ascii="Garamond" w:hAnsi="Garamond"/>
              </w:rPr>
            </w:pPr>
            <w:r w:rsidRPr="0014714E">
              <w:rPr>
                <w:rFonts w:ascii="Garamond" w:hAnsi="Garamond"/>
              </w:rPr>
              <w:t>7</w:t>
            </w:r>
          </w:p>
        </w:tc>
        <w:tc>
          <w:tcPr>
            <w:tcW w:w="2160" w:type="dxa"/>
          </w:tcPr>
          <w:p w14:paraId="051DF9D5" w14:textId="77777777" w:rsidR="009B0938" w:rsidRPr="0014714E" w:rsidRDefault="00000000">
            <w:pPr>
              <w:rPr>
                <w:rFonts w:ascii="Garamond" w:hAnsi="Garamond"/>
              </w:rPr>
            </w:pPr>
            <w:r w:rsidRPr="0014714E">
              <w:rPr>
                <w:rFonts w:ascii="Garamond" w:hAnsi="Garamond"/>
              </w:rPr>
              <w:t>2.65</w:t>
            </w:r>
          </w:p>
        </w:tc>
        <w:tc>
          <w:tcPr>
            <w:tcW w:w="2160" w:type="dxa"/>
          </w:tcPr>
          <w:p w14:paraId="6A0607F0" w14:textId="77777777" w:rsidR="009B0938" w:rsidRPr="0014714E" w:rsidRDefault="00000000">
            <w:pPr>
              <w:rPr>
                <w:rFonts w:ascii="Garamond" w:hAnsi="Garamond"/>
              </w:rPr>
            </w:pPr>
            <w:r w:rsidRPr="0014714E">
              <w:rPr>
                <w:rFonts w:ascii="Garamond" w:hAnsi="Garamond"/>
              </w:rPr>
              <w:t>2.25</w:t>
            </w:r>
          </w:p>
        </w:tc>
      </w:tr>
    </w:tbl>
    <w:p w14:paraId="2AEC0E36" w14:textId="77777777" w:rsidR="009B0938" w:rsidRPr="0014714E" w:rsidRDefault="009B0938">
      <w:pPr>
        <w:rPr>
          <w:rFonts w:ascii="Garamond" w:hAnsi="Garamond"/>
        </w:rPr>
      </w:pPr>
    </w:p>
    <w:p w14:paraId="3CE9E6A3" w14:textId="77777777" w:rsidR="009B0938" w:rsidRPr="0014714E" w:rsidRDefault="00000000">
      <w:pPr>
        <w:rPr>
          <w:rFonts w:ascii="Garamond" w:hAnsi="Garamond"/>
        </w:rPr>
      </w:pPr>
      <w:r w:rsidRPr="0014714E">
        <w:rPr>
          <w:rFonts w:ascii="Garamond" w:hAnsi="Garamond"/>
          <w:b/>
        </w:rPr>
        <w:t xml:space="preserve">Table 2. </w:t>
      </w:r>
      <w:r w:rsidRPr="0014714E">
        <w:rPr>
          <w:rFonts w:ascii="Garamond" w:hAnsi="Garamond"/>
        </w:rPr>
        <w:t>Predicted variable loss aversion vs. CPT constant. The geometric model recovers λ ≈ 2.25 for standard goods (d = 5) and predicts the variation across good types that CPT cannot explain.</w:t>
      </w:r>
    </w:p>
    <w:p w14:paraId="7441DDD1" w14:textId="77777777" w:rsidR="009B0938" w:rsidRPr="0014714E" w:rsidRDefault="00000000">
      <w:pPr>
        <w:rPr>
          <w:rFonts w:ascii="Garamond" w:hAnsi="Garamond"/>
        </w:rPr>
      </w:pPr>
      <w:r w:rsidRPr="0014714E">
        <w:rPr>
          <w:rFonts w:ascii="Garamond" w:hAnsi="Garamond"/>
        </w:rPr>
        <w:t>The geometric model matches the Kahneman–Tversky estimate (λ ≈ 2.25) for standard goods (d = 5, predicted λ = 2.22)—recovering CPT as a special case. But it also predicts the variation across good types: near-zero loss aversion for pure money, moderate for commodities, and strong for identity-</w:t>
      </w:r>
      <w:r w:rsidRPr="0014714E">
        <w:rPr>
          <w:rFonts w:ascii="Garamond" w:hAnsi="Garamond"/>
        </w:rPr>
        <w:t>laden goods. CPT, by construction, predicts λ = 2.25 for all goods. Monotonicity is verified: λ increases strictly with d.</w:t>
      </w:r>
    </w:p>
    <w:p w14:paraId="1DE79CA1" w14:textId="77777777" w:rsidR="009B0938" w:rsidRPr="0014714E" w:rsidRDefault="00000000">
      <w:pPr>
        <w:pStyle w:val="Heading2"/>
        <w:rPr>
          <w:rFonts w:ascii="Garamond" w:hAnsi="Garamond"/>
        </w:rPr>
      </w:pPr>
      <w:r w:rsidRPr="0014714E">
        <w:rPr>
          <w:rFonts w:ascii="Garamond" w:hAnsi="Garamond"/>
        </w:rPr>
        <w:t>3.4 Cross-Cultural Validation</w:t>
      </w:r>
    </w:p>
    <w:p w14:paraId="59709026" w14:textId="77777777" w:rsidR="009B0938" w:rsidRPr="0014714E" w:rsidRDefault="00000000">
      <w:pPr>
        <w:rPr>
          <w:rFonts w:ascii="Garamond" w:hAnsi="Garamond"/>
        </w:rPr>
      </w:pPr>
      <w:r w:rsidRPr="0014714E">
        <w:rPr>
          <w:rFonts w:ascii="Garamond" w:hAnsi="Garamond"/>
        </w:rPr>
        <w:t>The frozen Σ generates predictions for seven cross-cultural populations:</w:t>
      </w:r>
    </w:p>
    <w:tbl>
      <w:tblPr>
        <w:tblStyle w:val="TableGrid"/>
        <w:tblW w:w="0" w:type="auto"/>
        <w:jc w:val="center"/>
        <w:tblLook w:val="04A0" w:firstRow="1" w:lastRow="0" w:firstColumn="1" w:lastColumn="0" w:noHBand="0" w:noVBand="1"/>
      </w:tblPr>
      <w:tblGrid>
        <w:gridCol w:w="2160"/>
        <w:gridCol w:w="2160"/>
        <w:gridCol w:w="2160"/>
        <w:gridCol w:w="2160"/>
      </w:tblGrid>
      <w:tr w:rsidR="009B0938" w:rsidRPr="0014714E" w14:paraId="0FA64478" w14:textId="77777777">
        <w:trPr>
          <w:jc w:val="center"/>
        </w:trPr>
        <w:tc>
          <w:tcPr>
            <w:tcW w:w="2160" w:type="dxa"/>
          </w:tcPr>
          <w:p w14:paraId="4E56DC78" w14:textId="77777777" w:rsidR="009B0938" w:rsidRPr="0014714E" w:rsidRDefault="00000000">
            <w:pPr>
              <w:rPr>
                <w:rFonts w:ascii="Garamond" w:hAnsi="Garamond"/>
              </w:rPr>
            </w:pPr>
            <w:r w:rsidRPr="0014714E">
              <w:rPr>
                <w:rFonts w:ascii="Garamond" w:hAnsi="Garamond"/>
                <w:b/>
              </w:rPr>
              <w:t>Population</w:t>
            </w:r>
          </w:p>
        </w:tc>
        <w:tc>
          <w:tcPr>
            <w:tcW w:w="2160" w:type="dxa"/>
          </w:tcPr>
          <w:p w14:paraId="7554B930" w14:textId="77777777" w:rsidR="009B0938" w:rsidRPr="0014714E" w:rsidRDefault="00000000">
            <w:pPr>
              <w:rPr>
                <w:rFonts w:ascii="Garamond" w:hAnsi="Garamond"/>
              </w:rPr>
            </w:pPr>
            <w:r w:rsidRPr="0014714E">
              <w:rPr>
                <w:rFonts w:ascii="Garamond" w:hAnsi="Garamond"/>
                <w:b/>
              </w:rPr>
              <w:t>Predicted</w:t>
            </w:r>
          </w:p>
        </w:tc>
        <w:tc>
          <w:tcPr>
            <w:tcW w:w="2160" w:type="dxa"/>
          </w:tcPr>
          <w:p w14:paraId="4E515F39" w14:textId="77777777" w:rsidR="009B0938" w:rsidRPr="0014714E" w:rsidRDefault="00000000">
            <w:pPr>
              <w:rPr>
                <w:rFonts w:ascii="Garamond" w:hAnsi="Garamond"/>
              </w:rPr>
            </w:pPr>
            <w:r w:rsidRPr="0014714E">
              <w:rPr>
                <w:rFonts w:ascii="Garamond" w:hAnsi="Garamond"/>
                <w:b/>
              </w:rPr>
              <w:t>Observed</w:t>
            </w:r>
          </w:p>
        </w:tc>
        <w:tc>
          <w:tcPr>
            <w:tcW w:w="2160" w:type="dxa"/>
          </w:tcPr>
          <w:p w14:paraId="22BEE00E" w14:textId="77777777" w:rsidR="009B0938" w:rsidRPr="0014714E" w:rsidRDefault="00000000">
            <w:pPr>
              <w:rPr>
                <w:rFonts w:ascii="Garamond" w:hAnsi="Garamond"/>
              </w:rPr>
            </w:pPr>
            <w:r w:rsidRPr="0014714E">
              <w:rPr>
                <w:rFonts w:ascii="Garamond" w:hAnsi="Garamond"/>
                <w:b/>
              </w:rPr>
              <w:t>Error</w:t>
            </w:r>
          </w:p>
        </w:tc>
      </w:tr>
      <w:tr w:rsidR="009B0938" w:rsidRPr="0014714E" w14:paraId="743A5578" w14:textId="77777777">
        <w:trPr>
          <w:jc w:val="center"/>
        </w:trPr>
        <w:tc>
          <w:tcPr>
            <w:tcW w:w="2160" w:type="dxa"/>
          </w:tcPr>
          <w:p w14:paraId="789D58BA" w14:textId="77777777" w:rsidR="009B0938" w:rsidRPr="0014714E" w:rsidRDefault="00000000">
            <w:pPr>
              <w:rPr>
                <w:rFonts w:ascii="Garamond" w:hAnsi="Garamond"/>
              </w:rPr>
            </w:pPr>
            <w:r w:rsidRPr="0014714E">
              <w:rPr>
                <w:rFonts w:ascii="Garamond" w:hAnsi="Garamond"/>
              </w:rPr>
              <w:t>Machiguenga (Peru)</w:t>
            </w:r>
          </w:p>
        </w:tc>
        <w:tc>
          <w:tcPr>
            <w:tcW w:w="2160" w:type="dxa"/>
          </w:tcPr>
          <w:p w14:paraId="4761CD0F" w14:textId="77777777" w:rsidR="009B0938" w:rsidRPr="0014714E" w:rsidRDefault="00000000">
            <w:pPr>
              <w:rPr>
                <w:rFonts w:ascii="Garamond" w:hAnsi="Garamond"/>
              </w:rPr>
            </w:pPr>
            <w:r w:rsidRPr="0014714E">
              <w:rPr>
                <w:rFonts w:ascii="Garamond" w:hAnsi="Garamond"/>
              </w:rPr>
              <w:t>36%</w:t>
            </w:r>
          </w:p>
        </w:tc>
        <w:tc>
          <w:tcPr>
            <w:tcW w:w="2160" w:type="dxa"/>
          </w:tcPr>
          <w:p w14:paraId="0E048B19" w14:textId="77777777" w:rsidR="009B0938" w:rsidRPr="0014714E" w:rsidRDefault="00000000">
            <w:pPr>
              <w:rPr>
                <w:rFonts w:ascii="Garamond" w:hAnsi="Garamond"/>
              </w:rPr>
            </w:pPr>
            <w:r w:rsidRPr="0014714E">
              <w:rPr>
                <w:rFonts w:ascii="Garamond" w:hAnsi="Garamond"/>
              </w:rPr>
              <w:t>26%</w:t>
            </w:r>
          </w:p>
        </w:tc>
        <w:tc>
          <w:tcPr>
            <w:tcW w:w="2160" w:type="dxa"/>
          </w:tcPr>
          <w:p w14:paraId="5F58FEF8" w14:textId="77777777" w:rsidR="009B0938" w:rsidRPr="0014714E" w:rsidRDefault="00000000">
            <w:pPr>
              <w:rPr>
                <w:rFonts w:ascii="Garamond" w:hAnsi="Garamond"/>
              </w:rPr>
            </w:pPr>
            <w:r w:rsidRPr="0014714E">
              <w:rPr>
                <w:rFonts w:ascii="Garamond" w:hAnsi="Garamond"/>
              </w:rPr>
              <w:t>10.0%</w:t>
            </w:r>
          </w:p>
        </w:tc>
      </w:tr>
      <w:tr w:rsidR="009B0938" w:rsidRPr="0014714E" w14:paraId="30DA94C0" w14:textId="77777777">
        <w:trPr>
          <w:jc w:val="center"/>
        </w:trPr>
        <w:tc>
          <w:tcPr>
            <w:tcW w:w="2160" w:type="dxa"/>
          </w:tcPr>
          <w:p w14:paraId="7CEDD394" w14:textId="77777777" w:rsidR="009B0938" w:rsidRPr="0014714E" w:rsidRDefault="00000000">
            <w:pPr>
              <w:rPr>
                <w:rFonts w:ascii="Garamond" w:hAnsi="Garamond"/>
              </w:rPr>
            </w:pPr>
            <w:r w:rsidRPr="0014714E">
              <w:rPr>
                <w:rFonts w:ascii="Garamond" w:hAnsi="Garamond"/>
              </w:rPr>
              <w:t>Hadza (Tanzania)</w:t>
            </w:r>
          </w:p>
        </w:tc>
        <w:tc>
          <w:tcPr>
            <w:tcW w:w="2160" w:type="dxa"/>
          </w:tcPr>
          <w:p w14:paraId="4ADABFB0" w14:textId="77777777" w:rsidR="009B0938" w:rsidRPr="0014714E" w:rsidRDefault="00000000">
            <w:pPr>
              <w:rPr>
                <w:rFonts w:ascii="Garamond" w:hAnsi="Garamond"/>
              </w:rPr>
            </w:pPr>
            <w:r w:rsidRPr="0014714E">
              <w:rPr>
                <w:rFonts w:ascii="Garamond" w:hAnsi="Garamond"/>
              </w:rPr>
              <w:t>36%</w:t>
            </w:r>
          </w:p>
        </w:tc>
        <w:tc>
          <w:tcPr>
            <w:tcW w:w="2160" w:type="dxa"/>
          </w:tcPr>
          <w:p w14:paraId="44F8A492" w14:textId="77777777" w:rsidR="009B0938" w:rsidRPr="0014714E" w:rsidRDefault="00000000">
            <w:pPr>
              <w:rPr>
                <w:rFonts w:ascii="Garamond" w:hAnsi="Garamond"/>
              </w:rPr>
            </w:pPr>
            <w:r w:rsidRPr="0014714E">
              <w:rPr>
                <w:rFonts w:ascii="Garamond" w:hAnsi="Garamond"/>
              </w:rPr>
              <w:t>27%</w:t>
            </w:r>
          </w:p>
        </w:tc>
        <w:tc>
          <w:tcPr>
            <w:tcW w:w="2160" w:type="dxa"/>
          </w:tcPr>
          <w:p w14:paraId="11CE4285" w14:textId="77777777" w:rsidR="009B0938" w:rsidRPr="0014714E" w:rsidRDefault="00000000">
            <w:pPr>
              <w:rPr>
                <w:rFonts w:ascii="Garamond" w:hAnsi="Garamond"/>
              </w:rPr>
            </w:pPr>
            <w:r w:rsidRPr="0014714E">
              <w:rPr>
                <w:rFonts w:ascii="Garamond" w:hAnsi="Garamond"/>
              </w:rPr>
              <w:t>9.2%</w:t>
            </w:r>
          </w:p>
        </w:tc>
      </w:tr>
      <w:tr w:rsidR="009B0938" w:rsidRPr="0014714E" w14:paraId="7B94B2BB" w14:textId="77777777">
        <w:trPr>
          <w:jc w:val="center"/>
        </w:trPr>
        <w:tc>
          <w:tcPr>
            <w:tcW w:w="2160" w:type="dxa"/>
          </w:tcPr>
          <w:p w14:paraId="4C895893" w14:textId="77777777" w:rsidR="009B0938" w:rsidRPr="0014714E" w:rsidRDefault="00000000">
            <w:pPr>
              <w:rPr>
                <w:rFonts w:ascii="Garamond" w:hAnsi="Garamond"/>
              </w:rPr>
            </w:pPr>
            <w:r w:rsidRPr="0014714E">
              <w:rPr>
                <w:rFonts w:ascii="Garamond" w:hAnsi="Garamond"/>
              </w:rPr>
              <w:t>Tsimane (Bolivia)</w:t>
            </w:r>
          </w:p>
        </w:tc>
        <w:tc>
          <w:tcPr>
            <w:tcW w:w="2160" w:type="dxa"/>
          </w:tcPr>
          <w:p w14:paraId="4C17DC8A" w14:textId="77777777" w:rsidR="009B0938" w:rsidRPr="0014714E" w:rsidRDefault="00000000">
            <w:pPr>
              <w:rPr>
                <w:rFonts w:ascii="Garamond" w:hAnsi="Garamond"/>
              </w:rPr>
            </w:pPr>
            <w:r w:rsidRPr="0014714E">
              <w:rPr>
                <w:rFonts w:ascii="Garamond" w:hAnsi="Garamond"/>
              </w:rPr>
              <w:t>36%</w:t>
            </w:r>
          </w:p>
        </w:tc>
        <w:tc>
          <w:tcPr>
            <w:tcW w:w="2160" w:type="dxa"/>
          </w:tcPr>
          <w:p w14:paraId="4A746B81" w14:textId="77777777" w:rsidR="009B0938" w:rsidRPr="0014714E" w:rsidRDefault="00000000">
            <w:pPr>
              <w:rPr>
                <w:rFonts w:ascii="Garamond" w:hAnsi="Garamond"/>
              </w:rPr>
            </w:pPr>
            <w:r w:rsidRPr="0014714E">
              <w:rPr>
                <w:rFonts w:ascii="Garamond" w:hAnsi="Garamond"/>
              </w:rPr>
              <w:t>32%</w:t>
            </w:r>
          </w:p>
        </w:tc>
        <w:tc>
          <w:tcPr>
            <w:tcW w:w="2160" w:type="dxa"/>
          </w:tcPr>
          <w:p w14:paraId="6F4D17BD" w14:textId="77777777" w:rsidR="009B0938" w:rsidRPr="0014714E" w:rsidRDefault="00000000">
            <w:pPr>
              <w:rPr>
                <w:rFonts w:ascii="Garamond" w:hAnsi="Garamond"/>
              </w:rPr>
            </w:pPr>
            <w:r w:rsidRPr="0014714E">
              <w:rPr>
                <w:rFonts w:ascii="Garamond" w:hAnsi="Garamond"/>
              </w:rPr>
              <w:t>4.3%</w:t>
            </w:r>
          </w:p>
        </w:tc>
      </w:tr>
      <w:tr w:rsidR="009B0938" w:rsidRPr="0014714E" w14:paraId="242883BA" w14:textId="77777777">
        <w:trPr>
          <w:jc w:val="center"/>
        </w:trPr>
        <w:tc>
          <w:tcPr>
            <w:tcW w:w="2160" w:type="dxa"/>
          </w:tcPr>
          <w:p w14:paraId="1299A08E" w14:textId="77777777" w:rsidR="009B0938" w:rsidRPr="0014714E" w:rsidRDefault="00000000">
            <w:pPr>
              <w:rPr>
                <w:rFonts w:ascii="Garamond" w:hAnsi="Garamond"/>
              </w:rPr>
            </w:pPr>
            <w:r w:rsidRPr="0014714E">
              <w:rPr>
                <w:rFonts w:ascii="Garamond" w:hAnsi="Garamond"/>
              </w:rPr>
              <w:t>US students</w:t>
            </w:r>
          </w:p>
        </w:tc>
        <w:tc>
          <w:tcPr>
            <w:tcW w:w="2160" w:type="dxa"/>
          </w:tcPr>
          <w:p w14:paraId="2AB11B5D" w14:textId="77777777" w:rsidR="009B0938" w:rsidRPr="0014714E" w:rsidRDefault="00000000">
            <w:pPr>
              <w:rPr>
                <w:rFonts w:ascii="Garamond" w:hAnsi="Garamond"/>
              </w:rPr>
            </w:pPr>
            <w:r w:rsidRPr="0014714E">
              <w:rPr>
                <w:rFonts w:ascii="Garamond" w:hAnsi="Garamond"/>
              </w:rPr>
              <w:t>37%</w:t>
            </w:r>
          </w:p>
        </w:tc>
        <w:tc>
          <w:tcPr>
            <w:tcW w:w="2160" w:type="dxa"/>
          </w:tcPr>
          <w:p w14:paraId="677385F7" w14:textId="77777777" w:rsidR="009B0938" w:rsidRPr="0014714E" w:rsidRDefault="00000000">
            <w:pPr>
              <w:rPr>
                <w:rFonts w:ascii="Garamond" w:hAnsi="Garamond"/>
              </w:rPr>
            </w:pPr>
            <w:r w:rsidRPr="0014714E">
              <w:rPr>
                <w:rFonts w:ascii="Garamond" w:hAnsi="Garamond"/>
              </w:rPr>
              <w:t>42%</w:t>
            </w:r>
          </w:p>
        </w:tc>
        <w:tc>
          <w:tcPr>
            <w:tcW w:w="2160" w:type="dxa"/>
          </w:tcPr>
          <w:p w14:paraId="55E743FF" w14:textId="77777777" w:rsidR="009B0938" w:rsidRPr="0014714E" w:rsidRDefault="00000000">
            <w:pPr>
              <w:rPr>
                <w:rFonts w:ascii="Garamond" w:hAnsi="Garamond"/>
              </w:rPr>
            </w:pPr>
            <w:r w:rsidRPr="0014714E">
              <w:rPr>
                <w:rFonts w:ascii="Garamond" w:hAnsi="Garamond"/>
              </w:rPr>
              <w:t>5.1%</w:t>
            </w:r>
          </w:p>
        </w:tc>
      </w:tr>
      <w:tr w:rsidR="009B0938" w:rsidRPr="0014714E" w14:paraId="7045E0AD" w14:textId="77777777">
        <w:trPr>
          <w:jc w:val="center"/>
        </w:trPr>
        <w:tc>
          <w:tcPr>
            <w:tcW w:w="2160" w:type="dxa"/>
          </w:tcPr>
          <w:p w14:paraId="4152343D" w14:textId="77777777" w:rsidR="009B0938" w:rsidRPr="0014714E" w:rsidRDefault="00000000">
            <w:pPr>
              <w:rPr>
                <w:rFonts w:ascii="Garamond" w:hAnsi="Garamond"/>
              </w:rPr>
            </w:pPr>
            <w:r w:rsidRPr="0014714E">
              <w:rPr>
                <w:rFonts w:ascii="Garamond" w:hAnsi="Garamond"/>
              </w:rPr>
              <w:t>Europe average</w:t>
            </w:r>
          </w:p>
        </w:tc>
        <w:tc>
          <w:tcPr>
            <w:tcW w:w="2160" w:type="dxa"/>
          </w:tcPr>
          <w:p w14:paraId="09AACE72" w14:textId="77777777" w:rsidR="009B0938" w:rsidRPr="0014714E" w:rsidRDefault="00000000">
            <w:pPr>
              <w:rPr>
                <w:rFonts w:ascii="Garamond" w:hAnsi="Garamond"/>
              </w:rPr>
            </w:pPr>
            <w:r w:rsidRPr="0014714E">
              <w:rPr>
                <w:rFonts w:ascii="Garamond" w:hAnsi="Garamond"/>
              </w:rPr>
              <w:t>37%</w:t>
            </w:r>
          </w:p>
        </w:tc>
        <w:tc>
          <w:tcPr>
            <w:tcW w:w="2160" w:type="dxa"/>
          </w:tcPr>
          <w:p w14:paraId="78BEAD6C" w14:textId="77777777" w:rsidR="009B0938" w:rsidRPr="0014714E" w:rsidRDefault="00000000">
            <w:pPr>
              <w:rPr>
                <w:rFonts w:ascii="Garamond" w:hAnsi="Garamond"/>
              </w:rPr>
            </w:pPr>
            <w:r w:rsidRPr="0014714E">
              <w:rPr>
                <w:rFonts w:ascii="Garamond" w:hAnsi="Garamond"/>
              </w:rPr>
              <w:t>44%</w:t>
            </w:r>
          </w:p>
        </w:tc>
        <w:tc>
          <w:tcPr>
            <w:tcW w:w="2160" w:type="dxa"/>
          </w:tcPr>
          <w:p w14:paraId="46100969" w14:textId="77777777" w:rsidR="009B0938" w:rsidRPr="0014714E" w:rsidRDefault="00000000">
            <w:pPr>
              <w:rPr>
                <w:rFonts w:ascii="Garamond" w:hAnsi="Garamond"/>
              </w:rPr>
            </w:pPr>
            <w:r w:rsidRPr="0014714E">
              <w:rPr>
                <w:rFonts w:ascii="Garamond" w:hAnsi="Garamond"/>
              </w:rPr>
              <w:t>7.1%</w:t>
            </w:r>
          </w:p>
        </w:tc>
      </w:tr>
      <w:tr w:rsidR="009B0938" w:rsidRPr="0014714E" w14:paraId="73153D98" w14:textId="77777777">
        <w:trPr>
          <w:jc w:val="center"/>
        </w:trPr>
        <w:tc>
          <w:tcPr>
            <w:tcW w:w="2160" w:type="dxa"/>
          </w:tcPr>
          <w:p w14:paraId="43C93D64" w14:textId="77777777" w:rsidR="009B0938" w:rsidRPr="0014714E" w:rsidRDefault="00000000">
            <w:pPr>
              <w:rPr>
                <w:rFonts w:ascii="Garamond" w:hAnsi="Garamond"/>
              </w:rPr>
            </w:pPr>
            <w:r w:rsidRPr="0014714E">
              <w:rPr>
                <w:rFonts w:ascii="Garamond" w:hAnsi="Garamond"/>
              </w:rPr>
              <w:t>Au (Papua New Guinea)</w:t>
            </w:r>
          </w:p>
        </w:tc>
        <w:tc>
          <w:tcPr>
            <w:tcW w:w="2160" w:type="dxa"/>
          </w:tcPr>
          <w:p w14:paraId="1A44F893" w14:textId="77777777" w:rsidR="009B0938" w:rsidRPr="0014714E" w:rsidRDefault="00000000">
            <w:pPr>
              <w:rPr>
                <w:rFonts w:ascii="Garamond" w:hAnsi="Garamond"/>
              </w:rPr>
            </w:pPr>
            <w:r w:rsidRPr="0014714E">
              <w:rPr>
                <w:rFonts w:ascii="Garamond" w:hAnsi="Garamond"/>
              </w:rPr>
              <w:t>37%</w:t>
            </w:r>
          </w:p>
        </w:tc>
        <w:tc>
          <w:tcPr>
            <w:tcW w:w="2160" w:type="dxa"/>
          </w:tcPr>
          <w:p w14:paraId="6300F1AC" w14:textId="77777777" w:rsidR="009B0938" w:rsidRPr="0014714E" w:rsidRDefault="00000000">
            <w:pPr>
              <w:rPr>
                <w:rFonts w:ascii="Garamond" w:hAnsi="Garamond"/>
              </w:rPr>
            </w:pPr>
            <w:r w:rsidRPr="0014714E">
              <w:rPr>
                <w:rFonts w:ascii="Garamond" w:hAnsi="Garamond"/>
              </w:rPr>
              <w:t>44%</w:t>
            </w:r>
          </w:p>
        </w:tc>
        <w:tc>
          <w:tcPr>
            <w:tcW w:w="2160" w:type="dxa"/>
          </w:tcPr>
          <w:p w14:paraId="36443E42" w14:textId="77777777" w:rsidR="009B0938" w:rsidRPr="0014714E" w:rsidRDefault="00000000">
            <w:pPr>
              <w:rPr>
                <w:rFonts w:ascii="Garamond" w:hAnsi="Garamond"/>
              </w:rPr>
            </w:pPr>
            <w:r w:rsidRPr="0014714E">
              <w:rPr>
                <w:rFonts w:ascii="Garamond" w:hAnsi="Garamond"/>
              </w:rPr>
              <w:t>6.7%</w:t>
            </w:r>
          </w:p>
        </w:tc>
      </w:tr>
      <w:tr w:rsidR="009B0938" w:rsidRPr="0014714E" w14:paraId="390BD876" w14:textId="77777777">
        <w:trPr>
          <w:jc w:val="center"/>
        </w:trPr>
        <w:tc>
          <w:tcPr>
            <w:tcW w:w="2160" w:type="dxa"/>
          </w:tcPr>
          <w:p w14:paraId="10E8E556" w14:textId="77777777" w:rsidR="009B0938" w:rsidRPr="0014714E" w:rsidRDefault="00000000">
            <w:pPr>
              <w:rPr>
                <w:rFonts w:ascii="Garamond" w:hAnsi="Garamond"/>
              </w:rPr>
            </w:pPr>
            <w:r w:rsidRPr="0014714E">
              <w:rPr>
                <w:rFonts w:ascii="Garamond" w:hAnsi="Garamond"/>
              </w:rPr>
              <w:t>Lamalera (Indonesia)</w:t>
            </w:r>
          </w:p>
        </w:tc>
        <w:tc>
          <w:tcPr>
            <w:tcW w:w="2160" w:type="dxa"/>
          </w:tcPr>
          <w:p w14:paraId="51B2C41F" w14:textId="77777777" w:rsidR="009B0938" w:rsidRPr="0014714E" w:rsidRDefault="00000000">
            <w:pPr>
              <w:rPr>
                <w:rFonts w:ascii="Garamond" w:hAnsi="Garamond"/>
              </w:rPr>
            </w:pPr>
            <w:r w:rsidRPr="0014714E">
              <w:rPr>
                <w:rFonts w:ascii="Garamond" w:hAnsi="Garamond"/>
              </w:rPr>
              <w:t>38%</w:t>
            </w:r>
          </w:p>
        </w:tc>
        <w:tc>
          <w:tcPr>
            <w:tcW w:w="2160" w:type="dxa"/>
          </w:tcPr>
          <w:p w14:paraId="521AB5B9" w14:textId="77777777" w:rsidR="009B0938" w:rsidRPr="0014714E" w:rsidRDefault="00000000">
            <w:pPr>
              <w:rPr>
                <w:rFonts w:ascii="Garamond" w:hAnsi="Garamond"/>
              </w:rPr>
            </w:pPr>
            <w:r w:rsidRPr="0014714E">
              <w:rPr>
                <w:rFonts w:ascii="Garamond" w:hAnsi="Garamond"/>
              </w:rPr>
              <w:t>57%</w:t>
            </w:r>
          </w:p>
        </w:tc>
        <w:tc>
          <w:tcPr>
            <w:tcW w:w="2160" w:type="dxa"/>
          </w:tcPr>
          <w:p w14:paraId="65BA5997" w14:textId="77777777" w:rsidR="009B0938" w:rsidRPr="0014714E" w:rsidRDefault="00000000">
            <w:pPr>
              <w:rPr>
                <w:rFonts w:ascii="Garamond" w:hAnsi="Garamond"/>
              </w:rPr>
            </w:pPr>
            <w:r w:rsidRPr="0014714E">
              <w:rPr>
                <w:rFonts w:ascii="Garamond" w:hAnsi="Garamond"/>
              </w:rPr>
              <w:t>19.3%</w:t>
            </w:r>
          </w:p>
        </w:tc>
      </w:tr>
      <w:tr w:rsidR="009B0938" w:rsidRPr="0014714E" w14:paraId="4D8A88D9" w14:textId="77777777">
        <w:trPr>
          <w:jc w:val="center"/>
        </w:trPr>
        <w:tc>
          <w:tcPr>
            <w:tcW w:w="2160" w:type="dxa"/>
          </w:tcPr>
          <w:p w14:paraId="167C0235" w14:textId="77777777" w:rsidR="009B0938" w:rsidRPr="0014714E" w:rsidRDefault="00000000">
            <w:pPr>
              <w:rPr>
                <w:rFonts w:ascii="Garamond" w:hAnsi="Garamond"/>
              </w:rPr>
            </w:pPr>
            <w:r w:rsidRPr="0014714E">
              <w:rPr>
                <w:rFonts w:ascii="Garamond" w:hAnsi="Garamond"/>
                <w:b/>
              </w:rPr>
              <w:t>Cross-cultural MAE</w:t>
            </w:r>
          </w:p>
        </w:tc>
        <w:tc>
          <w:tcPr>
            <w:tcW w:w="2160" w:type="dxa"/>
          </w:tcPr>
          <w:p w14:paraId="2E6D6ED7" w14:textId="77777777" w:rsidR="009B0938" w:rsidRPr="0014714E" w:rsidRDefault="009B0938">
            <w:pPr>
              <w:rPr>
                <w:rFonts w:ascii="Garamond" w:hAnsi="Garamond"/>
              </w:rPr>
            </w:pPr>
          </w:p>
        </w:tc>
        <w:tc>
          <w:tcPr>
            <w:tcW w:w="2160" w:type="dxa"/>
          </w:tcPr>
          <w:p w14:paraId="374201CD" w14:textId="77777777" w:rsidR="009B0938" w:rsidRPr="0014714E" w:rsidRDefault="009B0938">
            <w:pPr>
              <w:rPr>
                <w:rFonts w:ascii="Garamond" w:hAnsi="Garamond"/>
              </w:rPr>
            </w:pPr>
          </w:p>
        </w:tc>
        <w:tc>
          <w:tcPr>
            <w:tcW w:w="2160" w:type="dxa"/>
          </w:tcPr>
          <w:p w14:paraId="7A4BEB30" w14:textId="77777777" w:rsidR="009B0938" w:rsidRPr="0014714E" w:rsidRDefault="00000000">
            <w:pPr>
              <w:rPr>
                <w:rFonts w:ascii="Garamond" w:hAnsi="Garamond"/>
              </w:rPr>
            </w:pPr>
            <w:r w:rsidRPr="0014714E">
              <w:rPr>
                <w:rFonts w:ascii="Garamond" w:hAnsi="Garamond"/>
                <w:b/>
              </w:rPr>
              <w:t>8.8%</w:t>
            </w:r>
          </w:p>
        </w:tc>
      </w:tr>
    </w:tbl>
    <w:p w14:paraId="56B0C2C6" w14:textId="77777777" w:rsidR="009B0938" w:rsidRPr="0014714E" w:rsidRDefault="009B0938">
      <w:pPr>
        <w:rPr>
          <w:rFonts w:ascii="Garamond" w:hAnsi="Garamond"/>
        </w:rPr>
      </w:pPr>
    </w:p>
    <w:p w14:paraId="562D0CE1" w14:textId="77777777" w:rsidR="009B0938" w:rsidRPr="0014714E" w:rsidRDefault="00000000">
      <w:pPr>
        <w:rPr>
          <w:rFonts w:ascii="Garamond" w:hAnsi="Garamond"/>
        </w:rPr>
      </w:pPr>
      <w:r w:rsidRPr="0014714E">
        <w:rPr>
          <w:rFonts w:ascii="Garamond" w:hAnsi="Garamond"/>
          <w:b/>
        </w:rPr>
        <w:t xml:space="preserve">Table 3. </w:t>
      </w:r>
      <w:r w:rsidRPr="0014714E">
        <w:rPr>
          <w:rFonts w:ascii="Garamond" w:hAnsi="Garamond"/>
        </w:rPr>
        <w:t>Cross-cultural predictions using a single frozen Σ calibrated on WEIRD data. MAE = 8.8% with zero cultural parameters.</w:t>
      </w:r>
    </w:p>
    <w:p w14:paraId="1954039C" w14:textId="77777777" w:rsidR="009B0938" w:rsidRPr="0014714E" w:rsidRDefault="00000000">
      <w:pPr>
        <w:pStyle w:val="Heading2"/>
        <w:rPr>
          <w:rFonts w:ascii="Garamond" w:hAnsi="Garamond"/>
        </w:rPr>
      </w:pPr>
      <w:r w:rsidRPr="0014714E">
        <w:rPr>
          <w:rFonts w:ascii="Garamond" w:hAnsi="Garamond"/>
        </w:rPr>
        <w:t>3.5 Baseline Comparison</w:t>
      </w:r>
    </w:p>
    <w:tbl>
      <w:tblPr>
        <w:tblStyle w:val="TableGrid"/>
        <w:tblW w:w="0" w:type="auto"/>
        <w:jc w:val="center"/>
        <w:tblLook w:val="04A0" w:firstRow="1" w:lastRow="0" w:firstColumn="1" w:lastColumn="0" w:noHBand="0" w:noVBand="1"/>
      </w:tblPr>
      <w:tblGrid>
        <w:gridCol w:w="2160"/>
        <w:gridCol w:w="2160"/>
        <w:gridCol w:w="2160"/>
        <w:gridCol w:w="2160"/>
      </w:tblGrid>
      <w:tr w:rsidR="009B0938" w:rsidRPr="0014714E" w14:paraId="26962D55" w14:textId="77777777">
        <w:trPr>
          <w:jc w:val="center"/>
        </w:trPr>
        <w:tc>
          <w:tcPr>
            <w:tcW w:w="2160" w:type="dxa"/>
          </w:tcPr>
          <w:p w14:paraId="471B326A" w14:textId="77777777" w:rsidR="009B0938" w:rsidRPr="0014714E" w:rsidRDefault="00000000">
            <w:pPr>
              <w:rPr>
                <w:rFonts w:ascii="Garamond" w:hAnsi="Garamond"/>
              </w:rPr>
            </w:pPr>
            <w:r w:rsidRPr="0014714E">
              <w:rPr>
                <w:rFonts w:ascii="Garamond" w:hAnsi="Garamond"/>
                <w:b/>
              </w:rPr>
              <w:t>Model</w:t>
            </w:r>
          </w:p>
        </w:tc>
        <w:tc>
          <w:tcPr>
            <w:tcW w:w="2160" w:type="dxa"/>
          </w:tcPr>
          <w:p w14:paraId="7969F5EE" w14:textId="77777777" w:rsidR="009B0938" w:rsidRPr="0014714E" w:rsidRDefault="00000000">
            <w:pPr>
              <w:rPr>
                <w:rFonts w:ascii="Garamond" w:hAnsi="Garamond"/>
              </w:rPr>
            </w:pPr>
            <w:r w:rsidRPr="0014714E">
              <w:rPr>
                <w:rFonts w:ascii="Garamond" w:hAnsi="Garamond"/>
                <w:b/>
              </w:rPr>
              <w:t>Cross-game?</w:t>
            </w:r>
          </w:p>
        </w:tc>
        <w:tc>
          <w:tcPr>
            <w:tcW w:w="2160" w:type="dxa"/>
          </w:tcPr>
          <w:p w14:paraId="710C9B1A" w14:textId="77777777" w:rsidR="009B0938" w:rsidRPr="0014714E" w:rsidRDefault="00000000">
            <w:pPr>
              <w:rPr>
                <w:rFonts w:ascii="Garamond" w:hAnsi="Garamond"/>
              </w:rPr>
            </w:pPr>
            <w:r w:rsidRPr="0014714E">
              <w:rPr>
                <w:rFonts w:ascii="Garamond" w:hAnsi="Garamond"/>
                <w:b/>
              </w:rPr>
              <w:t>Params/game</w:t>
            </w:r>
          </w:p>
        </w:tc>
        <w:tc>
          <w:tcPr>
            <w:tcW w:w="2160" w:type="dxa"/>
          </w:tcPr>
          <w:p w14:paraId="0BA7272A" w14:textId="77777777" w:rsidR="009B0938" w:rsidRPr="0014714E" w:rsidRDefault="00000000">
            <w:pPr>
              <w:rPr>
                <w:rFonts w:ascii="Garamond" w:hAnsi="Garamond"/>
              </w:rPr>
            </w:pPr>
            <w:r w:rsidRPr="0014714E">
              <w:rPr>
                <w:rFonts w:ascii="Garamond" w:hAnsi="Garamond"/>
                <w:b/>
              </w:rPr>
              <w:t>Variable λ?</w:t>
            </w:r>
          </w:p>
        </w:tc>
      </w:tr>
      <w:tr w:rsidR="009B0938" w:rsidRPr="0014714E" w14:paraId="09FB3390" w14:textId="77777777">
        <w:trPr>
          <w:jc w:val="center"/>
        </w:trPr>
        <w:tc>
          <w:tcPr>
            <w:tcW w:w="2160" w:type="dxa"/>
          </w:tcPr>
          <w:p w14:paraId="6A55DCC2" w14:textId="77777777" w:rsidR="009B0938" w:rsidRPr="0014714E" w:rsidRDefault="00000000">
            <w:pPr>
              <w:rPr>
                <w:rFonts w:ascii="Garamond" w:hAnsi="Garamond"/>
              </w:rPr>
            </w:pPr>
            <w:r w:rsidRPr="0014714E">
              <w:rPr>
                <w:rFonts w:ascii="Garamond" w:hAnsi="Garamond"/>
              </w:rPr>
              <w:t>Nash equilibrium</w:t>
            </w:r>
          </w:p>
        </w:tc>
        <w:tc>
          <w:tcPr>
            <w:tcW w:w="2160" w:type="dxa"/>
          </w:tcPr>
          <w:p w14:paraId="7B02F83B" w14:textId="77777777" w:rsidR="009B0938" w:rsidRPr="0014714E" w:rsidRDefault="00000000">
            <w:pPr>
              <w:rPr>
                <w:rFonts w:ascii="Garamond" w:hAnsi="Garamond"/>
              </w:rPr>
            </w:pPr>
            <w:r w:rsidRPr="0014714E">
              <w:rPr>
                <w:rFonts w:ascii="Garamond" w:hAnsi="Garamond"/>
              </w:rPr>
              <w:t>Yes (wrong)</w:t>
            </w:r>
          </w:p>
        </w:tc>
        <w:tc>
          <w:tcPr>
            <w:tcW w:w="2160" w:type="dxa"/>
          </w:tcPr>
          <w:p w14:paraId="3BF9F601" w14:textId="77777777" w:rsidR="009B0938" w:rsidRPr="0014714E" w:rsidRDefault="00000000">
            <w:pPr>
              <w:rPr>
                <w:rFonts w:ascii="Garamond" w:hAnsi="Garamond"/>
              </w:rPr>
            </w:pPr>
            <w:r w:rsidRPr="0014714E">
              <w:rPr>
                <w:rFonts w:ascii="Garamond" w:hAnsi="Garamond"/>
              </w:rPr>
              <w:t>0</w:t>
            </w:r>
          </w:p>
        </w:tc>
        <w:tc>
          <w:tcPr>
            <w:tcW w:w="2160" w:type="dxa"/>
          </w:tcPr>
          <w:p w14:paraId="7F5F66E4" w14:textId="77777777" w:rsidR="009B0938" w:rsidRPr="0014714E" w:rsidRDefault="00000000">
            <w:pPr>
              <w:rPr>
                <w:rFonts w:ascii="Garamond" w:hAnsi="Garamond"/>
              </w:rPr>
            </w:pPr>
            <w:r w:rsidRPr="0014714E">
              <w:rPr>
                <w:rFonts w:ascii="Garamond" w:hAnsi="Garamond"/>
              </w:rPr>
              <w:t>No (λ = 1 always)</w:t>
            </w:r>
          </w:p>
        </w:tc>
      </w:tr>
      <w:tr w:rsidR="009B0938" w:rsidRPr="0014714E" w14:paraId="4C5A3BFA" w14:textId="77777777">
        <w:trPr>
          <w:jc w:val="center"/>
        </w:trPr>
        <w:tc>
          <w:tcPr>
            <w:tcW w:w="2160" w:type="dxa"/>
          </w:tcPr>
          <w:p w14:paraId="04F5E32C" w14:textId="77777777" w:rsidR="009B0938" w:rsidRPr="0014714E" w:rsidRDefault="00000000">
            <w:pPr>
              <w:rPr>
                <w:rFonts w:ascii="Garamond" w:hAnsi="Garamond"/>
              </w:rPr>
            </w:pPr>
            <w:r w:rsidRPr="0014714E">
              <w:rPr>
                <w:rFonts w:ascii="Garamond" w:hAnsi="Garamond"/>
              </w:rPr>
              <w:t>CPT</w:t>
            </w:r>
          </w:p>
        </w:tc>
        <w:tc>
          <w:tcPr>
            <w:tcW w:w="2160" w:type="dxa"/>
          </w:tcPr>
          <w:p w14:paraId="6818C9E0" w14:textId="77777777" w:rsidR="009B0938" w:rsidRPr="0014714E" w:rsidRDefault="00000000">
            <w:pPr>
              <w:rPr>
                <w:rFonts w:ascii="Garamond" w:hAnsi="Garamond"/>
              </w:rPr>
            </w:pPr>
            <w:r w:rsidRPr="0014714E">
              <w:rPr>
                <w:rFonts w:ascii="Garamond" w:hAnsi="Garamond"/>
              </w:rPr>
              <w:t>No</w:t>
            </w:r>
          </w:p>
        </w:tc>
        <w:tc>
          <w:tcPr>
            <w:tcW w:w="2160" w:type="dxa"/>
          </w:tcPr>
          <w:p w14:paraId="1A058DBD" w14:textId="77777777" w:rsidR="009B0938" w:rsidRPr="0014714E" w:rsidRDefault="00000000">
            <w:pPr>
              <w:rPr>
                <w:rFonts w:ascii="Garamond" w:hAnsi="Garamond"/>
              </w:rPr>
            </w:pPr>
            <w:r w:rsidRPr="0014714E">
              <w:rPr>
                <w:rFonts w:ascii="Garamond" w:hAnsi="Garamond"/>
              </w:rPr>
              <w:t>4–5</w:t>
            </w:r>
          </w:p>
        </w:tc>
        <w:tc>
          <w:tcPr>
            <w:tcW w:w="2160" w:type="dxa"/>
          </w:tcPr>
          <w:p w14:paraId="621B4CB2" w14:textId="77777777" w:rsidR="009B0938" w:rsidRPr="0014714E" w:rsidRDefault="00000000">
            <w:pPr>
              <w:rPr>
                <w:rFonts w:ascii="Garamond" w:hAnsi="Garamond"/>
              </w:rPr>
            </w:pPr>
            <w:r w:rsidRPr="0014714E">
              <w:rPr>
                <w:rFonts w:ascii="Garamond" w:hAnsi="Garamond"/>
              </w:rPr>
              <w:t>No (λ ≈ 2.25 constant)</w:t>
            </w:r>
          </w:p>
        </w:tc>
      </w:tr>
      <w:tr w:rsidR="009B0938" w:rsidRPr="0014714E" w14:paraId="1AA37E9F" w14:textId="77777777">
        <w:trPr>
          <w:jc w:val="center"/>
        </w:trPr>
        <w:tc>
          <w:tcPr>
            <w:tcW w:w="2160" w:type="dxa"/>
          </w:tcPr>
          <w:p w14:paraId="3CBBD491" w14:textId="77777777" w:rsidR="009B0938" w:rsidRPr="0014714E" w:rsidRDefault="00000000">
            <w:pPr>
              <w:rPr>
                <w:rFonts w:ascii="Garamond" w:hAnsi="Garamond"/>
              </w:rPr>
            </w:pPr>
            <w:r w:rsidRPr="0014714E">
              <w:rPr>
                <w:rFonts w:ascii="Garamond" w:hAnsi="Garamond"/>
              </w:rPr>
              <w:t>Fehr–Schmidt</w:t>
            </w:r>
          </w:p>
        </w:tc>
        <w:tc>
          <w:tcPr>
            <w:tcW w:w="2160" w:type="dxa"/>
          </w:tcPr>
          <w:p w14:paraId="0CD683FD" w14:textId="77777777" w:rsidR="009B0938" w:rsidRPr="0014714E" w:rsidRDefault="00000000">
            <w:pPr>
              <w:rPr>
                <w:rFonts w:ascii="Garamond" w:hAnsi="Garamond"/>
              </w:rPr>
            </w:pPr>
            <w:r w:rsidRPr="0014714E">
              <w:rPr>
                <w:rFonts w:ascii="Garamond" w:hAnsi="Garamond"/>
              </w:rPr>
              <w:t>No</w:t>
            </w:r>
          </w:p>
        </w:tc>
        <w:tc>
          <w:tcPr>
            <w:tcW w:w="2160" w:type="dxa"/>
          </w:tcPr>
          <w:p w14:paraId="1C923510" w14:textId="77777777" w:rsidR="009B0938" w:rsidRPr="0014714E" w:rsidRDefault="00000000">
            <w:pPr>
              <w:rPr>
                <w:rFonts w:ascii="Garamond" w:hAnsi="Garamond"/>
              </w:rPr>
            </w:pPr>
            <w:r w:rsidRPr="0014714E">
              <w:rPr>
                <w:rFonts w:ascii="Garamond" w:hAnsi="Garamond"/>
              </w:rPr>
              <w:t>2+</w:t>
            </w:r>
          </w:p>
        </w:tc>
        <w:tc>
          <w:tcPr>
            <w:tcW w:w="2160" w:type="dxa"/>
          </w:tcPr>
          <w:p w14:paraId="300A6A79" w14:textId="77777777" w:rsidR="009B0938" w:rsidRPr="0014714E" w:rsidRDefault="00000000">
            <w:pPr>
              <w:rPr>
                <w:rFonts w:ascii="Garamond" w:hAnsi="Garamond"/>
              </w:rPr>
            </w:pPr>
            <w:r w:rsidRPr="0014714E">
              <w:rPr>
                <w:rFonts w:ascii="Garamond" w:hAnsi="Garamond"/>
              </w:rPr>
              <w:t>No</w:t>
            </w:r>
          </w:p>
        </w:tc>
      </w:tr>
      <w:tr w:rsidR="009B0938" w:rsidRPr="0014714E" w14:paraId="00261AFD" w14:textId="77777777">
        <w:trPr>
          <w:jc w:val="center"/>
        </w:trPr>
        <w:tc>
          <w:tcPr>
            <w:tcW w:w="2160" w:type="dxa"/>
          </w:tcPr>
          <w:p w14:paraId="0D3D6B5D" w14:textId="77777777" w:rsidR="009B0938" w:rsidRPr="0014714E" w:rsidRDefault="00000000">
            <w:pPr>
              <w:rPr>
                <w:rFonts w:ascii="Garamond" w:hAnsi="Garamond"/>
              </w:rPr>
            </w:pPr>
            <w:r w:rsidRPr="0014714E">
              <w:rPr>
                <w:rFonts w:ascii="Garamond" w:hAnsi="Garamond"/>
                <w:b/>
              </w:rPr>
              <w:t>Geometric model</w:t>
            </w:r>
          </w:p>
        </w:tc>
        <w:tc>
          <w:tcPr>
            <w:tcW w:w="2160" w:type="dxa"/>
          </w:tcPr>
          <w:p w14:paraId="084C7AD9" w14:textId="77777777" w:rsidR="009B0938" w:rsidRPr="0014714E" w:rsidRDefault="00000000">
            <w:pPr>
              <w:rPr>
                <w:rFonts w:ascii="Garamond" w:hAnsi="Garamond"/>
              </w:rPr>
            </w:pPr>
            <w:r w:rsidRPr="0014714E">
              <w:rPr>
                <w:rFonts w:ascii="Garamond" w:hAnsi="Garamond"/>
                <w:b/>
              </w:rPr>
              <w:t>Yes</w:t>
            </w:r>
          </w:p>
        </w:tc>
        <w:tc>
          <w:tcPr>
            <w:tcW w:w="2160" w:type="dxa"/>
          </w:tcPr>
          <w:p w14:paraId="791182D0" w14:textId="77777777" w:rsidR="009B0938" w:rsidRPr="0014714E" w:rsidRDefault="00000000">
            <w:pPr>
              <w:rPr>
                <w:rFonts w:ascii="Garamond" w:hAnsi="Garamond"/>
              </w:rPr>
            </w:pPr>
            <w:r w:rsidRPr="0014714E">
              <w:rPr>
                <w:rFonts w:ascii="Garamond" w:hAnsi="Garamond"/>
                <w:b/>
              </w:rPr>
              <w:t>0 (frozen)</w:t>
            </w:r>
          </w:p>
        </w:tc>
        <w:tc>
          <w:tcPr>
            <w:tcW w:w="2160" w:type="dxa"/>
          </w:tcPr>
          <w:p w14:paraId="2FD4574E" w14:textId="77777777" w:rsidR="009B0938" w:rsidRPr="0014714E" w:rsidRDefault="00000000">
            <w:pPr>
              <w:rPr>
                <w:rFonts w:ascii="Garamond" w:hAnsi="Garamond"/>
              </w:rPr>
            </w:pPr>
            <w:r w:rsidRPr="0014714E">
              <w:rPr>
                <w:rFonts w:ascii="Garamond" w:hAnsi="Garamond"/>
                <w:b/>
              </w:rPr>
              <w:t>Yes: λ = √d</w:t>
            </w:r>
          </w:p>
        </w:tc>
      </w:tr>
    </w:tbl>
    <w:p w14:paraId="50E6129B" w14:textId="77777777" w:rsidR="009B0938" w:rsidRPr="0014714E" w:rsidRDefault="009B0938">
      <w:pPr>
        <w:rPr>
          <w:rFonts w:ascii="Garamond" w:hAnsi="Garamond"/>
        </w:rPr>
      </w:pPr>
    </w:p>
    <w:p w14:paraId="2564B514" w14:textId="77777777" w:rsidR="009B0938" w:rsidRPr="0014714E" w:rsidRDefault="00000000">
      <w:pPr>
        <w:rPr>
          <w:rFonts w:ascii="Garamond" w:hAnsi="Garamond"/>
        </w:rPr>
      </w:pPr>
      <w:r w:rsidRPr="0014714E">
        <w:rPr>
          <w:rFonts w:ascii="Garamond" w:hAnsi="Garamond"/>
          <w:b/>
        </w:rPr>
        <w:t xml:space="preserve">Table 4. </w:t>
      </w:r>
      <w:r w:rsidRPr="0014714E">
        <w:rPr>
          <w:rFonts w:ascii="Garamond" w:hAnsi="Garamond"/>
        </w:rPr>
        <w:t>Model comparison. The geometric model is the only one that generates cross-game predictions with zero per-game parameters and predicts variable loss aversion.</w:t>
      </w:r>
    </w:p>
    <w:p w14:paraId="2383904B" w14:textId="77777777" w:rsidR="009B0938" w:rsidRPr="0014714E" w:rsidRDefault="00000000">
      <w:pPr>
        <w:pStyle w:val="Heading1"/>
        <w:rPr>
          <w:rFonts w:ascii="Garamond" w:hAnsi="Garamond"/>
        </w:rPr>
      </w:pPr>
      <w:r w:rsidRPr="0014714E">
        <w:rPr>
          <w:rFonts w:ascii="Garamond" w:hAnsi="Garamond"/>
        </w:rPr>
        <w:t>4. Discussion</w:t>
      </w:r>
    </w:p>
    <w:p w14:paraId="0943406D" w14:textId="77777777" w:rsidR="009B0938" w:rsidRPr="0014714E" w:rsidRDefault="00000000">
      <w:pPr>
        <w:rPr>
          <w:rFonts w:ascii="Garamond" w:hAnsi="Garamond"/>
        </w:rPr>
      </w:pPr>
      <w:r w:rsidRPr="0014714E">
        <w:rPr>
          <w:rFonts w:ascii="Garamond" w:hAnsi="Garamond"/>
        </w:rPr>
        <w:t>The result has three notable features. First, it derives a structural relationship (λ as a function of d) where CPT uses a fitted constant. CPT treats λ = 2.25 as a parameter estimated from data; the geometric model derives λ(d) = √d from the structure of the decision space. The Kahneman–Tversky value is recovered as the special case d = 5, corresponding to a “standard” good that activates about half the attribute dimensions.</w:t>
      </w:r>
    </w:p>
    <w:p w14:paraId="740B4B65" w14:textId="77777777" w:rsidR="009B0938" w:rsidRPr="0014714E" w:rsidRDefault="00000000">
      <w:pPr>
        <w:rPr>
          <w:rFonts w:ascii="Garamond" w:hAnsi="Garamond"/>
        </w:rPr>
      </w:pPr>
      <w:r w:rsidRPr="0014714E">
        <w:rPr>
          <w:rFonts w:ascii="Garamond" w:hAnsi="Garamond"/>
        </w:rPr>
        <w:t>Second, it makes a unique, falsifiable prediction: loss aversion should vary systematically with the dimensional loading of the good. Specifically, in a within-subjects design that holds monetary value constant while varying the good type (cash, commodity, gift, heirloom), the measured λ should track √d. To our knowledge, this prediction is not generated by existing behavioral models.</w:t>
      </w:r>
    </w:p>
    <w:p w14:paraId="70584B90" w14:textId="77777777" w:rsidR="009B0938" w:rsidRPr="0014714E" w:rsidRDefault="00000000">
      <w:pPr>
        <w:rPr>
          <w:rFonts w:ascii="Garamond" w:hAnsi="Garamond"/>
        </w:rPr>
      </w:pPr>
      <w:r w:rsidRPr="0014714E">
        <w:rPr>
          <w:rFonts w:ascii="Garamond" w:hAnsi="Garamond"/>
        </w:rPr>
        <w:t>Third, the result explains an empirical puzzle. Novemsky and Kahneman (2005) noted that loss aversion appears attenuated or absent for routine monetary transactions. This is exactly what λ(1) = 1 predicts: when only the monetary dimension is active (d = 1), there is no geometric asymmetry between gains and losses. Loss aversion is not a universal feature of the value function; it is a consequence of dimensional asymmetry that emerges only when the good activates non-monetary evaluative dimensions.</w:t>
      </w:r>
    </w:p>
    <w:p w14:paraId="0657C67B" w14:textId="77777777" w:rsidR="009B0938" w:rsidRPr="0014714E" w:rsidRDefault="00000000">
      <w:pPr>
        <w:pStyle w:val="Heading2"/>
        <w:rPr>
          <w:rFonts w:ascii="Garamond" w:hAnsi="Garamond"/>
        </w:rPr>
      </w:pPr>
      <w:r w:rsidRPr="0014714E">
        <w:rPr>
          <w:rFonts w:ascii="Garamond" w:hAnsi="Garamond"/>
        </w:rPr>
        <w:t>4.1 Limitations</w:t>
      </w:r>
    </w:p>
    <w:p w14:paraId="70661733" w14:textId="77777777" w:rsidR="009B0938" w:rsidRPr="0014714E" w:rsidRDefault="00000000">
      <w:pPr>
        <w:rPr>
          <w:rFonts w:ascii="Garamond" w:hAnsi="Garamond"/>
        </w:rPr>
      </w:pPr>
      <w:r w:rsidRPr="0014714E">
        <w:rPr>
          <w:rFonts w:ascii="Garamond" w:hAnsi="Garamond"/>
        </w:rPr>
        <w:t>The λ = √d result assumes approximately isotropic Σ on the active dimensions. When Σ is strongly anisotropic, the formula generalizes to λ = √(∑_k σ_k</w:t>
      </w:r>
      <w:r w:rsidRPr="0014714E">
        <w:rPr>
          <w:rFonts w:ascii="Cambria Math" w:hAnsi="Cambria Math" w:cs="Cambria Math"/>
        </w:rPr>
        <w:t>⁻</w:t>
      </w:r>
      <w:r w:rsidRPr="0014714E">
        <w:rPr>
          <w:rFonts w:ascii="Garamond" w:hAnsi="Garamond" w:cs="Garamond"/>
        </w:rPr>
        <w:t>²</w:t>
      </w:r>
      <w:r w:rsidRPr="0014714E">
        <w:rPr>
          <w:rFonts w:ascii="Garamond" w:hAnsi="Garamond"/>
        </w:rPr>
        <w:t xml:space="preserve"> / </w:t>
      </w:r>
      <w:r w:rsidRPr="0014714E">
        <w:rPr>
          <w:rFonts w:ascii="Garamond" w:hAnsi="Garamond" w:cs="Garamond"/>
        </w:rPr>
        <w:t>σ</w:t>
      </w:r>
      <w:r w:rsidRPr="0014714E">
        <w:rPr>
          <w:rFonts w:ascii="Cambria Math" w:hAnsi="Cambria Math" w:cs="Cambria Math"/>
        </w:rPr>
        <w:t>₁⁻</w:t>
      </w:r>
      <w:r w:rsidRPr="0014714E">
        <w:rPr>
          <w:rFonts w:ascii="Garamond" w:hAnsi="Garamond" w:cs="Garamond"/>
        </w:rPr>
        <w:t>²</w:t>
      </w:r>
      <w:r w:rsidRPr="0014714E">
        <w:rPr>
          <w:rFonts w:ascii="Garamond" w:hAnsi="Garamond"/>
        </w:rPr>
        <w:t>) where the sum runs over active dimensions, giving different weights to different attribute directions. The isotropic case is a useful approximation but not exact.</w:t>
      </w:r>
    </w:p>
    <w:p w14:paraId="495763CA" w14:textId="4C911E56" w:rsidR="009B0938" w:rsidRPr="0014714E" w:rsidRDefault="00000000">
      <w:pPr>
        <w:rPr>
          <w:rFonts w:ascii="Garamond" w:hAnsi="Garamond"/>
        </w:rPr>
      </w:pPr>
      <w:r w:rsidRPr="0014714E">
        <w:rPr>
          <w:rFonts w:ascii="Garamond" w:hAnsi="Garamond"/>
        </w:rPr>
        <w:t xml:space="preserve">The dimensional loading d(g) for each good type is currently assigned by the analyst, not measured. An experimental protocol that measures dimensional activation (e.g., via attribute rating tasks before </w:t>
      </w:r>
      <w:r w:rsidRPr="0014714E">
        <w:rPr>
          <w:rFonts w:ascii="Garamond" w:hAnsi="Garamond"/>
        </w:rPr>
        <w:t>and after transactions) would allow d(g) to be determined empirically, enabling a fully quantitative test.</w:t>
      </w:r>
      <w:r w:rsidR="0014714E">
        <w:rPr>
          <w:rFonts w:ascii="Garamond" w:hAnsi="Garamond"/>
        </w:rPr>
        <w:t xml:space="preserve"> </w:t>
      </w:r>
      <w:r w:rsidRPr="0014714E">
        <w:rPr>
          <w:rFonts w:ascii="Garamond" w:hAnsi="Garamond"/>
        </w:rPr>
        <w:t>The cross-cultural predictions are limited by the use of a single Σ calibrated on WEIRD data. Culture-specific calibration would improve accuracy but introduce parameters.</w:t>
      </w:r>
    </w:p>
    <w:p>
      <w:pPr>
        <w:jc w:val="center"/>
      </w:pPr>
      <w:r/>
    </w:p>
    <w:p>
      <w:pPr>
        <w:jc w:val="center"/>
      </w:pPr>
      <w:r>
        <w:rPr>
          <w:color w:val="505050"/>
          <w:sz w:val="18"/>
        </w:rPr>
        <w:t>Fig 3. Cross-cultural ultimatum game predictions (frozen Σ, zero cultural parameters) versus observed offers across seven populations. Numbers above bars show absolute error. MAE = 8.8%</w:t>
      </w:r>
    </w:p>
    <w:p/>
    <w:p/>
    <w:p/>
    <w:p w14:paraId="389C0776" w14:textId="77777777" w:rsidR="009B0938" w:rsidRPr="0014714E" w:rsidRDefault="00000000">
      <w:pPr>
        <w:pStyle w:val="Heading1"/>
        <w:rPr>
          <w:rFonts w:ascii="Garamond" w:hAnsi="Garamond"/>
        </w:rPr>
      </w:pPr>
      <w:r w:rsidRPr="0014714E">
        <w:rPr>
          <w:rFonts w:ascii="Garamond" w:hAnsi="Garamond"/>
        </w:rPr>
        <w:t>5. Conclusion</w:t>
      </w:r>
    </w:p>
    <w:p w14:paraId="54D713DB" w14:textId="77777777" w:rsidR="009B0938" w:rsidRPr="0014714E" w:rsidRDefault="00000000">
      <w:pPr>
        <w:rPr>
          <w:rFonts w:ascii="Garamond" w:hAnsi="Garamond"/>
        </w:rPr>
      </w:pPr>
      <w:r w:rsidRPr="0014714E">
        <w:rPr>
          <w:rFonts w:ascii="Garamond" w:hAnsi="Garamond"/>
        </w:rPr>
        <w:t>Loss aversion is not a constant. It is a geometric consequence of the dimensionality of the goods being traded. The Kahneman–Tversky estimate λ ≈ 2.25 is recovered as the special case for goods activating approximately five evaluative dimensions. For pure money, λ = 1 (no loss aversion). For identity-laden goods, λ &gt; 3. This variation is predicted by the geometric framework and matches the meta-analytic evidence that CPT—by construction—cannot explain.</w:t>
      </w:r>
    </w:p>
    <w:p w14:paraId="5A21982A" w14:textId="77777777" w:rsidR="009B0938" w:rsidRPr="0014714E" w:rsidRDefault="00000000">
      <w:pPr>
        <w:pStyle w:val="Heading1"/>
        <w:rPr>
          <w:rFonts w:ascii="Garamond" w:hAnsi="Garamond"/>
        </w:rPr>
      </w:pPr>
      <w:r w:rsidRPr="0014714E">
        <w:rPr>
          <w:rFonts w:ascii="Garamond" w:hAnsi="Garamond"/>
        </w:rPr>
        <w:t>Statements and Declarations</w:t>
      </w:r>
    </w:p>
    <w:p w14:paraId="55D77AC4" w14:textId="77777777" w:rsidR="009B0938" w:rsidRPr="0014714E" w:rsidRDefault="00000000">
      <w:pPr>
        <w:rPr>
          <w:rFonts w:ascii="Garamond" w:hAnsi="Garamond"/>
        </w:rPr>
      </w:pPr>
      <w:r w:rsidRPr="0014714E">
        <w:rPr>
          <w:rFonts w:ascii="Garamond" w:hAnsi="Garamond"/>
          <w:b/>
        </w:rPr>
        <w:t xml:space="preserve">Competing Interests: </w:t>
      </w:r>
      <w:r w:rsidRPr="0014714E">
        <w:rPr>
          <w:rFonts w:ascii="Garamond" w:hAnsi="Garamond"/>
        </w:rPr>
        <w:t>The author has no relevant financial or non-financial interests to disclose.</w:t>
      </w:r>
    </w:p>
    <w:p w14:paraId="468DA68A" w14:textId="77777777" w:rsidR="009B0938" w:rsidRPr="0014714E" w:rsidRDefault="00000000">
      <w:pPr>
        <w:rPr>
          <w:rFonts w:ascii="Garamond" w:hAnsi="Garamond"/>
        </w:rPr>
      </w:pPr>
      <w:r w:rsidRPr="0014714E">
        <w:rPr>
          <w:rFonts w:ascii="Garamond" w:hAnsi="Garamond"/>
          <w:b/>
        </w:rPr>
        <w:t xml:space="preserve">Funding: </w:t>
      </w:r>
      <w:r w:rsidRPr="0014714E">
        <w:rPr>
          <w:rFonts w:ascii="Garamond" w:hAnsi="Garamond"/>
        </w:rPr>
        <w:t>No funding was received for conducting this study.</w:t>
      </w:r>
    </w:p>
    <w:p w14:paraId="433AE735" w14:textId="77777777" w:rsidR="009B0938" w:rsidRPr="0014714E" w:rsidRDefault="00000000">
      <w:pPr>
        <w:rPr>
          <w:rFonts w:ascii="Garamond" w:hAnsi="Garamond"/>
        </w:rPr>
      </w:pPr>
      <w:r w:rsidRPr="0014714E">
        <w:rPr>
          <w:rFonts w:ascii="Garamond" w:hAnsi="Garamond"/>
          <w:b/>
        </w:rPr>
        <w:t xml:space="preserve">Data Availability: </w:t>
      </w:r>
      <w:r w:rsidRPr="0014714E">
        <w:rPr>
          <w:rFonts w:ascii="Garamond" w:hAnsi="Garamond"/>
        </w:rPr>
        <w:t>All data and code supporting the results are available at https://github.com/ahb-sjsu/eris-econ. The validation script (hpc/run_validation.py) reproduces all results reported in this paper. Experimental data from Fraser and Nettle (2022) and Henrich et al. (2001, 2005) are publicly available as cited.</w:t>
      </w:r>
    </w:p>
    <w:p w14:paraId="45C4A562" w14:textId="77777777" w:rsidR="009B0938" w:rsidRPr="0014714E" w:rsidRDefault="00000000">
      <w:pPr>
        <w:rPr>
          <w:rFonts w:ascii="Garamond" w:hAnsi="Garamond"/>
        </w:rPr>
      </w:pPr>
      <w:r w:rsidRPr="0014714E">
        <w:rPr>
          <w:rFonts w:ascii="Garamond" w:hAnsi="Garamond"/>
          <w:b/>
        </w:rPr>
        <w:t xml:space="preserve">Use of AI Tools: </w:t>
      </w:r>
      <w:r w:rsidRPr="0014714E">
        <w:rPr>
          <w:rFonts w:ascii="Garamond" w:hAnsi="Garamond"/>
        </w:rPr>
        <w:t>Manuscript preparation was assisted by Claude (Anthropic, claude-opus-4-6). All theoretical derivations, experimental design, calibration methodology, and scientific claims were developed by the author. The AI tool was used for drafting and formatting assistance. The author takes full responsibility for the content of the manuscript.</w:t>
      </w:r>
    </w:p>
    <w:p w14:paraId="2409853B" w14:textId="77777777" w:rsidR="009B0938" w:rsidRPr="0014714E" w:rsidRDefault="00000000">
      <w:pPr>
        <w:rPr>
          <w:rFonts w:ascii="Garamond" w:hAnsi="Garamond"/>
        </w:rPr>
      </w:pPr>
      <w:r w:rsidRPr="0014714E">
        <w:rPr>
          <w:rFonts w:ascii="Garamond" w:hAnsi="Garamond"/>
          <w:b/>
        </w:rPr>
        <w:t xml:space="preserve">Author Contributions: </w:t>
      </w:r>
      <w:r w:rsidRPr="0014714E">
        <w:rPr>
          <w:rFonts w:ascii="Garamond" w:hAnsi="Garamond"/>
        </w:rPr>
        <w:t>Andrew H. Bond: conceptualization, methodology, formal analysis, software, validation, writing — original draft, writing — review and editing.</w:t>
      </w:r>
    </w:p>
    <w:p w14:paraId="1C49001A" w14:textId="77777777" w:rsidR="009B0938" w:rsidRPr="0014714E" w:rsidRDefault="00000000">
      <w:pPr>
        <w:pStyle w:val="Heading1"/>
        <w:rPr>
          <w:rFonts w:ascii="Garamond" w:hAnsi="Garamond"/>
        </w:rPr>
      </w:pPr>
      <w:r w:rsidRPr="0014714E">
        <w:rPr>
          <w:rFonts w:ascii="Garamond" w:hAnsi="Garamond"/>
        </w:rPr>
        <w:t>References</w:t>
      </w:r>
    </w:p>
    <w:p w14:paraId="3795ACDA" w14:textId="77777777" w:rsidR="009B0938" w:rsidRPr="0014714E" w:rsidRDefault="00000000">
      <w:pPr>
        <w:ind w:left="720" w:hanging="720"/>
        <w:rPr>
          <w:rFonts w:ascii="Garamond" w:hAnsi="Garamond"/>
        </w:rPr>
      </w:pPr>
      <w:r w:rsidRPr="0014714E">
        <w:rPr>
          <w:rFonts w:ascii="Garamond" w:hAnsi="Garamond"/>
        </w:rPr>
        <w:t>Bond, A. H. (2026). Multi-attribute equilibrium: A manifold generalization of Nash. Working paper, San José State University.</w:t>
      </w:r>
    </w:p>
    <w:p w14:paraId="04150502" w14:textId="77777777" w:rsidR="009B0938" w:rsidRPr="0014714E" w:rsidRDefault="00000000">
      <w:pPr>
        <w:ind w:left="720" w:hanging="720"/>
        <w:rPr>
          <w:rFonts w:ascii="Garamond" w:hAnsi="Garamond"/>
        </w:rPr>
      </w:pPr>
      <w:r w:rsidRPr="0014714E">
        <w:rPr>
          <w:rFonts w:ascii="Garamond" w:hAnsi="Garamond"/>
        </w:rPr>
        <w:t>Camerer, C. F. (2003). Behavioral game theory: Experiments in strategic interaction. Princeton University Press.</w:t>
      </w:r>
    </w:p>
    <w:p w14:paraId="356DE117" w14:textId="77777777" w:rsidR="009B0938" w:rsidRPr="0014714E" w:rsidRDefault="00000000">
      <w:pPr>
        <w:ind w:left="720" w:hanging="720"/>
        <w:rPr>
          <w:rFonts w:ascii="Garamond" w:hAnsi="Garamond"/>
        </w:rPr>
      </w:pPr>
      <w:r w:rsidRPr="0014714E">
        <w:rPr>
          <w:rFonts w:ascii="Garamond" w:hAnsi="Garamond"/>
        </w:rPr>
        <w:t>Engel, C. (2011). Dictator games: A meta study. Experimental Economics, 14(4), 583–610. https://doi.org/10.1007/s10683-011-9283-7</w:t>
      </w:r>
    </w:p>
    <w:p w14:paraId="5360EE25" w14:textId="77777777" w:rsidR="009B0938" w:rsidRPr="0014714E" w:rsidRDefault="00000000">
      <w:pPr>
        <w:ind w:left="720" w:hanging="720"/>
        <w:rPr>
          <w:rFonts w:ascii="Garamond" w:hAnsi="Garamond"/>
        </w:rPr>
      </w:pPr>
      <w:r w:rsidRPr="0014714E">
        <w:rPr>
          <w:rFonts w:ascii="Garamond" w:hAnsi="Garamond"/>
        </w:rPr>
        <w:t>Fraser, S., &amp; Nettle, D. (2022). The role of need in altruistic and non-altruistic behavior. Evolution and Human Behavior, 43(6), 469–477. https://doi.org/10.1016/j.evolhumbehav.2022.08.004</w:t>
      </w:r>
    </w:p>
    <w:p w14:paraId="489CE386" w14:textId="77777777" w:rsidR="009B0938" w:rsidRPr="0014714E" w:rsidRDefault="00000000">
      <w:pPr>
        <w:ind w:left="720" w:hanging="720"/>
        <w:rPr>
          <w:rFonts w:ascii="Garamond" w:hAnsi="Garamond"/>
        </w:rPr>
      </w:pPr>
      <w:r w:rsidRPr="0014714E">
        <w:rPr>
          <w:rFonts w:ascii="Garamond" w:hAnsi="Garamond"/>
        </w:rPr>
        <w:t>Henrich, J., Boyd, R., Bowles, S., Camerer, C., Fehr, E., Gintis, H., &amp; McElreath, R. (2001). In search of Homo economicus: Behavioral experiments in 15 small-scale societies. American Economic Review, 91(2), 73–78. https://doi.org/10.1257/aer.91.2.73</w:t>
      </w:r>
    </w:p>
    <w:p w14:paraId="45D15C9A" w14:textId="77777777" w:rsidR="009B0938" w:rsidRPr="0014714E" w:rsidRDefault="00000000">
      <w:pPr>
        <w:ind w:left="720" w:hanging="720"/>
        <w:rPr>
          <w:rFonts w:ascii="Garamond" w:hAnsi="Garamond"/>
        </w:rPr>
      </w:pPr>
      <w:r w:rsidRPr="0014714E">
        <w:rPr>
          <w:rFonts w:ascii="Garamond" w:hAnsi="Garamond"/>
        </w:rPr>
        <w:t>Henrich, J., Boyd, R., Bowles, S., Camerer, C., Fehr, E., Gintis, H., McElreath, R., Alvard, M., Barr, A., Ensminger, J., Henrich, N. S., Hill, K., Gil-White, F., Gurven, M., Marlowe, F. W., Patton, J. Q., &amp; Tracer, D. (2005). “Economic man” in cross-cultural perspective: Behavioral experiments in 15 small-scale societies. Behavioral and Brain Sciences, 28(6), 795–815. https://doi.org/10.1017/S0140525X05000142</w:t>
      </w:r>
    </w:p>
    <w:p w14:paraId="0BDA6062" w14:textId="77777777" w:rsidR="009B0938" w:rsidRPr="0014714E" w:rsidRDefault="00000000">
      <w:pPr>
        <w:ind w:left="720" w:hanging="720"/>
        <w:rPr>
          <w:rFonts w:ascii="Garamond" w:hAnsi="Garamond"/>
        </w:rPr>
      </w:pPr>
      <w:r w:rsidRPr="0014714E">
        <w:rPr>
          <w:rFonts w:ascii="Garamond" w:hAnsi="Garamond"/>
        </w:rPr>
        <w:t>Horowitz, J. K., &amp; McConnell, K. E. (2002). A review of WTA/WTP studies. Journal of Environmental Economics and Management, 44(3), 426–447. https://doi.org/10.1006/jeem.2001.1215</w:t>
      </w:r>
    </w:p>
    <w:p w14:paraId="53B03A4F" w14:textId="77777777" w:rsidR="009B0938" w:rsidRPr="0014714E" w:rsidRDefault="00000000">
      <w:pPr>
        <w:ind w:left="720" w:hanging="720"/>
        <w:rPr>
          <w:rFonts w:ascii="Garamond" w:hAnsi="Garamond"/>
        </w:rPr>
      </w:pPr>
      <w:r w:rsidRPr="0014714E">
        <w:rPr>
          <w:rFonts w:ascii="Garamond" w:hAnsi="Garamond"/>
        </w:rPr>
        <w:t>Kahneman, D., &amp; Tversky, A. (1979). Prospect theory: An analysis of decision under risk. Econometrica, 47(2), 263–292. https://doi.org/10.2307/1914185</w:t>
      </w:r>
    </w:p>
    <w:p w14:paraId="2AB9D712" w14:textId="77777777" w:rsidR="009B0938" w:rsidRPr="0014714E" w:rsidRDefault="00000000">
      <w:pPr>
        <w:ind w:left="720" w:hanging="720"/>
        <w:rPr>
          <w:rFonts w:ascii="Garamond" w:hAnsi="Garamond"/>
        </w:rPr>
      </w:pPr>
      <w:r w:rsidRPr="0014714E">
        <w:rPr>
          <w:rFonts w:ascii="Garamond" w:hAnsi="Garamond"/>
        </w:rPr>
        <w:t>Kahneman, D., Knetsch, J. L., &amp; Thaler, R. H. (1990). Experimental tests of the endowment effect and the Coase theorem. Journal of Political Economy, 98(6), 1325–1348. https://doi.org/10.1086/261737</w:t>
      </w:r>
    </w:p>
    <w:p w14:paraId="367C965F" w14:textId="77777777" w:rsidR="009B0938" w:rsidRPr="0014714E" w:rsidRDefault="00000000">
      <w:pPr>
        <w:ind w:left="720" w:hanging="720"/>
        <w:rPr>
          <w:rFonts w:ascii="Garamond" w:hAnsi="Garamond"/>
        </w:rPr>
      </w:pPr>
      <w:r w:rsidRPr="0014714E">
        <w:rPr>
          <w:rFonts w:ascii="Garamond" w:hAnsi="Garamond"/>
        </w:rPr>
        <w:t>Ledyard, J. O. (1995). Public goods: A survey of experimental research. In J. H. Kagel &amp; A. E. Roth (Eds.), The handbook of experimental economics (pp. 111–194). Princeton University Press.</w:t>
      </w:r>
    </w:p>
    <w:p w14:paraId="64A18344" w14:textId="77777777" w:rsidR="009B0938" w:rsidRPr="0014714E" w:rsidRDefault="00000000">
      <w:pPr>
        <w:ind w:left="720" w:hanging="720"/>
        <w:rPr>
          <w:rFonts w:ascii="Garamond" w:hAnsi="Garamond"/>
        </w:rPr>
      </w:pPr>
      <w:r w:rsidRPr="0014714E">
        <w:rPr>
          <w:rFonts w:ascii="Garamond" w:hAnsi="Garamond"/>
        </w:rPr>
        <w:t>Novemsky, N., &amp; Kahneman, D. (2005). The boundaries of loss aversion. Journal of Marketing Research, 42(2), 119–128. https://doi.org/10.1509/jmkr.42.2.119.62292</w:t>
      </w:r>
    </w:p>
    <w:p w14:paraId="2335AFDB" w14:textId="77777777" w:rsidR="009B0938" w:rsidRPr="0014714E" w:rsidRDefault="00000000">
      <w:pPr>
        <w:ind w:left="720" w:hanging="720"/>
        <w:rPr>
          <w:rFonts w:ascii="Garamond" w:hAnsi="Garamond"/>
        </w:rPr>
      </w:pPr>
      <w:r w:rsidRPr="0014714E">
        <w:rPr>
          <w:rFonts w:ascii="Garamond" w:hAnsi="Garamond"/>
        </w:rPr>
        <w:t>Tversky, A., &amp; Kahneman, D. (1992). Advances in prospect theory: Cumulative representation of uncertainty. Journal of Risk and Uncertainty, 5(4), 297–323. https://doi.org/10.1007/BF00122574</w:t>
      </w:r>
    </w:p>
    <w:sectPr w:rsidR="009B0938" w:rsidRPr="001471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413883">
    <w:abstractNumId w:val="8"/>
  </w:num>
  <w:num w:numId="2" w16cid:durableId="61374163">
    <w:abstractNumId w:val="6"/>
  </w:num>
  <w:num w:numId="3" w16cid:durableId="751855546">
    <w:abstractNumId w:val="5"/>
  </w:num>
  <w:num w:numId="4" w16cid:durableId="1274285451">
    <w:abstractNumId w:val="4"/>
  </w:num>
  <w:num w:numId="5" w16cid:durableId="294454406">
    <w:abstractNumId w:val="7"/>
  </w:num>
  <w:num w:numId="6" w16cid:durableId="316762792">
    <w:abstractNumId w:val="3"/>
  </w:num>
  <w:num w:numId="7" w16cid:durableId="673075431">
    <w:abstractNumId w:val="2"/>
  </w:num>
  <w:num w:numId="8" w16cid:durableId="1937128256">
    <w:abstractNumId w:val="1"/>
  </w:num>
  <w:num w:numId="9" w16cid:durableId="72772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14E"/>
    <w:rsid w:val="0015074B"/>
    <w:rsid w:val="0029639D"/>
    <w:rsid w:val="00326F90"/>
    <w:rsid w:val="00542067"/>
    <w:rsid w:val="009B09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CCDA8"/>
  <w14:defaultImageDpi w14:val="300"/>
  <w15:docId w15:val="{A917DAC8-D9D1-4F92-9CC5-AA38DDD6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2273</Words>
  <Characters>12961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Bond</cp:lastModifiedBy>
  <cp:revision>2</cp:revision>
  <dcterms:created xsi:type="dcterms:W3CDTF">2013-12-23T23:15:00Z</dcterms:created>
  <dcterms:modified xsi:type="dcterms:W3CDTF">2026-03-17T05:36:00Z</dcterms:modified>
  <cp:category/>
</cp:coreProperties>
</file>