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Philosophy Engineering</w:t>
      </w:r>
    </w:p>
    <w:p>
      <w:pPr>
        <w:pStyle w:val="BodyText"/>
      </w:pPr>
      <w:r>
        <w:t xml:space="preserve">Copyright © 2026 Andrew H. Bond. All rights reserved.</w:t>
      </w:r>
    </w:p>
    <w:p>
      <w:pPr>
        <w:pStyle w:val="BodyText"/>
      </w:pPr>
      <w:r>
        <w:t xml:space="preserve">ISBN: [TBD]</w:t>
      </w:r>
    </w:p>
    <w:p>
      <w:pPr>
        <w:pStyle w:val="BodyText"/>
      </w:pPr>
      <w:r>
        <w:rPr>
          <w:b/>
          <w:bCs/>
        </w:rPr>
        <w:t xml:space="preserve">AI-Assisted Writing Disclosure:</w:t>
      </w:r>
      <w:r>
        <w:t xml:space="preserve"> </w:t>
      </w:r>
      <w:r>
        <w:t xml:space="preserve">Portions of this manuscript were drafted and refined with AI assistance (Claude, Anthropic). All technical content, mathematical results, and claims were conceived, verified, and approved by the author.</w:t>
      </w:r>
    </w:p>
    <w:p>
      <w:pPr>
        <w:pStyle w:val="BodyText"/>
      </w:pPr>
      <w:r>
        <w:t xml:space="preserve">Typeset in LaTeX.</w:t>
      </w:r>
    </w:p>
    <w:p>
      <w:pPr>
        <w:pStyle w:val="BodyText"/>
      </w:pPr>
      <w:r>
        <w:t xml:space="preserve">Library of Congress Cataloging-in-Publication Data: [TBD]</w:t>
      </w:r>
    </w:p>
    <w:p>
      <w:pPr>
        <w:pStyle w:val="BodyText"/>
      </w:pPr>
      <w:r>
        <w:rPr>
          <w:i/>
          <w:iCs/>
        </w:rPr>
        <w:t xml:space="preserve">“Differences that do not matter should not make a difference.”</w:t>
      </w:r>
    </w:p>
    <w:p>
      <w:pPr>
        <w:pStyle w:val="BodyText"/>
      </w:pPr>
      <w:r>
        <w:t xml:space="preserve">— The Epistemic Invariance Principle</w:t>
      </w:r>
    </w:p>
    <w:bookmarkStart w:id="15" w:name="preface"/>
    <w:p>
      <w:pPr>
        <w:pStyle w:val="Heading2"/>
      </w:pPr>
      <w:r>
        <w:t xml:space="preserve">Preface</w:t>
      </w:r>
    </w:p>
    <w:bookmarkStart w:id="9" w:name="who-this-book-is-for"/>
    <w:p>
      <w:pPr>
        <w:pStyle w:val="Heading3"/>
      </w:pPr>
      <w:r>
        <w:t xml:space="preserve">Who This Book Is For</w:t>
      </w:r>
    </w:p>
    <w:p>
      <w:pPr>
        <w:pStyle w:val="FirstParagraph"/>
      </w:pPr>
      <w:r>
        <w:t xml:space="preserve">This textbook is written for three audiences:</w:t>
      </w:r>
    </w:p>
    <w:p>
      <w:pPr>
        <w:numPr>
          <w:ilvl w:val="0"/>
          <w:numId w:val="1001"/>
        </w:numPr>
      </w:pPr>
      <w:r>
        <w:rPr>
          <w:b/>
          <w:bCs/>
        </w:rPr>
        <w:t xml:space="preserve">Graduate students</w:t>
      </w:r>
      <w:r>
        <w:t xml:space="preserve"> </w:t>
      </w:r>
      <w:r>
        <w:t xml:space="preserve">in computer science, AI/ML, philosophy, and interdisciplinary programs who want a rigorous introduction to the formal foundations of value-aligned system design.</w:t>
      </w:r>
    </w:p>
    <w:p>
      <w:pPr>
        <w:numPr>
          <w:ilvl w:val="0"/>
          <w:numId w:val="1001"/>
        </w:numPr>
      </w:pPr>
      <w:r>
        <w:rPr>
          <w:b/>
          <w:bCs/>
        </w:rPr>
        <w:t xml:space="preserve">Practicing engineers</w:t>
      </w:r>
      <w:r>
        <w:t xml:space="preserve"> </w:t>
      </w:r>
      <w:r>
        <w:t xml:space="preserve">building safety-critical AI systems who need actionable methods for ensuring that their systems respect epistemic and ethical norms—not as aspirational guidelines, but as testable, enforceable contracts.</w:t>
      </w:r>
    </w:p>
    <w:p>
      <w:pPr>
        <w:numPr>
          <w:ilvl w:val="0"/>
          <w:numId w:val="1001"/>
        </w:numPr>
      </w:pPr>
      <w:r>
        <w:rPr>
          <w:b/>
          <w:bCs/>
        </w:rPr>
        <w:t xml:space="preserve">Researchers</w:t>
      </w:r>
      <w:r>
        <w:t xml:space="preserve"> </w:t>
      </w:r>
      <w:r>
        <w:t xml:space="preserve">in AI alignment, formal ethics, and mathematical philosophy who seek a unified mathematical treatment connecting these fields.</w:t>
      </w:r>
    </w:p>
    <w:bookmarkEnd w:id="9"/>
    <w:bookmarkStart w:id="10" w:name="prerequisites"/>
    <w:p>
      <w:pPr>
        <w:pStyle w:val="Heading3"/>
      </w:pPr>
      <w:r>
        <w:t xml:space="preserve">Prerequisites</w:t>
      </w:r>
    </w:p>
    <w:p>
      <w:pPr>
        <w:pStyle w:val="FirstParagraph"/>
      </w:pPr>
      <w:r>
        <w:t xml:space="preserve">The book assumes:</w:t>
      </w:r>
    </w:p>
    <w:p>
      <w:pPr>
        <w:numPr>
          <w:ilvl w:val="0"/>
          <w:numId w:val="1002"/>
        </w:numPr>
      </w:pPr>
      <w:r>
        <w:t xml:space="preserve">Undergraduate linear algebra and multivariable calculus</w:t>
      </w:r>
    </w:p>
    <w:p>
      <w:pPr>
        <w:numPr>
          <w:ilvl w:val="0"/>
          <w:numId w:val="1002"/>
        </w:numPr>
      </w:pPr>
      <w:r>
        <w:t xml:space="preserve">Basic set theory and proof techniques</w:t>
      </w:r>
    </w:p>
    <w:p>
      <w:pPr>
        <w:numPr>
          <w:ilvl w:val="0"/>
          <w:numId w:val="1002"/>
        </w:numPr>
      </w:pPr>
      <w:r>
        <w:t xml:space="preserve">Introductory programming (Python examples use ErisML)</w:t>
      </w:r>
    </w:p>
    <w:p>
      <w:pPr>
        <w:numPr>
          <w:ilvl w:val="0"/>
          <w:numId w:val="1002"/>
        </w:numPr>
      </w:pPr>
      <w:r>
        <w:t xml:space="preserve">Exposure to at least one of: philosophy of science, formal logic, or machine learning</w:t>
      </w:r>
    </w:p>
    <w:p>
      <w:pPr>
        <w:pStyle w:val="FirstParagraph"/>
      </w:pPr>
      <w:r>
        <w:t xml:space="preserve">No prior knowledge of differential geometry, gauge theory, or formal ethics is required. All necessary mathematics is developed from first principles.</w:t>
      </w:r>
    </w:p>
    <w:bookmarkEnd w:id="10"/>
    <w:bookmarkStart w:id="11" w:name="how-to-use-this-book"/>
    <w:p>
      <w:pPr>
        <w:pStyle w:val="Heading3"/>
      </w:pPr>
      <w:r>
        <w:t xml:space="preserve">How to Use This Book</w:t>
      </w:r>
    </w:p>
    <w:p>
      <w:pPr>
        <w:pStyle w:val="FirstParagraph"/>
      </w:pPr>
      <w:r>
        <w:t xml:space="preserve">The book is organized in five parts. Parts I–II are foundational and should be read in order. Parts III–V can be read in any order depending on the reader’s interests:</w:t>
      </w:r>
    </w:p>
    <w:p>
      <w:pPr>
        <w:numPr>
          <w:ilvl w:val="0"/>
          <w:numId w:val="1003"/>
        </w:numPr>
      </w:pPr>
      <w:r>
        <w:rPr>
          <w:b/>
          <w:bCs/>
        </w:rPr>
        <w:t xml:space="preserve">One-semester graduate course</w:t>
      </w:r>
      <w:r>
        <w:t xml:space="preserve">: Chapters 1–5, 8–10, 14–15, 19</w:t>
      </w:r>
    </w:p>
    <w:p>
      <w:pPr>
        <w:numPr>
          <w:ilvl w:val="0"/>
          <w:numId w:val="1003"/>
        </w:numPr>
      </w:pPr>
      <w:r>
        <w:rPr>
          <w:b/>
          <w:bCs/>
        </w:rPr>
        <w:t xml:space="preserve">AI alignment track</w:t>
      </w:r>
      <w:r>
        <w:t xml:space="preserve">: Chapters 1–3, 8–12, 14–16</w:t>
      </w:r>
    </w:p>
    <w:p>
      <w:pPr>
        <w:numPr>
          <w:ilvl w:val="0"/>
          <w:numId w:val="1003"/>
        </w:numPr>
      </w:pPr>
      <w:r>
        <w:rPr>
          <w:b/>
          <w:bCs/>
        </w:rPr>
        <w:t xml:space="preserve">Mathematics track</w:t>
      </w:r>
      <w:r>
        <w:t xml:space="preserve">: Chapters 4–7, 13, 17–18</w:t>
      </w:r>
    </w:p>
    <w:p>
      <w:pPr>
        <w:numPr>
          <w:ilvl w:val="0"/>
          <w:numId w:val="1003"/>
        </w:numPr>
      </w:pPr>
      <w:r>
        <w:rPr>
          <w:b/>
          <w:bCs/>
        </w:rPr>
        <w:t xml:space="preserve">Practitioner fast path</w:t>
      </w:r>
      <w:r>
        <w:t xml:space="preserve">: Chapters 1–2, 10, 14–16, 19–20</w:t>
      </w:r>
    </w:p>
    <w:p>
      <w:pPr>
        <w:pStyle w:val="FirstParagraph"/>
      </w:pPr>
      <w:r>
        <w:t xml:space="preserve">Each chapter includes worked examples, exercises at three difficulty levels (</w:t>
      </w:r>
      <w:r>
        <w:rPr>
          <w:b/>
          <w:bCs/>
        </w:rPr>
        <w:t xml:space="preserve">A</w:t>
      </w:r>
      <w:r>
        <w:t xml:space="preserve"> = routine,</w:t>
      </w:r>
      <w:r>
        <w:t xml:space="preserve"> </w:t>
      </w:r>
      <w:r>
        <w:rPr>
          <w:b/>
          <w:bCs/>
        </w:rPr>
        <w:t xml:space="preserve">B</w:t>
      </w:r>
      <w:r>
        <w:t xml:space="preserve"> = intermediate,</w:t>
      </w:r>
      <w:r>
        <w:t xml:space="preserve"> </w:t>
      </w:r>
      <w:r>
        <w:rPr>
          <w:b/>
          <w:bCs/>
        </w:rPr>
        <w:t xml:space="preserve">C</w:t>
      </w:r>
      <w:r>
        <w:t xml:space="preserve"> = research-level), and practitioner notes connecting theory to implementation.</w:t>
      </w:r>
    </w:p>
    <w:bookmarkEnd w:id="11"/>
    <w:bookmarkStart w:id="13" w:name="companion-software"/>
    <w:p>
      <w:pPr>
        <w:pStyle w:val="Heading3"/>
      </w:pPr>
      <w:r>
        <w:t xml:space="preserve">Companion Software</w:t>
      </w:r>
    </w:p>
    <w:p>
      <w:pPr>
        <w:pStyle w:val="FirstParagraph"/>
      </w:pPr>
      <w:r>
        <w:t xml:space="preserve">All code examples use ErisML v3.0, available at:</w:t>
      </w:r>
    </w:p>
    <w:p>
      <w:pPr>
        <w:pStyle w:val="BodyText"/>
      </w:pPr>
      <w:hyperlink r:id="rId12">
        <w:r>
          <w:rPr>
            <w:rStyle w:val="Hyperlink"/>
          </w:rPr>
          <w:t xml:space="preserve">https://github.com/ahb-sjsu/erisml-lib</w:t>
        </w:r>
      </w:hyperlink>
    </w:p>
    <w:p>
      <w:pPr>
        <w:pStyle w:val="BodyText"/>
      </w:pPr>
      <w:r>
        <w:t xml:space="preserve">Installation instructions and Jupyter notebooks for every chapter are provided in the companion repository.</w:t>
      </w:r>
    </w:p>
    <w:bookmarkEnd w:id="13"/>
    <w:bookmarkStart w:id="14" w:name="acknowledgments"/>
    <w:p>
      <w:pPr>
        <w:pStyle w:val="Heading3"/>
      </w:pPr>
      <w:r>
        <w:t xml:space="preserve">Acknowledgments</w:t>
      </w:r>
    </w:p>
    <w:p>
      <w:pPr>
        <w:pStyle w:val="FirstParagraph"/>
      </w:pPr>
      <w:r>
        <w:t xml:space="preserve">[To be written.]</w:t>
      </w:r>
    </w:p>
    <w:bookmarkEnd w:id="14"/>
    <w:bookmarkEnd w:id="15"/>
    <w:bookmarkStart w:id="16" w:name="notation-and-conventions"/>
    <w:p>
      <w:pPr>
        <w:pStyle w:val="Heading2"/>
      </w:pPr>
      <w:r>
        <w:t xml:space="preserve">Notation and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Symbol</w:t>
            </w:r>
          </w:p>
        </w:tc>
        <w:tc>
          <w:tcPr/>
          <w:p>
            <w:pPr>
              <w:pStyle w:val="Compact"/>
              <w:jc w:val="left"/>
            </w:pPr>
            <w:r>
              <w:rPr>
                <w:b/>
                <w:bCs/>
              </w:rPr>
              <w:t xml:space="preserve">Meaning</w:t>
            </w:r>
          </w:p>
        </w:tc>
      </w:tr>
      <w:tr>
        <w:tc>
          <w:tcPr/>
          <w:p>
            <w:pPr>
              <w:pStyle w:val="Compact"/>
              <w:jc w:val="left"/>
            </w:pPr>
            <m:oMath>
              <m:r>
                <m:rPr>
                  <m:scr m:val="script"/>
                  <m:sty m:val="p"/>
                </m:rPr>
                <m:t>M</m:t>
              </m:r>
            </m:oMath>
          </w:p>
        </w:tc>
        <w:tc>
          <w:tcPr/>
          <w:p>
            <w:pPr>
              <w:pStyle w:val="Compact"/>
              <w:jc w:val="left"/>
            </w:pPr>
            <w:r>
              <w:t xml:space="preserve">Moral manifold</w:t>
            </w:r>
          </w:p>
        </w:tc>
      </w:tr>
      <w:tr>
        <w:tc>
          <w:tcPr/>
          <w:p>
            <w:pPr>
              <w:pStyle w:val="Compact"/>
              <w:jc w:val="left"/>
            </w:pPr>
            <m:oMath>
              <m:sSub>
                <m:e>
                  <m:r>
                    <m:t>g</m:t>
                  </m:r>
                </m:e>
                <m:sub>
                  <m:r>
                    <m:t>i</m:t>
                  </m:r>
                  <m:r>
                    <m:t>j</m:t>
                  </m:r>
                </m:sub>
              </m:sSub>
            </m:oMath>
          </w:p>
        </w:tc>
        <w:tc>
          <w:tcPr/>
          <w:p>
            <w:pPr>
              <w:pStyle w:val="Compact"/>
              <w:jc w:val="left"/>
            </w:pPr>
            <w:r>
              <w:t xml:space="preserve">Metric tensor on</w:t>
            </w:r>
            <w:r>
              <w:t xml:space="preserve"> </w:t>
            </w:r>
            <m:oMath>
              <m:r>
                <m:rPr>
                  <m:scr m:val="script"/>
                  <m:sty m:val="p"/>
                </m:rPr>
                <m:t>M</m:t>
              </m:r>
            </m:oMath>
          </w:p>
        </w:tc>
      </w:tr>
      <w:tr>
        <w:tc>
          <w:tcPr/>
          <w:p>
            <w:pPr>
              <w:pStyle w:val="Compact"/>
              <w:jc w:val="left"/>
            </w:pPr>
            <m:oMath>
              <m:r>
                <m:rPr>
                  <m:scr m:val="script"/>
                  <m:sty m:val="p"/>
                </m:rPr>
                <m:t>H</m:t>
              </m:r>
            </m:oMath>
          </w:p>
        </w:tc>
        <w:tc>
          <w:tcPr/>
          <w:p>
            <w:pPr>
              <w:pStyle w:val="Compact"/>
              <w:jc w:val="left"/>
            </w:pPr>
            <w:r>
              <w:t xml:space="preserve">Harm functional</w:t>
            </w:r>
          </w:p>
        </w:tc>
      </w:tr>
      <w:tr>
        <w:tc>
          <w:tcPr/>
          <w:p>
            <w:pPr>
              <w:pStyle w:val="Compact"/>
              <w:jc w:val="left"/>
            </w:pPr>
            <m:oMath>
              <m:r>
                <m:rPr>
                  <m:scr m:val="script"/>
                  <m:sty m:val="p"/>
                </m:rPr>
                <m:t>L</m:t>
              </m:r>
            </m:oMath>
          </w:p>
        </w:tc>
        <w:tc>
          <w:tcPr/>
          <w:p>
            <w:pPr>
              <w:pStyle w:val="Compact"/>
              <w:jc w:val="left"/>
            </w:pPr>
            <w:r>
              <w:t xml:space="preserve">Lagrangian density</w:t>
            </w:r>
          </w:p>
        </w:tc>
      </w:tr>
      <w:tr>
        <w:tc>
          <w:tcPr/>
          <w:p>
            <w:pPr>
              <w:pStyle w:val="Compact"/>
              <w:jc w:val="left"/>
            </w:pPr>
            <m:oMath>
              <m:sSub>
                <m:e>
                  <m:r>
                    <m:rPr>
                      <m:scr m:val="script"/>
                      <m:sty m:val="p"/>
                    </m:rPr>
                    <m:t>L</m:t>
                  </m:r>
                </m:e>
                <m:sub>
                  <m:r>
                    <m:t>η</m:t>
                  </m:r>
                </m:sub>
              </m:sSub>
            </m:oMath>
          </w:p>
        </w:tc>
        <w:tc>
          <w:tcPr/>
          <w:p>
            <w:pPr>
              <w:pStyle w:val="Compact"/>
              <w:jc w:val="left"/>
            </w:pPr>
            <w:r>
              <w:t xml:space="preserve">Normative Lagrangian</w:t>
            </w:r>
          </w:p>
        </w:tc>
      </w:tr>
      <w:tr>
        <w:tc>
          <w:tcPr/>
          <w:p>
            <w:pPr>
              <w:pStyle w:val="Compact"/>
              <w:jc w:val="left"/>
            </w:pPr>
            <m:oMath>
              <m:r>
                <m:t>G</m:t>
              </m:r>
            </m:oMath>
          </w:p>
        </w:tc>
        <w:tc>
          <w:tcPr/>
          <w:p>
            <w:pPr>
              <w:pStyle w:val="Compact"/>
              <w:jc w:val="left"/>
            </w:pPr>
            <w:r>
              <w:t xml:space="preserve">Gauge group (typically</w:t>
            </w:r>
            <w:r>
              <w:t xml:space="preserve"> </w:t>
            </w:r>
            <m:oMath>
              <m:sSub>
                <m:e>
                  <m:r>
                    <m:t>D</m:t>
                  </m:r>
                </m:e>
                <m:sub>
                  <m:r>
                    <m:t>4</m:t>
                  </m:r>
                </m:sub>
              </m:sSub>
            </m:oMath>
            <w:r>
              <w:t xml:space="preserve">)</w:t>
            </w:r>
          </w:p>
        </w:tc>
      </w:tr>
      <w:tr>
        <w:tc>
          <w:tcPr/>
          <w:p>
            <w:pPr>
              <w:pStyle w:val="Compact"/>
              <w:jc w:val="left"/>
            </w:pPr>
            <m:oMath>
              <m:r>
                <m:t>π</m:t>
              </m:r>
              <m:r>
                <m:rPr>
                  <m:sty m:val="p"/>
                </m:rPr>
                <m:t>:</m:t>
              </m:r>
              <m:r>
                <m:t>P</m:t>
              </m:r>
              <m:r>
                <m:rPr>
                  <m:sty m:val="p"/>
                </m:rPr>
                <m:t>→</m:t>
              </m:r>
              <m:r>
                <m:rPr>
                  <m:scr m:val="script"/>
                  <m:sty m:val="p"/>
                </m:rPr>
                <m:t>M</m:t>
              </m:r>
            </m:oMath>
          </w:p>
        </w:tc>
        <w:tc>
          <w:tcPr/>
          <w:p>
            <w:pPr>
              <w:pStyle w:val="Compact"/>
              <w:jc w:val="left"/>
            </w:pPr>
            <w:r>
              <w:t xml:space="preserve">Principal bundle</w:t>
            </w:r>
          </w:p>
        </w:tc>
      </w:tr>
      <w:tr>
        <w:tc>
          <w:tcPr/>
          <w:p>
            <w:pPr>
              <w:pStyle w:val="Compact"/>
              <w:jc w:val="left"/>
            </w:pPr>
            <m:oMath>
              <m:sSub>
                <m:e>
                  <m:r>
                    <m:t>A</m:t>
                  </m:r>
                </m:e>
                <m:sub>
                  <m:r>
                    <m:t>μ</m:t>
                  </m:r>
                </m:sub>
              </m:sSub>
            </m:oMath>
          </w:p>
        </w:tc>
        <w:tc>
          <w:tcPr/>
          <w:p>
            <w:pPr>
              <w:pStyle w:val="Compact"/>
              <w:jc w:val="left"/>
            </w:pPr>
            <w:r>
              <w:t xml:space="preserve">Gauge connection</w:t>
            </w:r>
          </w:p>
        </w:tc>
      </w:tr>
      <w:tr>
        <w:tc>
          <w:tcPr/>
          <w:p>
            <w:pPr>
              <w:pStyle w:val="Compact"/>
              <w:jc w:val="left"/>
            </w:pPr>
            <m:oMath>
              <m:sSub>
                <m:e>
                  <m:r>
                    <m:t>F</m:t>
                  </m:r>
                </m:e>
                <m:sub>
                  <m:r>
                    <m:t>μ</m:t>
                  </m:r>
                  <m:r>
                    <m:t>ν</m:t>
                  </m:r>
                </m:sub>
              </m:sSub>
            </m:oMath>
          </w:p>
        </w:tc>
        <w:tc>
          <w:tcPr/>
          <w:p>
            <w:pPr>
              <w:pStyle w:val="Compact"/>
              <w:jc w:val="left"/>
            </w:pPr>
            <w:r>
              <w:t xml:space="preserve">Field strength / curvature</w:t>
            </w:r>
          </w:p>
        </w:tc>
      </w:tr>
      <w:tr>
        <w:tc>
          <w:tcPr/>
          <w:p>
            <w:pPr>
              <w:pStyle w:val="Compact"/>
              <w:jc w:val="left"/>
            </w:pPr>
            <m:oMath>
              <m:sSup>
                <m:e>
                  <m:r>
                    <m:t>J</m:t>
                  </m:r>
                </m:e>
                <m:sup>
                  <m:r>
                    <m:t>μ</m:t>
                  </m:r>
                </m:sup>
              </m:sSup>
            </m:oMath>
          </w:p>
        </w:tc>
        <w:tc>
          <w:tcPr/>
          <w:p>
            <w:pPr>
              <w:pStyle w:val="Compact"/>
              <w:jc w:val="left"/>
            </w:pPr>
            <w:r>
              <w:t xml:space="preserve">Conserved normative current</w:t>
            </w:r>
          </w:p>
        </w:tc>
      </w:tr>
      <w:tr>
        <w:tc>
          <w:tcPr/>
          <w:p>
            <w:pPr>
              <w:pStyle w:val="Compact"/>
              <w:jc w:val="left"/>
            </w:pPr>
            <m:oMath>
              <m:r>
                <m:rPr>
                  <m:scr m:val="script"/>
                  <m:sty m:val="p"/>
                </m:rPr>
                <m:t>T</m:t>
              </m:r>
            </m:oMath>
          </w:p>
        </w:tc>
        <w:tc>
          <w:tcPr/>
          <w:p>
            <w:pPr>
              <w:pStyle w:val="Compact"/>
              <w:jc w:val="left"/>
            </w:pPr>
            <w:r>
              <w:t xml:space="preserve">Transformation set</w:t>
            </w:r>
          </w:p>
        </w:tc>
      </w:tr>
      <w:tr>
        <w:tc>
          <w:tcPr/>
          <w:p>
            <w:pPr>
              <w:pStyle w:val="Compact"/>
              <w:jc w:val="left"/>
            </w:pPr>
            <w:r>
              <w:t xml:space="preserve">$\equivX$</w:t>
            </w:r>
          </w:p>
        </w:tc>
        <w:tc>
          <w:tcPr/>
          <w:p>
            <w:pPr>
              <w:pStyle w:val="Compact"/>
              <w:jc w:val="left"/>
            </w:pPr>
            <w:r>
              <w:t xml:space="preserve">Equivalence relation on input space</w:t>
            </w:r>
            <w:r>
              <w:t xml:space="preserve"> </w:t>
            </w:r>
            <m:oMath>
              <m:r>
                <m:t>X</m:t>
              </m:r>
            </m:oMath>
          </w:p>
        </w:tc>
      </w:tr>
      <w:tr>
        <w:tc>
          <w:tcPr/>
          <w:p>
            <w:pPr>
              <w:pStyle w:val="Compact"/>
              <w:jc w:val="left"/>
            </w:pPr>
            <m:oMath>
              <m:r>
                <m:rPr>
                  <m:scr m:val="script"/>
                  <m:sty m:val="p"/>
                </m:rPr>
                <m:t>B</m:t>
              </m:r>
            </m:oMath>
          </w:p>
        </w:tc>
        <w:tc>
          <w:tcPr/>
          <w:p>
            <w:pPr>
              <w:pStyle w:val="Compact"/>
              <w:jc w:val="left"/>
            </w:pPr>
            <w:r>
              <w:t xml:space="preserve">Bond structure (objective relational data)</w:t>
            </w:r>
          </w:p>
        </w:tc>
      </w:tr>
      <w:tr>
        <w:tc>
          <w:tcPr/>
          <w:p>
            <w:pPr>
              <w:pStyle w:val="Compact"/>
              <w:jc w:val="left"/>
            </w:pPr>
            <m:oMath>
              <m:r>
                <m:t>ϕ</m:t>
              </m:r>
            </m:oMath>
          </w:p>
        </w:tc>
        <w:tc>
          <w:tcPr/>
          <w:p>
            <w:pPr>
              <w:pStyle w:val="Compact"/>
              <w:jc w:val="left"/>
            </w:pPr>
            <w:r>
              <w:t xml:space="preserve">Evaluative lens</w:t>
            </w:r>
          </w:p>
        </w:tc>
      </w:tr>
      <w:tr>
        <w:tc>
          <w:tcPr/>
          <w:p>
            <w:pPr>
              <w:pStyle w:val="Compact"/>
              <w:jc w:val="left"/>
            </w:pPr>
            <m:oMath>
              <m:r>
                <m:t>β</m:t>
              </m:r>
              <m:r>
                <m:rPr>
                  <m:sty m:val="p"/>
                </m:rPr>
                <m:t>(</m:t>
              </m:r>
              <m:r>
                <m:t>f</m:t>
              </m:r>
              <m:r>
                <m:rPr>
                  <m:sty m:val="p"/>
                </m:rPr>
                <m:t>,</m:t>
              </m:r>
              <m:r>
                <m:rPr>
                  <m:scr m:val="script"/>
                  <m:sty m:val="p"/>
                </m:rPr>
                <m:t>T</m:t>
              </m:r>
              <m:r>
                <m:rPr>
                  <m:sty m:val="p"/>
                </m:rPr>
                <m:t>)</m:t>
              </m:r>
            </m:oMath>
          </w:p>
        </w:tc>
        <w:tc>
          <w:tcPr/>
          <w:p>
            <w:pPr>
              <w:pStyle w:val="Compact"/>
              <w:jc w:val="left"/>
            </w:pPr>
            <w:r>
              <w:t xml:space="preserve">Bond Index</w:t>
            </w:r>
          </w:p>
        </w:tc>
      </w:tr>
      <w:tr>
        <w:tc>
          <w:tcPr/>
          <w:p>
            <w:pPr>
              <w:pStyle w:val="Compact"/>
              <w:jc w:val="left"/>
            </w:pPr>
            <m:oMath>
              <m:sSub>
                <m:e>
                  <m:r>
                    <m:rPr>
                      <m:sty m:val="p"/>
                    </m:rPr>
                    <m:t>Σ</m:t>
                  </m:r>
                </m:e>
                <m:sub>
                  <m:r>
                    <m:t>i</m:t>
                  </m:r>
                </m:sub>
              </m:sSub>
            </m:oMath>
          </w:p>
        </w:tc>
        <w:tc>
          <w:tcPr/>
          <w:p>
            <w:pPr>
              <w:pStyle w:val="Compact"/>
              <w:jc w:val="left"/>
            </w:pPr>
            <w:r>
              <w:t xml:space="preserve">Stratum of a Whitney stratified space</w:t>
            </w:r>
          </w:p>
        </w:tc>
      </w:tr>
      <w:tr>
        <w:tc>
          <w:tcPr/>
          <w:p>
            <w:pPr>
              <w:pStyle w:val="Compact"/>
              <w:jc w:val="left"/>
            </w:pPr>
            <m:oMath>
              <m:sSup>
                <m:e>
                  <m:r>
                    <m:rPr>
                      <m:scr m:val="double-struck"/>
                      <m:sty m:val="p"/>
                    </m:rPr>
                    <m:t>R</m:t>
                  </m:r>
                </m:e>
                <m:sup>
                  <m:r>
                    <m:t>9</m:t>
                  </m:r>
                </m:sup>
              </m:sSup>
            </m:oMath>
          </w:p>
        </w:tc>
        <w:tc>
          <w:tcPr/>
          <w:p>
            <w:pPr>
              <w:pStyle w:val="Compact"/>
              <w:jc w:val="left"/>
            </w:pPr>
            <w:r>
              <w:t xml:space="preserve">Nine-dimensional moral evaluation space</w:t>
            </w:r>
          </w:p>
        </w:tc>
      </w:tr>
    </w:tbl>
    <w:bookmarkEnd w:id="16"/>
    <w:bookmarkStart w:id="36" w:name="part:foundations"/>
    <w:p>
      <w:pPr>
        <w:pStyle w:val="Heading1"/>
      </w:pPr>
      <w:r>
        <w:t xml:space="preserve">Foundations: The Case for Philosophy Engineering</w:t>
      </w:r>
    </w:p>
    <w:bookmarkStart w:id="22" w:name="ch:crisis"/>
    <w:p>
      <w:pPr>
        <w:pStyle w:val="Heading2"/>
      </w:pPr>
      <w:r>
        <w:t xml:space="preserve">The Representation Dependence Crisis</w:t>
      </w:r>
    </w:p>
    <w:p>
      <w:pPr>
        <w:pStyle w:val="FirstParagraph"/>
      </w:pPr>
      <w:r>
        <w:rPr>
          <w:i/>
          <w:iCs/>
        </w:rPr>
        <w:t xml:space="preserve">“A distinction without a difference is no distinction at all.”</w:t>
      </w:r>
    </w:p>
    <w:p>
      <w:pPr>
        <w:pStyle w:val="BodyText"/>
      </w:pPr>
      <w:r>
        <w:rPr>
          <w:b/>
          <w:bCs/>
        </w:rPr>
        <w:t xml:space="preserve">Learning Objectives.</w:t>
      </w:r>
      <w:r>
        <w:t xml:space="preserve"> </w:t>
      </w:r>
      <w:r>
        <w:t xml:space="preserve">After completing this chapter, you will be able to:</w:t>
      </w:r>
    </w:p>
    <w:p>
      <w:pPr>
        <w:numPr>
          <w:ilvl w:val="0"/>
          <w:numId w:val="1004"/>
        </w:numPr>
      </w:pPr>
      <w:r>
        <w:t xml:space="preserve">Identify representation dependence failures in deployed AI systems</w:t>
      </w:r>
    </w:p>
    <w:p>
      <w:pPr>
        <w:numPr>
          <w:ilvl w:val="0"/>
          <w:numId w:val="1004"/>
        </w:numPr>
      </w:pPr>
      <w:r>
        <w:t xml:space="preserve">Distinguish representation dependence from bias and fairness concerns</w:t>
      </w:r>
    </w:p>
    <w:p>
      <w:pPr>
        <w:numPr>
          <w:ilvl w:val="0"/>
          <w:numId w:val="1004"/>
        </w:numPr>
      </w:pPr>
      <w:r>
        <w:t xml:space="preserve">Explain why representation dependence is an epistemic (not merely statistical) failure</w:t>
      </w:r>
    </w:p>
    <w:p>
      <w:pPr>
        <w:numPr>
          <w:ilvl w:val="0"/>
          <w:numId w:val="1004"/>
        </w:numPr>
      </w:pPr>
      <w:r>
        <w:t xml:space="preserve">State the core commitment of Philosophy Engineering in one sentence</w:t>
      </w:r>
    </w:p>
    <w:bookmarkStart w:id="17" w:name="when-surface-form-changes-the-verdict"/>
    <w:p>
      <w:pPr>
        <w:pStyle w:val="Heading3"/>
      </w:pPr>
      <w:r>
        <w:t xml:space="preserve">When Surface Form Changes the Verdict</w:t>
      </w:r>
    </w:p>
    <w:bookmarkEnd w:id="17"/>
    <w:bookmarkStart w:id="18" w:name="the-pragmatist-diagnosis"/>
    <w:p>
      <w:pPr>
        <w:pStyle w:val="Heading3"/>
      </w:pPr>
      <w:r>
        <w:t xml:space="preserve">The Pragmatist Diagnosis</w:t>
      </w:r>
    </w:p>
    <w:bookmarkEnd w:id="18"/>
    <w:bookmarkStart w:id="19" w:name="X110b9cf6425d15b53ede159f1e53fcda3abc912"/>
    <w:p>
      <w:pPr>
        <w:pStyle w:val="Heading3"/>
      </w:pPr>
      <w:r>
        <w:t xml:space="preserve">Beyond Bias: Representation vs. Content Failures</w:t>
      </w:r>
    </w:p>
    <w:bookmarkEnd w:id="19"/>
    <w:bookmarkStart w:id="20" w:name="the-scalar-alignment-crisis"/>
    <w:p>
      <w:pPr>
        <w:pStyle w:val="Heading3"/>
      </w:pPr>
      <w:r>
        <w:t xml:space="preserve">The Scalar Alignment Crisis</w:t>
      </w:r>
    </w:p>
    <w:bookmarkEnd w:id="20"/>
    <w:bookmarkStart w:id="21" w:name="what-philosophy-engineering-proposes"/>
    <w:p>
      <w:pPr>
        <w:pStyle w:val="Heading3"/>
      </w:pPr>
      <w:r>
        <w:t xml:space="preserve">What Philosophy Engineering Proposes</w:t>
      </w:r>
    </w:p>
    <w:p>
      <w:pPr>
        <w:pStyle w:val="FirstParagraph"/>
      </w:pPr>
      <w:r>
        <w:rPr>
          <w:b/>
          <w:bCs/>
        </w:rPr>
        <w:t xml:space="preserve">Exercise . (A).</w:t>
      </w:r>
    </w:p>
    <w:p>
      <w:pPr>
        <w:pStyle w:val="BodyText"/>
      </w:pPr>
      <w:r>
        <w:t xml:space="preserve">Find three examples of representation dependence in a publicly available language model. For each, identify the irrelevant surface change and the resulting output change.</w:t>
      </w:r>
    </w:p>
    <w:p>
      <w:pPr>
        <w:pStyle w:val="BodyText"/>
      </w:pPr>
      <w:r>
        <w:rPr>
          <w:b/>
          <w:bCs/>
        </w:rPr>
        <w:t xml:space="preserve">Exercise . (B).</w:t>
      </w:r>
    </w:p>
    <w:p>
      <w:pPr>
        <w:pStyle w:val="BodyText"/>
      </w:pPr>
      <w:r>
        <w:t xml:space="preserve">A content moderation system flags</w:t>
      </w:r>
      <w:r>
        <w:t xml:space="preserve"> </w:t>
      </w:r>
      <w:r>
        <w:t xml:space="preserve">“I’m going to kill it at the presentation”</w:t>
      </w:r>
      <w:r>
        <w:t xml:space="preserve"> </w:t>
      </w:r>
      <w:r>
        <w:t xml:space="preserve">as violent but not</w:t>
      </w:r>
      <w:r>
        <w:t xml:space="preserve"> </w:t>
      </w:r>
      <w:r>
        <w:t xml:space="preserve">“I will perform excellently at the presentation.”</w:t>
      </w:r>
      <w:r>
        <w:t xml:space="preserve"> </w:t>
      </w:r>
      <w:r>
        <w:t xml:space="preserve">Is this a bias failure, a representation dependence failure, or both? Justify your answer using the distinctions from Section 1.3.</w:t>
      </w:r>
    </w:p>
    <w:p>
      <w:pPr>
        <w:pStyle w:val="BodyText"/>
      </w:pPr>
      <w:r>
        <w:rPr>
          <w:b/>
          <w:bCs/>
        </w:rPr>
        <w:t xml:space="preserve">Exercise . (C).</w:t>
      </w:r>
    </w:p>
    <w:p>
      <w:pPr>
        <w:pStyle w:val="BodyText"/>
      </w:pPr>
      <w:r>
        <w:t xml:space="preserve">Formalize the claim</w:t>
      </w:r>
      <w:r>
        <w:t xml:space="preserve"> </w:t>
      </w:r>
      <w:r>
        <w:t xml:space="preserve">“representation dependence and bias are orthogonal failure modes.”</w:t>
      </w:r>
      <w:r>
        <w:t xml:space="preserve"> </w:t>
      </w:r>
      <w:r>
        <w:t xml:space="preserve">Construct a</w:t>
      </w:r>
      <w:r>
        <w:t xml:space="preserve"> </w:t>
      </w:r>
      <m:oMath>
        <m:r>
          <m:t>2</m:t>
        </m:r>
        <m:r>
          <m:rPr>
            <m:sty m:val="p"/>
          </m:rPr>
          <m:t>×</m:t>
        </m:r>
        <m:r>
          <m:t>2</m:t>
        </m:r>
      </m:oMath>
      <w:r>
        <w:t xml:space="preserve"> </w:t>
      </w:r>
      <w:r>
        <w:t xml:space="preserve">matrix of systems that are (biased, representation-dependent), (biased, representation-independent), (unbiased, representation-dependent), and (unbiased, representation-independent). Provide concrete examples for each cell.</w:t>
      </w:r>
    </w:p>
    <w:bookmarkEnd w:id="21"/>
    <w:bookmarkEnd w:id="22"/>
    <w:bookmarkStart w:id="28" w:name="ch:what-is-pe"/>
    <w:p>
      <w:pPr>
        <w:pStyle w:val="Heading2"/>
      </w:pPr>
      <w:r>
        <w:t xml:space="preserve">What Is Philosophy Engineering?</w:t>
      </w:r>
    </w:p>
    <w:p>
      <w:pPr>
        <w:pStyle w:val="FirstParagraph"/>
      </w:pPr>
      <w:r>
        <w:rPr>
          <w:b/>
          <w:bCs/>
        </w:rPr>
        <w:t xml:space="preserve">Learning Objectives.</w:t>
      </w:r>
      <w:r>
        <w:t xml:space="preserve"> </w:t>
      </w:r>
      <w:r>
        <w:t xml:space="preserve">After completing this chapter, you will be able to:</w:t>
      </w:r>
    </w:p>
    <w:p>
      <w:pPr>
        <w:numPr>
          <w:ilvl w:val="0"/>
          <w:numId w:val="1005"/>
        </w:numPr>
      </w:pPr>
      <w:r>
        <w:t xml:space="preserve">Define Philosophy Engineering and distinguish it from adjacent disciplines</w:t>
      </w:r>
    </w:p>
    <w:p>
      <w:pPr>
        <w:numPr>
          <w:ilvl w:val="0"/>
          <w:numId w:val="1005"/>
        </w:numPr>
      </w:pPr>
      <w:r>
        <w:t xml:space="preserve">Describe the three-tier architecture (Substrate, Computation, Values)</w:t>
      </w:r>
    </w:p>
    <w:p>
      <w:pPr>
        <w:numPr>
          <w:ilvl w:val="0"/>
          <w:numId w:val="1005"/>
        </w:numPr>
      </w:pPr>
      <w:r>
        <w:t xml:space="preserve">Identify the 16 knowledge areas and their tier assignments</w:t>
      </w:r>
    </w:p>
    <w:p>
      <w:pPr>
        <w:numPr>
          <w:ilvl w:val="0"/>
          <w:numId w:val="1005"/>
        </w:numPr>
      </w:pPr>
      <w:r>
        <w:t xml:space="preserve">Explain the relationship to SWEBOK and why a new discipline is needed</w:t>
      </w:r>
    </w:p>
    <w:bookmarkStart w:id="23" w:name="definition-and-scope"/>
    <w:p>
      <w:pPr>
        <w:pStyle w:val="Heading3"/>
      </w:pPr>
      <w:r>
        <w:t xml:space="preserve">Definition and Scope</w:t>
      </w:r>
    </w:p>
    <w:bookmarkEnd w:id="23"/>
    <w:bookmarkStart w:id="24" w:name="the-three-tier-architecture"/>
    <w:p>
      <w:pPr>
        <w:pStyle w:val="Heading3"/>
      </w:pPr>
      <w:r>
        <w:t xml:space="preserve">The Three-Tier Architecture</w:t>
      </w:r>
    </w:p>
    <w:bookmarkEnd w:id="24"/>
    <w:bookmarkStart w:id="25" w:name="the-sixteen-knowledge-areas"/>
    <w:p>
      <w:pPr>
        <w:pStyle w:val="Heading3"/>
      </w:pPr>
      <w:r>
        <w:t xml:space="preserve">The Sixteen Knowledge Areas</w:t>
      </w:r>
    </w:p>
    <w:bookmarkEnd w:id="25"/>
    <w:bookmarkStart w:id="26" w:name="relationship-to-swebok"/>
    <w:p>
      <w:pPr>
        <w:pStyle w:val="Heading3"/>
      </w:pPr>
      <w:r>
        <w:t xml:space="preserve">Relationship to SWEBOK</w:t>
      </w:r>
    </w:p>
    <w:bookmarkEnd w:id="26"/>
    <w:bookmarkStart w:id="27" w:name="epistemic-stance"/>
    <w:p>
      <w:pPr>
        <w:pStyle w:val="Heading3"/>
      </w:pPr>
      <w:r>
        <w:t xml:space="preserve">Epistemic Stance</w:t>
      </w:r>
    </w:p>
    <w:p>
      <w:pPr>
        <w:pStyle w:val="FirstParagraph"/>
      </w:pPr>
      <w:r>
        <w:rPr>
          <w:b/>
          <w:bCs/>
        </w:rPr>
        <w:t xml:space="preserve">Exercise . (A).</w:t>
      </w:r>
    </w:p>
    <w:p>
      <w:pPr>
        <w:pStyle w:val="BodyText"/>
      </w:pPr>
      <w:r>
        <w:t xml:space="preserve">For each of the 16 knowledge areas, identify one concrete way it contributes to the problem of building representation-independent AI systems.</w:t>
      </w:r>
    </w:p>
    <w:p>
      <w:pPr>
        <w:pStyle w:val="BodyText"/>
      </w:pPr>
      <w:r>
        <w:rPr>
          <w:b/>
          <w:bCs/>
        </w:rPr>
        <w:t xml:space="preserve">Exercise . (B).</w:t>
      </w:r>
    </w:p>
    <w:p>
      <w:pPr>
        <w:pStyle w:val="BodyText"/>
      </w:pPr>
      <w:r>
        <w:t xml:space="preserve">Compare the SWEBOK knowledge area structure with the PE-BoK structure proposed here. Where do they overlap? Where do they diverge? What does the divergence tell us about the nature of Philosophy Engineering?</w:t>
      </w:r>
    </w:p>
    <w:bookmarkEnd w:id="27"/>
    <w:bookmarkEnd w:id="28"/>
    <w:bookmarkStart w:id="35" w:name="ch:history"/>
    <w:p>
      <w:pPr>
        <w:pStyle w:val="Heading2"/>
      </w:pPr>
      <w:r>
        <w:t xml:space="preserve">A Brief History of Formal Ethics</w:t>
      </w:r>
    </w:p>
    <w:p>
      <w:pPr>
        <w:pStyle w:val="FirstParagraph"/>
      </w:pPr>
      <w:r>
        <w:rPr>
          <w:b/>
          <w:bCs/>
        </w:rPr>
        <w:t xml:space="preserve">Learning Objectives.</w:t>
      </w:r>
      <w:r>
        <w:t xml:space="preserve"> </w:t>
      </w:r>
      <w:r>
        <w:t xml:space="preserve">After completing this chapter, you will be able to:</w:t>
      </w:r>
    </w:p>
    <w:p>
      <w:pPr>
        <w:numPr>
          <w:ilvl w:val="0"/>
          <w:numId w:val="1006"/>
        </w:numPr>
      </w:pPr>
      <w:r>
        <w:t xml:space="preserve">Trace the historical arc from Aristotle through Kant to computational ethics</w:t>
      </w:r>
    </w:p>
    <w:p>
      <w:pPr>
        <w:numPr>
          <w:ilvl w:val="0"/>
          <w:numId w:val="1006"/>
        </w:numPr>
      </w:pPr>
      <w:r>
        <w:t xml:space="preserve">Identify the key moments where formalization of ethics was attempted and why earlier attempts fell short</w:t>
      </w:r>
    </w:p>
    <w:p>
      <w:pPr>
        <w:numPr>
          <w:ilvl w:val="0"/>
          <w:numId w:val="1006"/>
        </w:numPr>
      </w:pPr>
      <w:r>
        <w:t xml:space="preserve">Explain what changed with the availability of differential geometry and gauge theory</w:t>
      </w:r>
    </w:p>
    <w:bookmarkStart w:id="29" w:name="Xf7c9681361a96d8948422a1b43602a672dc82fa"/>
    <w:p>
      <w:pPr>
        <w:pStyle w:val="Heading3"/>
      </w:pPr>
      <w:r>
        <w:t xml:space="preserve">Aristotle to Bentham: Systematizing Moral Reasoning</w:t>
      </w:r>
    </w:p>
    <w:bookmarkEnd w:id="29"/>
    <w:bookmarkStart w:id="30" w:name="kants-formalism"/>
    <w:p>
      <w:pPr>
        <w:pStyle w:val="Heading3"/>
      </w:pPr>
      <w:r>
        <w:t xml:space="preserve">Kant’s Formalism</w:t>
      </w:r>
    </w:p>
    <w:bookmarkEnd w:id="30"/>
    <w:bookmarkStart w:id="31" w:name="X1653d500577a7c1daad958b7e4b3b5ed6315b4b"/>
    <w:p>
      <w:pPr>
        <w:pStyle w:val="Heading3"/>
      </w:pPr>
      <w:r>
        <w:t xml:space="preserve">The Analytic Turn: Moore, Hare, and the Is-Ought Gap</w:t>
      </w:r>
    </w:p>
    <w:bookmarkEnd w:id="31"/>
    <w:bookmarkStart w:id="32" w:name="decision-theory-and-game-theory"/>
    <w:p>
      <w:pPr>
        <w:pStyle w:val="Heading3"/>
      </w:pPr>
      <w:r>
        <w:t xml:space="preserve">Decision Theory and Game Theory</w:t>
      </w:r>
    </w:p>
    <w:bookmarkEnd w:id="32"/>
    <w:bookmarkStart w:id="33" w:name="X682c69de0db0016d508f26bbc5fae343d47a6a8"/>
    <w:p>
      <w:pPr>
        <w:pStyle w:val="Heading3"/>
      </w:pPr>
      <w:r>
        <w:t xml:space="preserve">Computational Ethics: Deontic Logic to Machine Ethics</w:t>
      </w:r>
    </w:p>
    <w:bookmarkEnd w:id="33"/>
    <w:bookmarkStart w:id="34" w:name="the-geometric-turn"/>
    <w:p>
      <w:pPr>
        <w:pStyle w:val="Heading3"/>
      </w:pPr>
      <w:r>
        <w:t xml:space="preserve">The Geometric Turn</w:t>
      </w:r>
    </w:p>
    <w:p>
      <w:pPr>
        <w:pStyle w:val="FirstParagraph"/>
      </w:pPr>
      <w:r>
        <w:t xml:space="preserve">Arrow’s Impossibility Theorem (1951) can be read as an early warning that scalar aggregation of multi-dimensional preferences is fundamentally problematic. The Information Monotonicity Theorem (Chapter 8) generalizes this insight from social choice to moral evaluation.</w:t>
      </w:r>
    </w:p>
    <w:bookmarkEnd w:id="34"/>
    <w:bookmarkEnd w:id="35"/>
    <w:bookmarkEnd w:id="36"/>
    <w:bookmarkStart w:id="62" w:name="part:substrate"/>
    <w:p>
      <w:pPr>
        <w:pStyle w:val="Heading1"/>
      </w:pPr>
      <w:r>
        <w:t xml:space="preserve">Mathematical Substrate</w:t>
      </w:r>
    </w:p>
    <w:bookmarkStart w:id="42" w:name="ch:manifolds"/>
    <w:p>
      <w:pPr>
        <w:pStyle w:val="Heading2"/>
      </w:pPr>
      <w:r>
        <w:t xml:space="preserve">Manifolds and Smooth Structure</w:t>
      </w:r>
    </w:p>
    <w:p>
      <w:pPr>
        <w:pStyle w:val="FirstParagraph"/>
      </w:pPr>
      <w:r>
        <w:rPr>
          <w:b/>
          <w:bCs/>
        </w:rPr>
        <w:t xml:space="preserve">Learning Objectives.</w:t>
      </w:r>
      <w:r>
        <w:t xml:space="preserve"> </w:t>
      </w:r>
      <w:r>
        <w:t xml:space="preserve">After completing this chapter, you will be able to:</w:t>
      </w:r>
    </w:p>
    <w:p>
      <w:pPr>
        <w:numPr>
          <w:ilvl w:val="0"/>
          <w:numId w:val="1007"/>
        </w:numPr>
      </w:pPr>
      <w:r>
        <w:t xml:space="preserve">Define topological and smooth manifolds from first principles</w:t>
      </w:r>
    </w:p>
    <w:p>
      <w:pPr>
        <w:numPr>
          <w:ilvl w:val="0"/>
          <w:numId w:val="1007"/>
        </w:numPr>
      </w:pPr>
      <w:r>
        <w:t xml:space="preserve">Construct coordinate charts and atlases</w:t>
      </w:r>
    </w:p>
    <w:p>
      <w:pPr>
        <w:numPr>
          <w:ilvl w:val="0"/>
          <w:numId w:val="1007"/>
        </w:numPr>
      </w:pPr>
      <w:r>
        <w:t xml:space="preserve">Compute tangent vectors, cotangent vectors, and differentials</w:t>
      </w:r>
    </w:p>
    <w:p>
      <w:pPr>
        <w:numPr>
          <w:ilvl w:val="0"/>
          <w:numId w:val="1007"/>
        </w:numPr>
      </w:pPr>
      <w:r>
        <w:t xml:space="preserve">Explain why moral evaluation spaces require manifold structure</w:t>
      </w:r>
    </w:p>
    <w:bookmarkStart w:id="37" w:name="topological-spaces-and-continuity"/>
    <w:p>
      <w:pPr>
        <w:pStyle w:val="Heading3"/>
      </w:pPr>
      <w:r>
        <w:t xml:space="preserve">Topological Spaces and Continuity</w:t>
      </w:r>
    </w:p>
    <w:bookmarkEnd w:id="37"/>
    <w:bookmarkStart w:id="38" w:name="charts-atlases-and-smooth-structure"/>
    <w:p>
      <w:pPr>
        <w:pStyle w:val="Heading3"/>
      </w:pPr>
      <w:r>
        <w:t xml:space="preserve">Charts, Atlases, and Smooth Structure</w:t>
      </w:r>
    </w:p>
    <w:bookmarkEnd w:id="38"/>
    <w:bookmarkStart w:id="39" w:name="tangent-spaces-and-derivatives"/>
    <w:p>
      <w:pPr>
        <w:pStyle w:val="Heading3"/>
      </w:pPr>
      <w:r>
        <w:t xml:space="preserve">Tangent Spaces and Derivatives</w:t>
      </w:r>
    </w:p>
    <w:bookmarkEnd w:id="39"/>
    <w:bookmarkStart w:id="40" w:name="cotangent-spaces-and-differential-forms"/>
    <w:p>
      <w:pPr>
        <w:pStyle w:val="Heading3"/>
      </w:pPr>
      <w:r>
        <w:t xml:space="preserve">Cotangent Spaces and Differential Forms</w:t>
      </w:r>
    </w:p>
    <w:bookmarkEnd w:id="40"/>
    <w:bookmarkStart w:id="41" w:name="the-moral-manifold-first-construction"/>
    <w:p>
      <w:pPr>
        <w:pStyle w:val="Heading3"/>
      </w:pPr>
      <w:r>
        <w:t xml:space="preserve">The Moral Manifold: First Construction</w:t>
      </w:r>
    </w:p>
    <w:p>
      <w:pPr>
        <w:pStyle w:val="FirstParagraph"/>
      </w:pPr>
      <w:r>
        <w:t xml:space="preserve">You do not need to understand every proof in this chapter to use Philosophy Engineering. The key takeaway: a manifold is a space that looks like</w:t>
      </w:r>
      <w:r>
        <w:t xml:space="preserve"> </w:t>
      </w:r>
      <m:oMath>
        <m:sSup>
          <m:e>
            <m:r>
              <m:rPr>
                <m:scr m:val="double-struck"/>
                <m:sty m:val="p"/>
              </m:rPr>
              <m:t>R</m:t>
            </m:r>
          </m:e>
          <m:sup>
            <m:r>
              <m:t>n</m:t>
            </m:r>
          </m:sup>
        </m:sSup>
      </m:oMath>
      <w:r>
        <w:t xml:space="preserve"> </w:t>
      </w:r>
      <w:r>
        <w:t xml:space="preserve">locally but can have nontrivial global structure. Moral evaluation lives on such a space because locally, moral tradeoffs are continuous and smooth, but globally, there are boundaries you cannot cross smoothly (rights violations, consent thresholds). Those boundaries are handled in Chapter 6.</w:t>
      </w:r>
    </w:p>
    <w:p>
      <w:pPr>
        <w:pStyle w:val="BodyText"/>
      </w:pPr>
      <w:r>
        <w:rPr>
          <w:b/>
          <w:bCs/>
        </w:rPr>
        <w:t xml:space="preserve">Exercise . (A).</w:t>
      </w:r>
    </w:p>
    <w:p>
      <w:pPr>
        <w:pStyle w:val="BodyText"/>
      </w:pPr>
      <w:r>
        <w:t xml:space="preserve">Show that the 2-sphere</w:t>
      </w:r>
      <w:r>
        <w:t xml:space="preserve"> </w:t>
      </w:r>
      <m:oMath>
        <m:sSup>
          <m:e>
            <m:r>
              <m:t>S</m:t>
            </m:r>
          </m:e>
          <m:sup>
            <m:r>
              <m:t>2</m:t>
            </m:r>
          </m:sup>
        </m:sSup>
      </m:oMath>
      <w:r>
        <w:t xml:space="preserve"> </w:t>
      </w:r>
      <w:r>
        <w:t xml:space="preserve">cannot be covered by a single coordinate chart. What does this imply for any attempt to represent all moral evaluations in a single coordinate system?</w:t>
      </w:r>
    </w:p>
    <w:p>
      <w:pPr>
        <w:pStyle w:val="BodyText"/>
      </w:pPr>
      <w:r>
        <w:rPr>
          <w:b/>
          <w:bCs/>
        </w:rPr>
        <w:t xml:space="preserve">Exercise . (B).</w:t>
      </w:r>
    </w:p>
    <w:p>
      <w:pPr>
        <w:pStyle w:val="BodyText"/>
      </w:pPr>
      <w:r>
        <w:t xml:space="preserve">Construct an explicit atlas for the moral manifold restricted to the two-dimensional subspace of (consequences, rights). Identify at least one point where the transition functions are nontrivial.</w:t>
      </w:r>
    </w:p>
    <w:p>
      <w:pPr>
        <w:pStyle w:val="BodyText"/>
      </w:pPr>
      <w:r>
        <w:rPr>
          <w:b/>
          <w:bCs/>
        </w:rPr>
        <w:t xml:space="preserve">Exercise . (C).</w:t>
      </w:r>
    </w:p>
    <w:p>
      <w:pPr>
        <w:pStyle w:val="BodyText"/>
      </w:pPr>
      <w:r>
        <w:t xml:space="preserve">Prove that if</w:t>
      </w:r>
      <w:r>
        <w:t xml:space="preserve"> </w:t>
      </w:r>
      <m:oMath>
        <m:r>
          <m:rPr>
            <m:scr m:val="script"/>
            <m:sty m:val="p"/>
          </m:rPr>
          <m:t>M</m:t>
        </m:r>
      </m:oMath>
      <w:r>
        <w:t xml:space="preserve"> </w:t>
      </w:r>
      <w:r>
        <w:t xml:space="preserve">is a smooth manifold and</w:t>
      </w:r>
      <w:r>
        <w:t xml:space="preserve"> </w:t>
      </w:r>
      <m:oMath>
        <m:r>
          <m:t>f</m:t>
        </m:r>
        <m:r>
          <m:rPr>
            <m:sty m:val="p"/>
          </m:rPr>
          <m:t>:</m:t>
        </m:r>
        <m:r>
          <m:rPr>
            <m:scr m:val="script"/>
            <m:sty m:val="p"/>
          </m:rPr>
          <m:t>M</m:t>
        </m:r>
        <m:r>
          <m:rPr>
            <m:sty m:val="p"/>
          </m:rPr>
          <m:t>→</m:t>
        </m:r>
        <m:r>
          <m:rPr>
            <m:scr m:val="double-struck"/>
            <m:sty m:val="p"/>
          </m:rPr>
          <m:t>R</m:t>
        </m:r>
      </m:oMath>
      <w:r>
        <w:t xml:space="preserve"> </w:t>
      </w:r>
      <w:r>
        <w:t xml:space="preserve">is a smooth moral evaluation functional, then</w:t>
      </w:r>
      <w:r>
        <w:t xml:space="preserve"> </w:t>
      </w:r>
      <m:oMath>
        <m:r>
          <m:t>f</m:t>
        </m:r>
      </m:oMath>
      <w:r>
        <w:t xml:space="preserve"> </w:t>
      </w:r>
      <w:r>
        <w:t xml:space="preserve">has at least one critical point on any compact submanifold. Interpret this result in terms of moral equilibria.</w:t>
      </w:r>
    </w:p>
    <w:bookmarkEnd w:id="41"/>
    <w:bookmarkEnd w:id="42"/>
    <w:bookmarkStart w:id="48" w:name="ch:riemannian"/>
    <w:p>
      <w:pPr>
        <w:pStyle w:val="Heading2"/>
      </w:pPr>
      <w:r>
        <w:t xml:space="preserve">Riemannian Geometry and Metrics</w:t>
      </w:r>
    </w:p>
    <w:p>
      <w:pPr>
        <w:pStyle w:val="FirstParagraph"/>
      </w:pPr>
      <w:r>
        <w:rPr>
          <w:b/>
          <w:bCs/>
        </w:rPr>
        <w:t xml:space="preserve">Learning Objectives.</w:t>
      </w:r>
      <w:r>
        <w:t xml:space="preserve"> </w:t>
      </w:r>
      <w:r>
        <w:t xml:space="preserve">After completing this chapter, you will be able to:</w:t>
      </w:r>
    </w:p>
    <w:p>
      <w:pPr>
        <w:numPr>
          <w:ilvl w:val="0"/>
          <w:numId w:val="1008"/>
        </w:numPr>
      </w:pPr>
      <w:r>
        <w:t xml:space="preserve">Define Riemannian metrics and compute distances and geodesics</w:t>
      </w:r>
    </w:p>
    <w:p>
      <w:pPr>
        <w:numPr>
          <w:ilvl w:val="0"/>
          <w:numId w:val="1008"/>
        </w:numPr>
      </w:pPr>
      <w:r>
        <w:t xml:space="preserve">Explain parallel transport and the Levi-Civita connection</w:t>
      </w:r>
    </w:p>
    <w:p>
      <w:pPr>
        <w:numPr>
          <w:ilvl w:val="0"/>
          <w:numId w:val="1008"/>
        </w:numPr>
      </w:pPr>
      <w:r>
        <w:t xml:space="preserve">Compute curvature tensors and interpret them geometrically</w:t>
      </w:r>
    </w:p>
    <w:p>
      <w:pPr>
        <w:numPr>
          <w:ilvl w:val="0"/>
          <w:numId w:val="1008"/>
        </w:numPr>
      </w:pPr>
      <w:r>
        <w:t xml:space="preserve">Apply these tools to moral distance and moral geodesics</w:t>
      </w:r>
    </w:p>
    <w:bookmarkStart w:id="43" w:name="riemannian-metrics"/>
    <w:p>
      <w:pPr>
        <w:pStyle w:val="Heading3"/>
      </w:pPr>
      <w:r>
        <w:t xml:space="preserve">Riemannian Metrics</w:t>
      </w:r>
    </w:p>
    <w:bookmarkEnd w:id="43"/>
    <w:bookmarkStart w:id="44" w:name="geodesics-and-the-exponential-map"/>
    <w:p>
      <w:pPr>
        <w:pStyle w:val="Heading3"/>
      </w:pPr>
      <w:r>
        <w:t xml:space="preserve">Geodesics and the Exponential Map</w:t>
      </w:r>
    </w:p>
    <w:bookmarkEnd w:id="44"/>
    <w:bookmarkStart w:id="45" w:name="connections-and-parallel-transport"/>
    <w:p>
      <w:pPr>
        <w:pStyle w:val="Heading3"/>
      </w:pPr>
      <w:r>
        <w:t xml:space="preserve">Connections and Parallel Transport</w:t>
      </w:r>
    </w:p>
    <w:bookmarkEnd w:id="45"/>
    <w:bookmarkStart w:id="46" w:name="curvature"/>
    <w:p>
      <w:pPr>
        <w:pStyle w:val="Heading3"/>
      </w:pPr>
      <w:r>
        <w:t xml:space="preserve">Curvature</w:t>
      </w:r>
    </w:p>
    <w:bookmarkEnd w:id="46"/>
    <w:bookmarkStart w:id="47" w:name="the-moral-metric"/>
    <w:p>
      <w:pPr>
        <w:pStyle w:val="Heading3"/>
      </w:pPr>
      <w:r>
        <w:t xml:space="preserve">The Moral Metric</w:t>
      </w:r>
    </w:p>
    <w:p>
      <w:pPr>
        <w:pStyle w:val="FirstParagraph"/>
      </w:pPr>
      <w:r>
        <w:t xml:space="preserve">The metric tensor</w:t>
      </w:r>
      <w:r>
        <w:t xml:space="preserve"> </w:t>
      </w:r>
      <m:oMath>
        <m:sSub>
          <m:e>
            <m:r>
              <m:t>g</m:t>
            </m:r>
          </m:e>
          <m:sub>
            <m:r>
              <m:t>i</m:t>
            </m:r>
            <m:r>
              <m:t>j</m:t>
            </m:r>
          </m:sub>
        </m:sSub>
      </m:oMath>
      <w:r>
        <w:t xml:space="preserve"> </w:t>
      </w:r>
      <w:r>
        <w:t xml:space="preserve">on the moral manifold is not arbitrary—it encodes the relative importance and tradeoff rates between moral dimensions in a given context. Changing the context changes the metric, not the manifold. This is why the same moral space can support different but internally consistent ethical frameworks.</w:t>
      </w:r>
    </w:p>
    <w:bookmarkEnd w:id="47"/>
    <w:bookmarkEnd w:id="48"/>
    <w:bookmarkStart w:id="54" w:name="ch:stratification"/>
    <w:p>
      <w:pPr>
        <w:pStyle w:val="Heading2"/>
      </w:pPr>
      <w:r>
        <w:t xml:space="preserve">Whitney Stratified Spaces</w:t>
      </w:r>
    </w:p>
    <w:p>
      <w:pPr>
        <w:pStyle w:val="FirstParagraph"/>
      </w:pPr>
      <w:r>
        <w:rPr>
          <w:b/>
          <w:bCs/>
        </w:rPr>
        <w:t xml:space="preserve">Learning Objectives.</w:t>
      </w:r>
      <w:r>
        <w:t xml:space="preserve"> </w:t>
      </w:r>
      <w:r>
        <w:t xml:space="preserve">After completing this chapter, you will be able to:</w:t>
      </w:r>
    </w:p>
    <w:p>
      <w:pPr>
        <w:numPr>
          <w:ilvl w:val="0"/>
          <w:numId w:val="1009"/>
        </w:numPr>
      </w:pPr>
      <w:r>
        <w:t xml:space="preserve">Define stratified spaces and Whitney’s conditions (a) and (b)</w:t>
      </w:r>
    </w:p>
    <w:p>
      <w:pPr>
        <w:numPr>
          <w:ilvl w:val="0"/>
          <w:numId w:val="1009"/>
        </w:numPr>
      </w:pPr>
      <w:r>
        <w:t xml:space="preserve">Explain why smooth manifolds alone are insufficient for moral boundaries</w:t>
      </w:r>
    </w:p>
    <w:p>
      <w:pPr>
        <w:numPr>
          <w:ilvl w:val="0"/>
          <w:numId w:val="1009"/>
        </w:numPr>
      </w:pPr>
      <w:r>
        <w:t xml:space="preserve">Construct stratified models of consent thresholds and rights violations</w:t>
      </w:r>
    </w:p>
    <w:p>
      <w:pPr>
        <w:numPr>
          <w:ilvl w:val="0"/>
          <w:numId w:val="1009"/>
        </w:numPr>
      </w:pPr>
      <w:r>
        <w:t xml:space="preserve">State and apply the frontier condition</w:t>
      </w:r>
    </w:p>
    <w:bookmarkStart w:id="49" w:name="why-smooth-is-not-enough"/>
    <w:p>
      <w:pPr>
        <w:pStyle w:val="Heading3"/>
      </w:pPr>
      <w:r>
        <w:t xml:space="preserve">Why Smooth Is Not Enough</w:t>
      </w:r>
    </w:p>
    <w:bookmarkEnd w:id="49"/>
    <w:bookmarkStart w:id="50" w:name="stratified-spaces"/>
    <w:p>
      <w:pPr>
        <w:pStyle w:val="Heading3"/>
      </w:pPr>
      <w:r>
        <w:t xml:space="preserve">Stratified Spaces</w:t>
      </w:r>
    </w:p>
    <w:bookmarkEnd w:id="50"/>
    <w:bookmarkStart w:id="51" w:name="whitneys-conditions"/>
    <w:p>
      <w:pPr>
        <w:pStyle w:val="Heading3"/>
      </w:pPr>
      <w:r>
        <w:t xml:space="preserve">Whitney’s Conditions</w:t>
      </w:r>
    </w:p>
    <w:bookmarkEnd w:id="51"/>
    <w:bookmarkStart w:id="52" w:name="moral-stratification"/>
    <w:p>
      <w:pPr>
        <w:pStyle w:val="Heading3"/>
      </w:pPr>
      <w:r>
        <w:t xml:space="preserve">Moral Stratification</w:t>
      </w:r>
    </w:p>
    <w:bookmarkEnd w:id="52"/>
    <w:bookmarkStart w:id="53" w:name="intersection-homology-and-moral-topology"/>
    <w:p>
      <w:pPr>
        <w:pStyle w:val="Heading3"/>
      </w:pPr>
      <w:r>
        <w:t xml:space="preserve">Intersection Homology and Moral Topology</w:t>
      </w:r>
    </w:p>
    <w:bookmarkEnd w:id="53"/>
    <w:bookmarkEnd w:id="54"/>
    <w:bookmarkStart w:id="61" w:name="ch:gauge"/>
    <w:p>
      <w:pPr>
        <w:pStyle w:val="Heading2"/>
      </w:pPr>
      <w:r>
        <w:t xml:space="preserve">Fiber Bundles, Gauge Theory, and Symmetry</w:t>
      </w:r>
    </w:p>
    <w:p>
      <w:pPr>
        <w:pStyle w:val="FirstParagraph"/>
      </w:pPr>
      <w:r>
        <w:rPr>
          <w:b/>
          <w:bCs/>
        </w:rPr>
        <w:t xml:space="preserve">Learning Objectives.</w:t>
      </w:r>
      <w:r>
        <w:t xml:space="preserve"> </w:t>
      </w:r>
      <w:r>
        <w:t xml:space="preserve">After completing this chapter, you will be able to:</w:t>
      </w:r>
    </w:p>
    <w:p>
      <w:pPr>
        <w:numPr>
          <w:ilvl w:val="0"/>
          <w:numId w:val="1010"/>
        </w:numPr>
      </w:pPr>
      <w:r>
        <w:t xml:space="preserve">Define fiber bundles, principal bundles, and associated bundles</w:t>
      </w:r>
    </w:p>
    <w:p>
      <w:pPr>
        <w:numPr>
          <w:ilvl w:val="0"/>
          <w:numId w:val="1010"/>
        </w:numPr>
      </w:pPr>
      <w:r>
        <w:t xml:space="preserve">Explain gauge transformations as changes of local frame</w:t>
      </w:r>
    </w:p>
    <w:p>
      <w:pPr>
        <w:numPr>
          <w:ilvl w:val="0"/>
          <w:numId w:val="1010"/>
        </w:numPr>
      </w:pPr>
      <w:r>
        <w:t xml:space="preserve">Derive conservation laws from symmetries via Noether’s theorem</w:t>
      </w:r>
    </w:p>
    <w:p>
      <w:pPr>
        <w:numPr>
          <w:ilvl w:val="0"/>
          <w:numId w:val="1010"/>
        </w:numPr>
      </w:pPr>
      <w:r>
        <w:t xml:space="preserve">State the</w:t>
      </w:r>
      <w:r>
        <w:t xml:space="preserve"> </w:t>
      </w:r>
      <m:oMath>
        <m:sSub>
          <m:e>
            <m:r>
              <m:t>D</m:t>
            </m:r>
          </m:e>
          <m:sub>
            <m:r>
              <m:t>4</m:t>
            </m:r>
          </m:sub>
        </m:sSub>
      </m:oMath>
      <w:r>
        <w:t xml:space="preserve"> </w:t>
      </w:r>
      <w:r>
        <w:t xml:space="preserve">Gauge Group Theorem and interpret it</w:t>
      </w:r>
    </w:p>
    <w:bookmarkStart w:id="55" w:name="fiber-bundles"/>
    <w:p>
      <w:pPr>
        <w:pStyle w:val="Heading3"/>
      </w:pPr>
      <w:r>
        <w:t xml:space="preserve">Fiber Bundles</w:t>
      </w:r>
    </w:p>
    <w:bookmarkEnd w:id="55"/>
    <w:bookmarkStart w:id="56" w:name="principal-bundles-and-connections"/>
    <w:p>
      <w:pPr>
        <w:pStyle w:val="Heading3"/>
      </w:pPr>
      <w:r>
        <w:t xml:space="preserve">Principal Bundles and Connections</w:t>
      </w:r>
    </w:p>
    <w:bookmarkEnd w:id="56"/>
    <w:bookmarkStart w:id="57" w:name="the-bondlens-structure"/>
    <w:p>
      <w:pPr>
        <w:pStyle w:val="Heading3"/>
      </w:pPr>
      <w:r>
        <w:t xml:space="preserve">The Bond–Lens Structure</w:t>
      </w:r>
    </w:p>
    <w:bookmarkEnd w:id="57"/>
    <w:bookmarkStart w:id="58" w:name="group-theory-and-the-d_4-gauge-group"/>
    <w:p>
      <w:pPr>
        <w:pStyle w:val="Heading3"/>
      </w:pPr>
      <w:r>
        <w:t xml:space="preserve">Group Theory and the</w:t>
      </w:r>
      <w:r>
        <w:t xml:space="preserve"> </w:t>
      </w:r>
      <m:oMath>
        <m:sSub>
          <m:e>
            <m:r>
              <m:t>D</m:t>
            </m:r>
          </m:e>
          <m:sub>
            <m:r>
              <m:t>4</m:t>
            </m:r>
          </m:sub>
        </m:sSub>
      </m:oMath>
      <w:r>
        <w:t xml:space="preserve"> </w:t>
      </w:r>
      <w:r>
        <w:t xml:space="preserve">Gauge Group</w:t>
      </w:r>
    </w:p>
    <w:bookmarkEnd w:id="58"/>
    <w:bookmarkStart w:id="59" w:name="noethers-theorem-for-ethics"/>
    <w:p>
      <w:pPr>
        <w:pStyle w:val="Heading3"/>
      </w:pPr>
      <w:r>
        <w:t xml:space="preserve">Noether’s Theorem for Ethics</w:t>
      </w:r>
    </w:p>
    <w:bookmarkEnd w:id="59"/>
    <w:bookmarkStart w:id="60" w:name="Xc7b4e05a1a522fc6b9d6b03865f8768e2a03ddf"/>
    <w:p>
      <w:pPr>
        <w:pStyle w:val="Heading3"/>
      </w:pPr>
      <w:r>
        <w:t xml:space="preserve">Gauge-Theoretic Interpretation of Moral Disagreement</w:t>
      </w:r>
    </w:p>
    <w:p>
      <w:pPr>
        <w:pStyle w:val="FirstParagraph"/>
      </w:pPr>
      <w:r>
        <w:t xml:space="preserve">The analogy between moral gauge theory and physical gauge theory is structural, not metaphysical. We are not claiming that moral phenomena obey the equations of electrodynamics or Yang–Mills theory. The claim is that the</w:t>
      </w:r>
      <w:r>
        <w:t xml:space="preserve"> </w:t>
      </w:r>
      <w:r>
        <w:rPr>
          <w:i/>
          <w:iCs/>
        </w:rPr>
        <w:t xml:space="preserve">mathematical structure</w:t>
      </w:r>
      <w:r>
        <w:t xml:space="preserve">—bundles, connections, curvature, conservation—applies to both domains because both involve invariance under local re-descriptions.</w:t>
      </w:r>
    </w:p>
    <w:bookmarkEnd w:id="60"/>
    <w:bookmarkEnd w:id="61"/>
    <w:bookmarkEnd w:id="62"/>
    <w:bookmarkStart w:id="83" w:name="part:principles"/>
    <w:p>
      <w:pPr>
        <w:pStyle w:val="Heading1"/>
      </w:pPr>
      <w:r>
        <w:t xml:space="preserve">The Two Principles</w:t>
      </w:r>
    </w:p>
    <w:bookmarkStart w:id="69" w:name="ch:eip"/>
    <w:p>
      <w:pPr>
        <w:pStyle w:val="Heading2"/>
      </w:pPr>
      <w:r>
        <w:t xml:space="preserve">The Epistemic Invariance Principle</w:t>
      </w:r>
    </w:p>
    <w:p>
      <w:pPr>
        <w:pStyle w:val="FirstParagraph"/>
      </w:pPr>
      <w:r>
        <w:rPr>
          <w:b/>
          <w:bCs/>
        </w:rPr>
        <w:t xml:space="preserve">Learning Objectives.</w:t>
      </w:r>
      <w:r>
        <w:t xml:space="preserve"> </w:t>
      </w:r>
      <w:r>
        <w:t xml:space="preserve">After completing this chapter, you will be able to:</w:t>
      </w:r>
    </w:p>
    <w:p>
      <w:pPr>
        <w:numPr>
          <w:ilvl w:val="0"/>
          <w:numId w:val="1011"/>
        </w:numPr>
      </w:pPr>
      <w:r>
        <w:t xml:space="preserve">State the EIP formally and explain each component</w:t>
      </w:r>
    </w:p>
    <w:p>
      <w:pPr>
        <w:numPr>
          <w:ilvl w:val="0"/>
          <w:numId w:val="1011"/>
        </w:numPr>
      </w:pPr>
      <w:r>
        <w:t xml:space="preserve">Prove the non-degeneracy condition</w:t>
      </w:r>
    </w:p>
    <w:p>
      <w:pPr>
        <w:numPr>
          <w:ilvl w:val="0"/>
          <w:numId w:val="1011"/>
        </w:numPr>
      </w:pPr>
      <w:r>
        <w:t xml:space="preserve">Prove the uncertainty stability condition</w:t>
      </w:r>
    </w:p>
    <w:p>
      <w:pPr>
        <w:numPr>
          <w:ilvl w:val="0"/>
          <w:numId w:val="1011"/>
        </w:numPr>
      </w:pPr>
      <w:r>
        <w:t xml:space="preserve">Apply EIP to concrete AI system specifications</w:t>
      </w:r>
    </w:p>
    <w:bookmarkStart w:id="63" w:name="informal-statement"/>
    <w:p>
      <w:pPr>
        <w:pStyle w:val="Heading3"/>
      </w:pPr>
      <w:r>
        <w:t xml:space="preserve">Informal Statement</w:t>
      </w:r>
    </w:p>
    <w:bookmarkEnd w:id="63"/>
    <w:bookmarkStart w:id="64" w:name="formal-model"/>
    <w:p>
      <w:pPr>
        <w:pStyle w:val="Heading3"/>
      </w:pPr>
      <w:r>
        <w:t xml:space="preserve">Formal Model</w:t>
      </w:r>
    </w:p>
    <w:bookmarkEnd w:id="64"/>
    <w:bookmarkStart w:id="65" w:name="the-principle"/>
    <w:p>
      <w:pPr>
        <w:pStyle w:val="Heading3"/>
      </w:pPr>
      <w:r>
        <w:t xml:space="preserve">The Principle</w:t>
      </w:r>
    </w:p>
    <w:p>
      <w:pPr>
        <w:pStyle w:val="FirstParagraph"/>
      </w:pPr>
      <w:r>
        <w:rPr>
          <w:b/>
          <w:bCs/>
        </w:rPr>
        <w:t xml:space="preserve">Principle 1.1</w:t>
      </w:r>
      <w:r>
        <w:t xml:space="preserve"> </w:t>
      </w:r>
      <w:r>
        <w:t xml:space="preserve">(Epistemic Invariance Principle).</w:t>
      </w:r>
      <w:r>
        <w:t xml:space="preserve"> </w:t>
      </w:r>
      <w:r>
        <w:t xml:space="preserve"> </w:t>
      </w:r>
      <w:r>
        <w:t xml:space="preserve">A judgment function</w:t>
      </w:r>
      <w:r>
        <w:t xml:space="preserve"> </w:t>
      </w:r>
      <m:oMath>
        <m:r>
          <m:t>f</m:t>
        </m:r>
        <m:r>
          <m:rPr>
            <m:sty m:val="p"/>
          </m:rPr>
          <m:t>:</m:t>
        </m:r>
        <m:r>
          <m:t>X</m:t>
        </m:r>
        <m:r>
          <m:rPr>
            <m:sty m:val="p"/>
          </m:rPr>
          <m:t>→</m:t>
        </m:r>
        <m:r>
          <m:t>Y</m:t>
        </m:r>
      </m:oMath>
      <w:r>
        <w:t xml:space="preserve"> </w:t>
      </w:r>
      <w:r>
        <w:t xml:space="preserve">is epistemically invariant with respect to</w:t>
      </w:r>
      <w:r>
        <w:t xml:space="preserve"> </w:t>
      </w:r>
      <m:oMath>
        <m:r>
          <m:rPr>
            <m:scr m:val="script"/>
            <m:sty m:val="p"/>
          </m:rPr>
          <m:t>T</m:t>
        </m:r>
      </m:oMath>
      <w:r>
        <w:t xml:space="preserve"> </w:t>
      </w:r>
      <w:r>
        <w:t xml:space="preserve">if and only if:</w:t>
      </w:r>
    </w:p>
    <w:p>
      <w:pPr>
        <w:pStyle w:val="BodyText"/>
      </w:pPr>
      <m:oMathPara>
        <m:oMathParaPr>
          <m:jc m:val="center"/>
        </m:oMathParaPr>
        <m:oMath>
          <m:r>
            <m:rPr>
              <m:sty m:val="p"/>
            </m:rPr>
            <m:t>∀</m:t>
          </m:r>
          <m:r>
            <m:t>x</m:t>
          </m:r>
          <m:r>
            <m:rPr>
              <m:sty m:val="p"/>
            </m:rPr>
            <m:t>∈</m:t>
          </m:r>
          <m:r>
            <m:t>X</m:t>
          </m:r>
          <m:r>
            <m:rPr>
              <m:sty m:val="p"/>
            </m:rPr>
            <m:t>,</m:t>
          </m:r>
          <m:r>
            <m:t> </m:t>
          </m:r>
          <m:r>
            <m:rPr>
              <m:sty m:val="p"/>
            </m:rPr>
            <m:t>∀</m:t>
          </m:r>
          <m:r>
            <m:t>τ</m:t>
          </m:r>
          <m:r>
            <m:rPr>
              <m:sty m:val="p"/>
            </m:rPr>
            <m:t>∈</m:t>
          </m:r>
          <m:r>
            <m:rPr>
              <m:scr m:val="script"/>
              <m:sty m:val="p"/>
            </m:rPr>
            <m:t>T</m:t>
          </m:r>
          <m:r>
            <m:rPr>
              <m:sty m:val="p"/>
            </m:rPr>
            <m:t>:</m:t>
          </m:r>
          <m:r>
            <m:t> </m:t>
          </m:r>
          <m:r>
            <m:t>f</m:t>
          </m:r>
          <m:r>
            <m:rPr>
              <m:sty m:val="p"/>
            </m:rPr>
            <m:t>(</m:t>
          </m:r>
          <m:r>
            <m:t>τ</m:t>
          </m:r>
          <m:r>
            <m:rPr>
              <m:sty m:val="p"/>
            </m:rPr>
            <m:t>(</m:t>
          </m:r>
          <m:r>
            <m:t>x</m:t>
          </m:r>
          <m:r>
            <m:rPr>
              <m:sty m:val="p"/>
            </m:rPr>
            <m:t>)</m:t>
          </m:r>
          <m:r>
            <m:rPr>
              <m:sty m:val="p"/>
            </m:rPr>
            <m:t>)</m:t>
          </m:r>
          <m:r>
            <m:rPr>
              <m:sty m:val="p"/>
            </m:rPr>
            <m:t>=</m:t>
          </m:r>
          <m:r>
            <m:t>f</m:t>
          </m:r>
          <m:r>
            <m:rPr>
              <m:sty m:val="p"/>
            </m:rPr>
            <m:t>(</m:t>
          </m:r>
          <m:r>
            <m:t>x</m:t>
          </m:r>
          <m:r>
            <m:rPr>
              <m:sty m:val="p"/>
            </m:rPr>
            <m:t>)</m:t>
          </m:r>
        </m:oMath>
      </m:oMathPara>
    </w:p>
    <w:p>
      <w:pPr>
        <w:pStyle w:val="FirstParagraph"/>
      </w:pPr>
      <w:r>
        <w:t xml:space="preserve">subject to the non-degeneracy and uncertainty stability conditions.</w:t>
      </w:r>
    </w:p>
    <w:bookmarkEnd w:id="65"/>
    <w:bookmarkStart w:id="66" w:name="non-degeneracy"/>
    <w:p>
      <w:pPr>
        <w:pStyle w:val="Heading3"/>
      </w:pPr>
      <w:r>
        <w:t xml:space="preserve">Non-Degeneracy</w:t>
      </w:r>
    </w:p>
    <w:bookmarkEnd w:id="66"/>
    <w:bookmarkStart w:id="67" w:name="uncertainty-stability"/>
    <w:p>
      <w:pPr>
        <w:pStyle w:val="Heading3"/>
      </w:pPr>
      <w:r>
        <w:t xml:space="preserve">Uncertainty Stability</w:t>
      </w:r>
    </w:p>
    <w:bookmarkEnd w:id="67"/>
    <w:bookmarkStart w:id="68" w:name="the-eip-as-a-falsifiable-contract"/>
    <w:p>
      <w:pPr>
        <w:pStyle w:val="Heading3"/>
      </w:pPr>
      <w:r>
        <w:t xml:space="preserve">The EIP as a Falsifiable Contract</w:t>
      </w:r>
    </w:p>
    <w:p>
      <w:pPr>
        <w:pStyle w:val="FirstParagraph"/>
      </w:pPr>
      <w:r>
        <w:rPr>
          <w:b/>
          <w:bCs/>
        </w:rPr>
        <w:t xml:space="preserve">Exercise . (A).</w:t>
      </w:r>
    </w:p>
    <w:p>
      <w:pPr>
        <w:pStyle w:val="BodyText"/>
      </w:pPr>
      <w:r>
        <w:t xml:space="preserve">A sentiment analysis system assigns scores to product reviews. Define a transformation set</w:t>
      </w:r>
      <w:r>
        <w:t xml:space="preserve"> </w:t>
      </w:r>
      <m:oMath>
        <m:r>
          <m:rPr>
            <m:scr m:val="script"/>
            <m:sty m:val="p"/>
          </m:rPr>
          <m:t>T</m:t>
        </m:r>
      </m:oMath>
      <w:r>
        <w:t xml:space="preserve"> </w:t>
      </w:r>
      <w:r>
        <w:t xml:space="preserve">appropriate for testing EIP on this system. Include at least five transformations.</w:t>
      </w:r>
    </w:p>
    <w:p>
      <w:pPr>
        <w:pStyle w:val="BodyText"/>
      </w:pPr>
      <w:r>
        <w:rPr>
          <w:b/>
          <w:bCs/>
        </w:rPr>
        <w:t xml:space="preserve">Exercise . (B).</w:t>
      </w:r>
    </w:p>
    <w:p>
      <w:pPr>
        <w:pStyle w:val="BodyText"/>
      </w:pPr>
      <w:r>
        <w:t xml:space="preserve">Prove that if</w:t>
      </w:r>
      <w:r>
        <w:t xml:space="preserve"> </w:t>
      </w:r>
      <m:oMath>
        <m:r>
          <m:t>f</m:t>
        </m:r>
      </m:oMath>
      <w:r>
        <w:t xml:space="preserve"> </w:t>
      </w:r>
      <w:r>
        <w:t xml:space="preserve">satisfies EIP with respect to</w:t>
      </w:r>
      <w:r>
        <w:t xml:space="preserve"> </w:t>
      </w:r>
      <m:oMath>
        <m:r>
          <m:rPr>
            <m:scr m:val="script"/>
            <m:sty m:val="p"/>
          </m:rPr>
          <m:t>T</m:t>
        </m:r>
      </m:oMath>
      <w:r>
        <w:t xml:space="preserve"> </w:t>
      </w:r>
      <w:r>
        <w:t xml:space="preserve">and</w:t>
      </w:r>
      <w:r>
        <w:t xml:space="preserve"> </w:t>
      </w:r>
      <m:oMath>
        <m:r>
          <m:t>g</m:t>
        </m:r>
      </m:oMath>
      <w:r>
        <w:t xml:space="preserve"> </w:t>
      </w:r>
      <w:r>
        <w:t xml:space="preserve">satisfies EIP with respect to</w:t>
      </w:r>
      <w:r>
        <w:t xml:space="preserve"> </w:t>
      </w:r>
      <m:oMath>
        <m:r>
          <m:rPr>
            <m:scr m:val="script"/>
            <m:sty m:val="p"/>
          </m:rPr>
          <m:t>T</m:t>
        </m:r>
      </m:oMath>
      <w:r>
        <w:t xml:space="preserve">, then</w:t>
      </w:r>
      <w:r>
        <w:t xml:space="preserve"> </w:t>
      </w:r>
      <m:oMath>
        <m:r>
          <m:t>h</m:t>
        </m:r>
        <m:r>
          <m:rPr>
            <m:sty m:val="p"/>
          </m:rPr>
          <m:t>(</m:t>
        </m:r>
        <m:r>
          <m:t>x</m:t>
        </m:r>
        <m:r>
          <m:rPr>
            <m:sty m:val="p"/>
          </m:rPr>
          <m:t>)</m:t>
        </m:r>
        <m:r>
          <m:rPr>
            <m:sty m:val="p"/>
          </m:rPr>
          <m:t>=</m:t>
        </m:r>
        <m:r>
          <m:rPr>
            <m:sty m:val="p"/>
          </m:rPr>
          <m:t>(</m:t>
        </m:r>
        <m:r>
          <m:t>f</m:t>
        </m:r>
        <m:r>
          <m:rPr>
            <m:sty m:val="p"/>
          </m:rPr>
          <m:t>(</m:t>
        </m:r>
        <m:r>
          <m:t>x</m:t>
        </m:r>
        <m:r>
          <m:rPr>
            <m:sty m:val="p"/>
          </m:rPr>
          <m:t>)</m:t>
        </m:r>
        <m:r>
          <m:rPr>
            <m:sty m:val="p"/>
          </m:rPr>
          <m:t>,</m:t>
        </m:r>
        <m:r>
          <m:t>g</m:t>
        </m:r>
        <m:r>
          <m:rPr>
            <m:sty m:val="p"/>
          </m:rPr>
          <m:t>(</m:t>
        </m:r>
        <m:r>
          <m:t>x</m:t>
        </m:r>
        <m:r>
          <m:rPr>
            <m:sty m:val="p"/>
          </m:rPr>
          <m:t>)</m:t>
        </m:r>
        <m:r>
          <m:rPr>
            <m:sty m:val="p"/>
          </m:rPr>
          <m:t>)</m:t>
        </m:r>
      </m:oMath>
      <w:r>
        <w:t xml:space="preserve"> </w:t>
      </w:r>
      <w:r>
        <w:t xml:space="preserve">also satisfies EIP with respect to</w:t>
      </w:r>
      <w:r>
        <w:t xml:space="preserve"> </w:t>
      </w:r>
      <m:oMath>
        <m:r>
          <m:rPr>
            <m:scr m:val="script"/>
            <m:sty m:val="p"/>
          </m:rPr>
          <m:t>T</m:t>
        </m:r>
      </m:oMath>
      <w:r>
        <w:t xml:space="preserve">.</w:t>
      </w:r>
    </w:p>
    <w:p>
      <w:pPr>
        <w:pStyle w:val="BodyText"/>
      </w:pPr>
      <w:r>
        <w:rPr>
          <w:b/>
          <w:bCs/>
        </w:rPr>
        <w:t xml:space="preserve">Exercise . (C).</w:t>
      </w:r>
    </w:p>
    <w:p>
      <w:pPr>
        <w:pStyle w:val="BodyText"/>
      </w:pPr>
      <w:r>
        <w:t xml:space="preserve">Construct a function that satisfies EIP with respect to a set</w:t>
      </w:r>
      <w:r>
        <w:t xml:space="preserve"> </w:t>
      </w:r>
      <m:oMath>
        <m:r>
          <m:rPr>
            <m:scr m:val="script"/>
            <m:sty m:val="p"/>
          </m:rPr>
          <m:t>T</m:t>
        </m:r>
      </m:oMath>
      <w:r>
        <w:t xml:space="preserve"> </w:t>
      </w:r>
      <w:r>
        <w:t xml:space="preserve">but violates non-degeneracy. Then modify it minimally to satisfy both. Prove your construction is correct.</w:t>
      </w:r>
    </w:p>
    <w:bookmarkEnd w:id="68"/>
    <w:bookmarkEnd w:id="69"/>
    <w:bookmarkStart w:id="75" w:name="ch:bip"/>
    <w:p>
      <w:pPr>
        <w:pStyle w:val="Heading2"/>
      </w:pPr>
      <w:r>
        <w:t xml:space="preserve">The Bond Invariance Principle</w:t>
      </w:r>
    </w:p>
    <w:p>
      <w:pPr>
        <w:pStyle w:val="FirstParagraph"/>
      </w:pPr>
      <w:r>
        <w:rPr>
          <w:b/>
          <w:bCs/>
        </w:rPr>
        <w:t xml:space="preserve">Learning Objectives.</w:t>
      </w:r>
      <w:r>
        <w:t xml:space="preserve"> </w:t>
      </w:r>
      <w:r>
        <w:t xml:space="preserve">After completing this chapter, you will be able to:</w:t>
      </w:r>
    </w:p>
    <w:p>
      <w:pPr>
        <w:numPr>
          <w:ilvl w:val="0"/>
          <w:numId w:val="1012"/>
        </w:numPr>
      </w:pPr>
      <w:r>
        <w:t xml:space="preserve">Define bonds and lenses formally</w:t>
      </w:r>
    </w:p>
    <w:p>
      <w:pPr>
        <w:numPr>
          <w:ilvl w:val="0"/>
          <w:numId w:val="1012"/>
        </w:numPr>
      </w:pPr>
      <w:r>
        <w:t xml:space="preserve">State the BIP and explain its relationship to EIP</w:t>
      </w:r>
    </w:p>
    <w:p>
      <w:pPr>
        <w:numPr>
          <w:ilvl w:val="0"/>
          <w:numId w:val="1012"/>
        </w:numPr>
      </w:pPr>
      <w:r>
        <w:t xml:space="preserve">Prove the Accountability Theorem</w:t>
      </w:r>
    </w:p>
    <w:p>
      <w:pPr>
        <w:numPr>
          <w:ilvl w:val="0"/>
          <w:numId w:val="1012"/>
        </w:numPr>
      </w:pPr>
      <w:r>
        <w:t xml:space="preserve">Apply BIP to separate objective structure from subjective evaluation</w:t>
      </w:r>
    </w:p>
    <w:bookmarkStart w:id="70" w:name="bonds-and-lenses"/>
    <w:p>
      <w:pPr>
        <w:pStyle w:val="Heading3"/>
      </w:pPr>
      <w:r>
        <w:t xml:space="preserve">Bonds and Lenses</w:t>
      </w:r>
    </w:p>
    <w:bookmarkEnd w:id="70"/>
    <w:bookmarkStart w:id="71" w:name="formal-statement"/>
    <w:p>
      <w:pPr>
        <w:pStyle w:val="Heading3"/>
      </w:pPr>
      <w:r>
        <w:t xml:space="preserve">Formal Statement</w:t>
      </w:r>
    </w:p>
    <w:p>
      <w:pPr>
        <w:pStyle w:val="FirstParagraph"/>
      </w:pPr>
      <w:r>
        <w:rPr>
          <w:b/>
          <w:bCs/>
        </w:rPr>
        <w:t xml:space="preserve">Principle 2.1</w:t>
      </w:r>
      <w:r>
        <w:t xml:space="preserve"> </w:t>
      </w:r>
      <w:r>
        <w:t xml:space="preserve">(Bond Invariance Principle).</w:t>
      </w:r>
      <w:r>
        <w:t xml:space="preserve"> </w:t>
      </w:r>
      <w:r>
        <w:t xml:space="preserve"> </w:t>
      </w:r>
      <w:r>
        <w:t xml:space="preserve">For any bond structure</w:t>
      </w:r>
      <w:r>
        <w:t xml:space="preserve"> </w:t>
      </w:r>
      <m:oMath>
        <m:r>
          <m:rPr>
            <m:scr m:val="script"/>
            <m:sty m:val="p"/>
          </m:rPr>
          <m:t>B</m:t>
        </m:r>
      </m:oMath>
      <w:r>
        <w:t xml:space="preserve"> </w:t>
      </w:r>
      <w:r>
        <w:t xml:space="preserve">extracted from a moral situation, and any pair of legitimate evaluative lenses</w:t>
      </w:r>
      <w:r>
        <w:t xml:space="preserve"> </w:t>
      </w:r>
      <m:oMath>
        <m:sSub>
          <m:e>
            <m:r>
              <m:t>ϕ</m:t>
            </m:r>
          </m:e>
          <m:sub>
            <m:r>
              <m:t>1</m:t>
            </m:r>
          </m:sub>
        </m:sSub>
        <m:r>
          <m:rPr>
            <m:sty m:val="p"/>
          </m:rPr>
          <m:t>,</m:t>
        </m:r>
        <m:sSub>
          <m:e>
            <m:r>
              <m:t>ϕ</m:t>
            </m:r>
          </m:e>
          <m:sub>
            <m:r>
              <m:t>2</m:t>
            </m:r>
          </m:sub>
        </m:sSub>
      </m:oMath>
      <w:r>
        <w:t xml:space="preserve">:</w:t>
      </w:r>
    </w:p>
    <w:p>
      <w:pPr>
        <w:pStyle w:val="BodyText"/>
      </w:pPr>
      <m:oMathPara>
        <m:oMathParaPr>
          <m:jc m:val="center"/>
        </m:oMathParaPr>
        <m:oMath>
          <m:r>
            <m:rPr>
              <m:scr m:val="script"/>
              <m:sty m:val="p"/>
            </m:rPr>
            <m:t>B</m:t>
          </m:r>
          <m:r>
            <m:rPr>
              <m:sty m:val="p"/>
            </m:rPr>
            <m:t>(</m:t>
          </m:r>
          <m:r>
            <m:rPr>
              <m:nor/>
              <m:sty m:val="p"/>
            </m:rPr>
            <m:t>situation under </m:t>
          </m:r>
          <m:sSub>
            <m:e>
              <m:r>
                <m:t>ϕ</m:t>
              </m:r>
            </m:e>
            <m:sub>
              <m:r>
                <m:t>1</m:t>
              </m:r>
            </m:sub>
          </m:sSub>
          <m:r>
            <m:rPr>
              <m:sty m:val="p"/>
            </m:rPr>
            <m:t>)</m:t>
          </m:r>
          <m:r>
            <m:rPr>
              <m:sty m:val="p"/>
            </m:rPr>
            <m:t>=</m:t>
          </m:r>
          <m:r>
            <m:rPr>
              <m:scr m:val="script"/>
              <m:sty m:val="p"/>
            </m:rPr>
            <m:t>B</m:t>
          </m:r>
          <m:r>
            <m:rPr>
              <m:sty m:val="p"/>
            </m:rPr>
            <m:t>(</m:t>
          </m:r>
          <m:r>
            <m:rPr>
              <m:nor/>
              <m:sty m:val="p"/>
            </m:rPr>
            <m:t>situation under </m:t>
          </m:r>
          <m:sSub>
            <m:e>
              <m:r>
                <m:t>ϕ</m:t>
              </m:r>
            </m:e>
            <m:sub>
              <m:r>
                <m:t>2</m:t>
              </m:r>
            </m:sub>
          </m:sSub>
          <m:r>
            <m:rPr>
              <m:sty m:val="p"/>
            </m:rPr>
            <m:t>)</m:t>
          </m:r>
        </m:oMath>
      </m:oMathPara>
    </w:p>
    <w:p>
      <w:pPr>
        <w:pStyle w:val="FirstParagraph"/>
      </w:pPr>
      <w:r>
        <w:t xml:space="preserve">The objective relational facts do not change when the evaluative framework changes.</w:t>
      </w:r>
    </w:p>
    <w:bookmarkEnd w:id="71"/>
    <w:bookmarkStart w:id="72" w:name="the-accountability-theorem"/>
    <w:p>
      <w:pPr>
        <w:pStyle w:val="Heading3"/>
      </w:pPr>
      <w:r>
        <w:t xml:space="preserve">The Accountability Theorem</w:t>
      </w:r>
    </w:p>
    <w:bookmarkEnd w:id="72"/>
    <w:bookmarkStart w:id="73" w:name="bip-and-the-bundle-structure"/>
    <w:p>
      <w:pPr>
        <w:pStyle w:val="Heading3"/>
      </w:pPr>
      <w:r>
        <w:t xml:space="preserve">BIP and the Bundle Structure</w:t>
      </w:r>
    </w:p>
    <w:bookmarkEnd w:id="73"/>
    <w:bookmarkStart w:id="74" w:name="relationship-between-eip-and-bip"/>
    <w:p>
      <w:pPr>
        <w:pStyle w:val="Heading3"/>
      </w:pPr>
      <w:r>
        <w:t xml:space="preserve">Relationship Between EIP and BIP</w:t>
      </w:r>
    </w:p>
    <w:bookmarkEnd w:id="74"/>
    <w:bookmarkEnd w:id="75"/>
    <w:bookmarkStart w:id="82" w:name="ch:canonicalization"/>
    <w:p>
      <w:pPr>
        <w:pStyle w:val="Heading2"/>
      </w:pPr>
      <w:r>
        <w:t xml:space="preserve">Canonicalization and Enforcement</w:t>
      </w:r>
    </w:p>
    <w:p>
      <w:pPr>
        <w:pStyle w:val="FirstParagraph"/>
      </w:pPr>
      <w:r>
        <w:rPr>
          <w:b/>
          <w:bCs/>
        </w:rPr>
        <w:t xml:space="preserve">Learning Objectives.</w:t>
      </w:r>
      <w:r>
        <w:t xml:space="preserve"> </w:t>
      </w:r>
      <w:r>
        <w:t xml:space="preserve">After completing this chapter, you will be able to:</w:t>
      </w:r>
    </w:p>
    <w:p>
      <w:pPr>
        <w:numPr>
          <w:ilvl w:val="0"/>
          <w:numId w:val="1013"/>
        </w:numPr>
      </w:pPr>
      <w:r>
        <w:t xml:space="preserve">Design canonicalization algorithms for specific domains</w:t>
      </w:r>
    </w:p>
    <w:p>
      <w:pPr>
        <w:numPr>
          <w:ilvl w:val="0"/>
          <w:numId w:val="1013"/>
        </w:numPr>
      </w:pPr>
      <w:r>
        <w:t xml:space="preserve">Prove the soundness of canonicalization as an enforcement mechanism</w:t>
      </w:r>
    </w:p>
    <w:p>
      <w:pPr>
        <w:numPr>
          <w:ilvl w:val="0"/>
          <w:numId w:val="1013"/>
        </w:numPr>
      </w:pPr>
      <w:r>
        <w:t xml:space="preserve">Implement approximate compliance with the Bond Index</w:t>
      </w:r>
    </w:p>
    <w:p>
      <w:pPr>
        <w:numPr>
          <w:ilvl w:val="0"/>
          <w:numId w:val="1013"/>
        </w:numPr>
      </w:pPr>
      <w:r>
        <w:t xml:space="preserve">Build audit artifacts for regulatory and engineering review</w:t>
      </w:r>
    </w:p>
    <w:bookmarkStart w:id="76" w:name="the-mandatory-canonicalization-theorem"/>
    <w:p>
      <w:pPr>
        <w:pStyle w:val="Heading3"/>
      </w:pPr>
      <w:r>
        <w:t xml:space="preserve">The Mandatory Canonicalization Theorem</w:t>
      </w:r>
    </w:p>
    <w:bookmarkEnd w:id="76"/>
    <w:bookmarkStart w:id="77" w:name="canonicalization-algorithms"/>
    <w:p>
      <w:pPr>
        <w:pStyle w:val="Heading3"/>
      </w:pPr>
      <w:r>
        <w:t xml:space="preserve">Canonicalization Algorithms</w:t>
      </w:r>
    </w:p>
    <w:bookmarkEnd w:id="77"/>
    <w:bookmarkStart w:id="78" w:name="the-bond-index"/>
    <w:p>
      <w:pPr>
        <w:pStyle w:val="Heading3"/>
      </w:pPr>
      <w:r>
        <w:t xml:space="preserve">The Bond Index</w:t>
      </w:r>
    </w:p>
    <w:bookmarkEnd w:id="78"/>
    <w:bookmarkStart w:id="79" w:name="approximate-compliance"/>
    <w:p>
      <w:pPr>
        <w:pStyle w:val="Heading3"/>
      </w:pPr>
      <w:r>
        <w:t xml:space="preserve">Approximate Compliance</w:t>
      </w:r>
    </w:p>
    <w:bookmarkEnd w:id="79"/>
    <w:bookmarkStart w:id="80" w:name="audit-artifacts"/>
    <w:p>
      <w:pPr>
        <w:pStyle w:val="Heading3"/>
      </w:pPr>
      <w:r>
        <w:t xml:space="preserve">Audit Artifacts</w:t>
      </w:r>
    </w:p>
    <w:bookmarkEnd w:id="80"/>
    <w:bookmarkStart w:id="81" w:name="the-eip-enforcement-pipeline"/>
    <w:p>
      <w:pPr>
        <w:pStyle w:val="Heading3"/>
      </w:pPr>
      <w:r>
        <w:t xml:space="preserve">The EIP Enforcement Pipeline</w:t>
      </w:r>
    </w:p>
    <w:p>
      <w:pPr>
        <w:pStyle w:val="FirstParagraph"/>
      </w:pPr>
      <w:r>
        <w:rPr>
          <w:b/>
          <w:bCs/>
        </w:rPr>
        <w:t xml:space="preserve">Medical Triage System.</w:t>
      </w:r>
      <w:r>
        <w:t xml:space="preserve"> </w:t>
      </w:r>
      <w:r>
        <w:t xml:space="preserve">A hospital deploys an AI system to prioritize emergency department patients. We apply the full EIP enforcement pipeline: define the transformation set (patient name permutation, synonym substitution in symptoms, unit conversion), implement canonicalization (standardize to SNOMED-CT codes), compute the Bond Index, and generate audit artifacts. We show that the pre-canonicalization system has</w:t>
      </w:r>
      <w:r>
        <w:t xml:space="preserve"> </w:t>
      </w:r>
      <m:oMath>
        <m:r>
          <m:t>β</m:t>
        </m:r>
        <m:r>
          <m:rPr>
            <m:sty m:val="p"/>
          </m:rPr>
          <m:t>=</m:t>
        </m:r>
        <m:r>
          <m:t>0.73</m:t>
        </m:r>
      </m:oMath>
      <w:r>
        <w:t xml:space="preserve"> </w:t>
      </w:r>
      <w:r>
        <w:t xml:space="preserve">and the post-canonicalization system achieves</w:t>
      </w:r>
      <w:r>
        <w:t xml:space="preserve"> </w:t>
      </w:r>
      <m:oMath>
        <m:r>
          <m:t>β</m:t>
        </m:r>
        <m:r>
          <m:rPr>
            <m:sty m:val="p"/>
          </m:rPr>
          <m:t>=</m:t>
        </m:r>
        <m:r>
          <m:t>0.98</m:t>
        </m:r>
      </m:oMath>
      <w:r>
        <w:t xml:space="preserve">.</w:t>
      </w:r>
    </w:p>
    <w:bookmarkEnd w:id="81"/>
    <w:bookmarkEnd w:id="82"/>
    <w:bookmarkEnd w:id="83"/>
    <w:bookmarkStart w:id="101" w:name="part:geometric-ethics"/>
    <w:p>
      <w:pPr>
        <w:pStyle w:val="Heading1"/>
      </w:pPr>
      <w:r>
        <w:t xml:space="preserve">Geometric Ethics</w:t>
      </w:r>
    </w:p>
    <w:bookmarkStart w:id="89" w:name="ch:moral-manifold"/>
    <w:p>
      <w:pPr>
        <w:pStyle w:val="Heading2"/>
      </w:pPr>
      <w:r>
        <w:t xml:space="preserve">The Moral Manifold</w:t>
      </w:r>
    </w:p>
    <w:p>
      <w:pPr>
        <w:pStyle w:val="FirstParagraph"/>
      </w:pPr>
      <w:r>
        <w:rPr>
          <w:b/>
          <w:bCs/>
        </w:rPr>
        <w:t xml:space="preserve">Learning Objectives.</w:t>
      </w:r>
      <w:r>
        <w:t xml:space="preserve"> </w:t>
      </w:r>
      <w:r>
        <w:t xml:space="preserve">After completing this chapter, you will be able to:</w:t>
      </w:r>
    </w:p>
    <w:p>
      <w:pPr>
        <w:numPr>
          <w:ilvl w:val="0"/>
          <w:numId w:val="1014"/>
        </w:numPr>
      </w:pPr>
      <w:r>
        <w:t xml:space="preserve">State and prove the Structured Preservation Theorem</w:t>
      </w:r>
    </w:p>
    <w:p>
      <w:pPr>
        <w:numPr>
          <w:ilvl w:val="0"/>
          <w:numId w:val="1014"/>
        </w:numPr>
      </w:pPr>
      <w:r>
        <w:t xml:space="preserve">Construct the nine-dimensional moral evaluation space</w:t>
      </w:r>
    </w:p>
    <w:p>
      <w:pPr>
        <w:numPr>
          <w:ilvl w:val="0"/>
          <w:numId w:val="1014"/>
        </w:numPr>
      </w:pPr>
      <w:r>
        <w:t xml:space="preserve">Define the moral metric for specific application domains</w:t>
      </w:r>
    </w:p>
    <w:p>
      <w:pPr>
        <w:numPr>
          <w:ilvl w:val="0"/>
          <w:numId w:val="1014"/>
        </w:numPr>
      </w:pPr>
      <w:r>
        <w:t xml:space="preserve">Compute moral distances and geodesics</w:t>
      </w:r>
    </w:p>
    <w:bookmarkStart w:id="84" w:name="the-structured-preservation-theorem"/>
    <w:p>
      <w:pPr>
        <w:pStyle w:val="Heading3"/>
      </w:pPr>
      <w:r>
        <w:t xml:space="preserve">The Structured Preservation Theorem</w:t>
      </w:r>
    </w:p>
    <w:bookmarkEnd w:id="84"/>
    <w:bookmarkStart w:id="85" w:name="the-nine-moral-dimensions"/>
    <w:p>
      <w:pPr>
        <w:pStyle w:val="Heading3"/>
      </w:pPr>
      <w:r>
        <w:t xml:space="preserve">The Nine Moral Dimensions</w:t>
      </w:r>
    </w:p>
    <w:bookmarkEnd w:id="85"/>
    <w:bookmarkStart w:id="86" w:name="constructing-the-moral-metric"/>
    <w:p>
      <w:pPr>
        <w:pStyle w:val="Heading3"/>
      </w:pPr>
      <w:r>
        <w:t xml:space="preserve">Constructing the Moral Metric</w:t>
      </w:r>
    </w:p>
    <w:bookmarkEnd w:id="86"/>
    <w:bookmarkStart w:id="87" w:name="moral-geodesics-and-pathfinding"/>
    <w:p>
      <w:pPr>
        <w:pStyle w:val="Heading3"/>
      </w:pPr>
      <w:r>
        <w:t xml:space="preserve">Moral Geodesics and Pathfinding</w:t>
      </w:r>
    </w:p>
    <w:bookmarkEnd w:id="87"/>
    <w:bookmarkStart w:id="88" w:name="the-information-monotonicity-theorem"/>
    <w:p>
      <w:pPr>
        <w:pStyle w:val="Heading3"/>
      </w:pPr>
      <w:r>
        <w:t xml:space="preserve">The Information Monotonicity Theorem</w:t>
      </w:r>
    </w:p>
    <w:bookmarkEnd w:id="88"/>
    <w:bookmarkEnd w:id="89"/>
    <w:bookmarkStart w:id="94" w:name="ch:noether"/>
    <w:p>
      <w:pPr>
        <w:pStyle w:val="Heading2"/>
      </w:pPr>
      <w:r>
        <w:t xml:space="preserve">Conservation Laws and the Moral Noether Theorem</w:t>
      </w:r>
    </w:p>
    <w:p>
      <w:pPr>
        <w:pStyle w:val="FirstParagraph"/>
      </w:pPr>
      <w:r>
        <w:rPr>
          <w:b/>
          <w:bCs/>
        </w:rPr>
        <w:t xml:space="preserve">Learning Objectives.</w:t>
      </w:r>
      <w:r>
        <w:t xml:space="preserve"> </w:t>
      </w:r>
      <w:r>
        <w:t xml:space="preserve">After completing this chapter, you will be able to:</w:t>
      </w:r>
    </w:p>
    <w:p>
      <w:pPr>
        <w:numPr>
          <w:ilvl w:val="0"/>
          <w:numId w:val="1015"/>
        </w:numPr>
      </w:pPr>
      <w:r>
        <w:t xml:space="preserve">State and prove the Moral Noether Theorem</w:t>
      </w:r>
    </w:p>
    <w:p>
      <w:pPr>
        <w:numPr>
          <w:ilvl w:val="0"/>
          <w:numId w:val="1015"/>
        </w:numPr>
      </w:pPr>
      <w:r>
        <w:t xml:space="preserve">Derive conserved normative currents from symmetries</w:t>
      </w:r>
    </w:p>
    <w:p>
      <w:pPr>
        <w:numPr>
          <w:ilvl w:val="0"/>
          <w:numId w:val="1015"/>
        </w:numPr>
      </w:pPr>
      <w:r>
        <w:t xml:space="preserve">Apply harm conservation to detect moral laundering</w:t>
      </w:r>
    </w:p>
    <w:p>
      <w:pPr>
        <w:numPr>
          <w:ilvl w:val="0"/>
          <w:numId w:val="1015"/>
        </w:numPr>
      </w:pPr>
      <w:r>
        <w:t xml:space="preserve">Compute the stress-energy tensor for normative systems</w:t>
      </w:r>
    </w:p>
    <w:bookmarkStart w:id="90" w:name="X3a1b5bcf87d5c3d9e7704dbcaa72b72e23a7fe8"/>
    <w:p>
      <w:pPr>
        <w:pStyle w:val="Heading3"/>
      </w:pPr>
      <w:r>
        <w:t xml:space="preserve">Symmetries and Conservation: The Physical Paradigm</w:t>
      </w:r>
    </w:p>
    <w:bookmarkEnd w:id="90"/>
    <w:bookmarkStart w:id="91" w:name="the-moral-noether-theorem"/>
    <w:p>
      <w:pPr>
        <w:pStyle w:val="Heading3"/>
      </w:pPr>
      <w:r>
        <w:t xml:space="preserve">The Moral Noether Theorem</w:t>
      </w:r>
    </w:p>
    <w:bookmarkEnd w:id="91"/>
    <w:bookmarkStart w:id="92" w:name="applications-of-harm-conservation"/>
    <w:p>
      <w:pPr>
        <w:pStyle w:val="Heading3"/>
      </w:pPr>
      <w:r>
        <w:t xml:space="preserve">Applications of Harm Conservation</w:t>
      </w:r>
    </w:p>
    <w:bookmarkEnd w:id="92"/>
    <w:bookmarkStart w:id="93" w:name="the-normative-stress-energy-tensor"/>
    <w:p>
      <w:pPr>
        <w:pStyle w:val="Heading3"/>
      </w:pPr>
      <w:r>
        <w:t xml:space="preserve">The Normative Stress-Energy Tensor</w:t>
      </w:r>
    </w:p>
    <w:bookmarkEnd w:id="93"/>
    <w:bookmarkEnd w:id="94"/>
    <w:bookmarkStart w:id="95" w:name="ch:d4"/>
    <w:p>
      <w:pPr>
        <w:pStyle w:val="Heading2"/>
      </w:pPr>
      <w:r>
        <w:t xml:space="preserve">The</w:t>
      </w:r>
      <w:r>
        <w:t xml:space="preserve"> </w:t>
      </w:r>
      <m:oMath>
        <m:sSub>
          <m:e>
            <m:r>
              <m:t>D</m:t>
            </m:r>
          </m:e>
          <m:sub>
            <m:r>
              <m:t>4</m:t>
            </m:r>
          </m:sub>
        </m:sSub>
      </m:oMath>
      <w:r>
        <w:t xml:space="preserve"> </w:t>
      </w:r>
      <w:r>
        <w:t xml:space="preserve">Gauge Group and Deontic Structure</w:t>
      </w:r>
    </w:p>
    <w:bookmarkEnd w:id="95"/>
    <w:bookmarkStart w:id="100" w:name="ch:no-escape"/>
    <w:p>
      <w:pPr>
        <w:pStyle w:val="Heading2"/>
      </w:pPr>
      <w:r>
        <w:t xml:space="preserve">The No Escape Theorem</w:t>
      </w:r>
    </w:p>
    <w:p>
      <w:pPr>
        <w:pStyle w:val="FirstParagraph"/>
      </w:pPr>
      <w:r>
        <w:rPr>
          <w:b/>
          <w:bCs/>
        </w:rPr>
        <w:t xml:space="preserve">Learning Objectives.</w:t>
      </w:r>
      <w:r>
        <w:t xml:space="preserve"> </w:t>
      </w:r>
      <w:r>
        <w:t xml:space="preserve">After completing this chapter, you will be able to:</w:t>
      </w:r>
    </w:p>
    <w:p>
      <w:pPr>
        <w:numPr>
          <w:ilvl w:val="0"/>
          <w:numId w:val="1016"/>
        </w:numPr>
      </w:pPr>
      <w:r>
        <w:t xml:space="preserve">State the No Escape Theorem precisely</w:t>
      </w:r>
    </w:p>
    <w:p>
      <w:pPr>
        <w:numPr>
          <w:ilvl w:val="0"/>
          <w:numId w:val="1016"/>
        </w:numPr>
      </w:pPr>
      <w:r>
        <w:t xml:space="preserve">Explain each of the three escape strategies and why they fail</w:t>
      </w:r>
    </w:p>
    <w:p>
      <w:pPr>
        <w:numPr>
          <w:ilvl w:val="0"/>
          <w:numId w:val="1016"/>
        </w:numPr>
      </w:pPr>
      <w:r>
        <w:t xml:space="preserve">Apply the theorem to evaluate AI safety proposals</w:t>
      </w:r>
    </w:p>
    <w:p>
      <w:pPr>
        <w:numPr>
          <w:ilvl w:val="0"/>
          <w:numId w:val="1016"/>
        </w:numPr>
      </w:pPr>
      <w:r>
        <w:t xml:space="preserve">Discuss the philosophical implications for moral realism</w:t>
      </w:r>
    </w:p>
    <w:bookmarkStart w:id="96" w:name="statement-of-the-theorem"/>
    <w:p>
      <w:pPr>
        <w:pStyle w:val="Heading3"/>
      </w:pPr>
      <w:r>
        <w:t xml:space="preserve">Statement of the Theorem</w:t>
      </w:r>
    </w:p>
    <w:bookmarkEnd w:id="96"/>
    <w:bookmarkStart w:id="97" w:name="the-three-escape-strategies"/>
    <w:p>
      <w:pPr>
        <w:pStyle w:val="Heading3"/>
      </w:pPr>
      <w:r>
        <w:t xml:space="preserve">The Three Escape Strategies</w:t>
      </w:r>
    </w:p>
    <w:bookmarkEnd w:id="97"/>
    <w:bookmarkStart w:id="98" w:name="proof"/>
    <w:p>
      <w:pPr>
        <w:pStyle w:val="Heading3"/>
      </w:pPr>
      <w:r>
        <w:t xml:space="preserve">Proof</w:t>
      </w:r>
    </w:p>
    <w:bookmarkEnd w:id="98"/>
    <w:bookmarkStart w:id="99" w:name="implications"/>
    <w:p>
      <w:pPr>
        <w:pStyle w:val="Heading3"/>
      </w:pPr>
      <w:r>
        <w:t xml:space="preserve">Implications</w:t>
      </w:r>
    </w:p>
    <w:bookmarkEnd w:id="99"/>
    <w:bookmarkEnd w:id="100"/>
    <w:bookmarkEnd w:id="101"/>
    <w:bookmarkStart w:id="129" w:name="part:engineering"/>
    <w:p>
      <w:pPr>
        <w:pStyle w:val="Heading1"/>
      </w:pPr>
      <w:r>
        <w:t xml:space="preserve">Engineering and Practice</w:t>
      </w:r>
    </w:p>
    <w:bookmarkStart w:id="106" w:name="ch:deme"/>
    <w:p>
      <w:pPr>
        <w:pStyle w:val="Heading2"/>
      </w:pPr>
      <w:r>
        <w:t xml:space="preserve">The DEME Architecture</w:t>
      </w:r>
    </w:p>
    <w:p>
      <w:pPr>
        <w:pStyle w:val="FirstParagraph"/>
      </w:pPr>
      <w:r>
        <w:rPr>
          <w:b/>
          <w:bCs/>
        </w:rPr>
        <w:t xml:space="preserve">Learning Objectives.</w:t>
      </w:r>
      <w:r>
        <w:t xml:space="preserve"> </w:t>
      </w:r>
      <w:r>
        <w:t xml:space="preserve">After completing this chapter, you will be able to:</w:t>
      </w:r>
    </w:p>
    <w:p>
      <w:pPr>
        <w:numPr>
          <w:ilvl w:val="0"/>
          <w:numId w:val="1017"/>
        </w:numPr>
      </w:pPr>
      <w:r>
        <w:t xml:space="preserve">Describe the DEME architecture and its components</w:t>
      </w:r>
    </w:p>
    <w:p>
      <w:pPr>
        <w:numPr>
          <w:ilvl w:val="0"/>
          <w:numId w:val="1017"/>
        </w:numPr>
      </w:pPr>
      <w:r>
        <w:t xml:space="preserve">Explain the evolution from DEME 2.0 (vector) to DEME 3.0 (tensorial)</w:t>
      </w:r>
    </w:p>
    <w:p>
      <w:pPr>
        <w:numPr>
          <w:ilvl w:val="0"/>
          <w:numId w:val="1017"/>
        </w:numPr>
      </w:pPr>
      <w:r>
        <w:t xml:space="preserve">Implement basic moral evaluation using the ErisML API</w:t>
      </w:r>
    </w:p>
    <w:p>
      <w:pPr>
        <w:numPr>
          <w:ilvl w:val="0"/>
          <w:numId w:val="1017"/>
        </w:numPr>
      </w:pPr>
      <w:r>
        <w:t xml:space="preserve">Configure DEME for specific application domains</w:t>
      </w:r>
    </w:p>
    <w:bookmarkStart w:id="102" w:name="architecture-overview"/>
    <w:p>
      <w:pPr>
        <w:pStyle w:val="Heading3"/>
      </w:pPr>
      <w:r>
        <w:t xml:space="preserve">Architecture Overview</w:t>
      </w:r>
    </w:p>
    <w:bookmarkEnd w:id="102"/>
    <w:bookmarkStart w:id="103" w:name="from-vectors-to-tensors-deme-2.0-to-3.0"/>
    <w:p>
      <w:pPr>
        <w:pStyle w:val="Heading3"/>
      </w:pPr>
      <w:r>
        <w:t xml:space="preserve">From Vectors to Tensors: DEME 2.0 to 3.0</w:t>
      </w:r>
    </w:p>
    <w:bookmarkEnd w:id="103"/>
    <w:bookmarkStart w:id="104" w:name="erisml-the-reference-implementation"/>
    <w:p>
      <w:pPr>
        <w:pStyle w:val="Heading3"/>
      </w:pPr>
      <w:r>
        <w:t xml:space="preserve">ErisML: The Reference Implementation</w:t>
      </w:r>
    </w:p>
    <w:bookmarkEnd w:id="104"/>
    <w:bookmarkStart w:id="105" w:name="hands-on-your-first-moral-evaluation"/>
    <w:p>
      <w:pPr>
        <w:pStyle w:val="Heading3"/>
      </w:pPr>
      <w:r>
        <w:t xml:space="preserve">Hands-On: Your First Moral Evaluation</w:t>
      </w:r>
    </w:p>
    <w:p>
      <w:pPr>
        <w:pStyle w:val="SourceCode"/>
      </w:pPr>
      <w:r>
        <w:rPr>
          <w:rStyle w:val="ImportTok"/>
        </w:rPr>
        <w:t xml:space="preserve">import</w:t>
      </w:r>
      <w:r>
        <w:rPr>
          <w:rStyle w:val="NormalTok"/>
        </w:rPr>
        <w:t xml:space="preserve"> erisml</w:t>
      </w:r>
      <w:r>
        <w:br/>
      </w:r>
      <w:r>
        <w:br/>
      </w:r>
      <w:r>
        <w:rPr>
          <w:rStyle w:val="CommentTok"/>
        </w:rPr>
        <w:t xml:space="preserve"># Define the moral manifold for content moderation</w:t>
      </w:r>
      <w:r>
        <w:br/>
      </w:r>
      <w:r>
        <w:rPr>
          <w:rStyle w:val="NormalTok"/>
        </w:rPr>
        <w:t xml:space="preserve">manifold </w:t>
      </w:r>
      <w:r>
        <w:rPr>
          <w:rStyle w:val="OperatorTok"/>
        </w:rPr>
        <w:t xml:space="preserve">=</w:t>
      </w:r>
      <w:r>
        <w:rPr>
          <w:rStyle w:val="NormalTok"/>
        </w:rPr>
        <w:t xml:space="preserve"> erisml.MoralManifold(</w:t>
      </w:r>
      <w:r>
        <w:br/>
      </w:r>
      <w:r>
        <w:rPr>
          <w:rStyle w:val="NormalTok"/>
        </w:rPr>
        <w:t xml:space="preserve">    domain</w:t>
      </w:r>
      <w:r>
        <w:rPr>
          <w:rStyle w:val="OperatorTok"/>
        </w:rPr>
        <w:t xml:space="preserve">=</w:t>
      </w:r>
      <w:r>
        <w:rPr>
          <w:rStyle w:val="StringTok"/>
        </w:rPr>
        <w:t xml:space="preserve">"content_moderation"</w:t>
      </w:r>
      <w:r>
        <w:rPr>
          <w:rStyle w:val="NormalTok"/>
        </w:rPr>
        <w:t xml:space="preserve">,</w:t>
      </w:r>
      <w:r>
        <w:br/>
      </w:r>
      <w:r>
        <w:rPr>
          <w:rStyle w:val="NormalTok"/>
        </w:rPr>
        <w:t xml:space="preserve">    dimensions</w:t>
      </w:r>
      <w:r>
        <w:rPr>
          <w:rStyle w:val="OperatorTok"/>
        </w:rPr>
        <w:t xml:space="preserve">=</w:t>
      </w:r>
      <w:r>
        <w:rPr>
          <w:rStyle w:val="DecValTok"/>
        </w:rPr>
        <w:t xml:space="preserve">9</w:t>
      </w:r>
      <w:r>
        <w:br/>
      </w:r>
      <w:r>
        <w:rPr>
          <w:rStyle w:val="NormalTok"/>
        </w:rPr>
        <w:t xml:space="preserve">)</w:t>
      </w:r>
      <w:r>
        <w:br/>
      </w:r>
      <w:r>
        <w:br/>
      </w:r>
      <w:r>
        <w:rPr>
          <w:rStyle w:val="CommentTok"/>
        </w:rPr>
        <w:t xml:space="preserve"># Set context-specific metric</w:t>
      </w:r>
      <w:r>
        <w:br/>
      </w:r>
      <w:r>
        <w:rPr>
          <w:rStyle w:val="NormalTok"/>
        </w:rPr>
        <w:t xml:space="preserve">metric </w:t>
      </w:r>
      <w:r>
        <w:rPr>
          <w:rStyle w:val="OperatorTok"/>
        </w:rPr>
        <w:t xml:space="preserve">=</w:t>
      </w:r>
      <w:r>
        <w:rPr>
          <w:rStyle w:val="NormalTok"/>
        </w:rPr>
        <w:t xml:space="preserve"> erisml.MetricTensor.from_domain(</w:t>
      </w:r>
      <w:r>
        <w:rPr>
          <w:rStyle w:val="StringTok"/>
        </w:rPr>
        <w:t xml:space="preserve">"content_moderation"</w:t>
      </w:r>
      <w:r>
        <w:rPr>
          <w:rStyle w:val="NormalTok"/>
        </w:rPr>
        <w:t xml:space="preserve">)</w:t>
      </w:r>
      <w:r>
        <w:br/>
      </w:r>
      <w:r>
        <w:rPr>
          <w:rStyle w:val="NormalTok"/>
        </w:rPr>
        <w:t xml:space="preserve">manifold.set_metric(metric)</w:t>
      </w:r>
      <w:r>
        <w:br/>
      </w:r>
      <w:r>
        <w:br/>
      </w:r>
      <w:r>
        <w:rPr>
          <w:rStyle w:val="CommentTok"/>
        </w:rPr>
        <w:t xml:space="preserve"># Evaluate a decision</w:t>
      </w:r>
      <w:r>
        <w:br/>
      </w:r>
      <w:r>
        <w:rPr>
          <w:rStyle w:val="NormalTok"/>
        </w:rPr>
        <w:t xml:space="preserve">evaluation </w:t>
      </w:r>
      <w:r>
        <w:rPr>
          <w:rStyle w:val="OperatorTok"/>
        </w:rPr>
        <w:t xml:space="preserve">=</w:t>
      </w:r>
      <w:r>
        <w:rPr>
          <w:rStyle w:val="NormalTok"/>
        </w:rPr>
        <w:t xml:space="preserve"> manifold.evaluate(</w:t>
      </w:r>
      <w:r>
        <w:br/>
      </w:r>
      <w:r>
        <w:rPr>
          <w:rStyle w:val="NormalTok"/>
        </w:rPr>
        <w:t xml:space="preserve">    action</w:t>
      </w:r>
      <w:r>
        <w:rPr>
          <w:rStyle w:val="OperatorTok"/>
        </w:rPr>
        <w:t xml:space="preserve">=</w:t>
      </w:r>
      <w:r>
        <w:rPr>
          <w:rStyle w:val="StringTok"/>
        </w:rPr>
        <w:t xml:space="preserve">"flag_content"</w:t>
      </w:r>
      <w:r>
        <w:rPr>
          <w:rStyle w:val="NormalTok"/>
        </w:rPr>
        <w:t xml:space="preserve">,</w:t>
      </w:r>
      <w:r>
        <w:br/>
      </w:r>
      <w:r>
        <w:rPr>
          <w:rStyle w:val="NormalTok"/>
        </w:rPr>
        <w:t xml:space="preserve">    context</w:t>
      </w:r>
      <w:r>
        <w:rPr>
          <w:rStyle w:val="OperatorTok"/>
        </w:rPr>
        <w:t xml:space="preserve">=</w:t>
      </w:r>
      <w:r>
        <w:rPr>
          <w:rStyle w:val="NormalTok"/>
        </w:rPr>
        <w:t xml:space="preserve">{</w:t>
      </w:r>
      <w:r>
        <w:rPr>
          <w:rStyle w:val="StringTok"/>
        </w:rPr>
        <w:t xml:space="preserve">"content"</w:t>
      </w:r>
      <w:r>
        <w:rPr>
          <w:rStyle w:val="NormalTok"/>
        </w:rPr>
        <w:t xml:space="preserve">: </w:t>
      </w:r>
      <w:r>
        <w:rPr>
          <w:rStyle w:val="StringTok"/>
        </w:rPr>
        <w:t xml:space="preserve">"..."</w:t>
      </w:r>
      <w:r>
        <w:rPr>
          <w:rStyle w:val="NormalTok"/>
        </w:rPr>
        <w:t xml:space="preserve">, </w:t>
      </w:r>
      <w:r>
        <w:rPr>
          <w:rStyle w:val="StringTok"/>
        </w:rPr>
        <w:t xml:space="preserve">"user_history"</w:t>
      </w:r>
      <w:r>
        <w:rPr>
          <w:rStyle w:val="NormalTok"/>
        </w:rPr>
        <w:t xml:space="preserve">: </w:t>
      </w:r>
      <w:r>
        <w:rPr>
          <w:rStyle w:val="StringTok"/>
        </w:rPr>
        <w:t xml:space="preserve">"..."</w:t>
      </w:r>
      <w:r>
        <w:rPr>
          <w:rStyle w:val="NormalTok"/>
        </w:rPr>
        <w:t xml:space="preserve">}</w:t>
      </w:r>
      <w:r>
        <w:br/>
      </w:r>
      <w:r>
        <w:rPr>
          <w:rStyle w:val="NormalTok"/>
        </w:rPr>
        <w:t xml:space="preserve">)</w:t>
      </w:r>
      <w:r>
        <w:br/>
      </w:r>
      <w:r>
        <w:br/>
      </w:r>
      <w:r>
        <w:rPr>
          <w:rStyle w:val="CommentTok"/>
        </w:rPr>
        <w:t xml:space="preserve"># Compute Bond Index</w:t>
      </w:r>
      <w:r>
        <w:br/>
      </w:r>
      <w:r>
        <w:rPr>
          <w:rStyle w:val="NormalTok"/>
        </w:rPr>
        <w:t xml:space="preserve">beta </w:t>
      </w:r>
      <w:r>
        <w:rPr>
          <w:rStyle w:val="OperatorTok"/>
        </w:rPr>
        <w:t xml:space="preserve">=</w:t>
      </w:r>
      <w:r>
        <w:rPr>
          <w:rStyle w:val="NormalTok"/>
        </w:rPr>
        <w:t xml:space="preserve"> erisml.bond_index(</w:t>
      </w:r>
      <w:r>
        <w:br/>
      </w:r>
      <w:r>
        <w:rPr>
          <w:rStyle w:val="NormalTok"/>
        </w:rPr>
        <w:t xml:space="preserve">    evaluator</w:t>
      </w:r>
      <w:r>
        <w:rPr>
          <w:rStyle w:val="OperatorTok"/>
        </w:rPr>
        <w:t xml:space="preserve">=</w:t>
      </w:r>
      <w:r>
        <w:rPr>
          <w:rStyle w:val="NormalTok"/>
        </w:rPr>
        <w:t xml:space="preserve">manifold,</w:t>
      </w:r>
      <w:r>
        <w:br/>
      </w:r>
      <w:r>
        <w:rPr>
          <w:rStyle w:val="NormalTok"/>
        </w:rPr>
        <w:t xml:space="preserve">    transformations</w:t>
      </w:r>
      <w:r>
        <w:rPr>
          <w:rStyle w:val="OperatorTok"/>
        </w:rPr>
        <w:t xml:space="preserve">=</w:t>
      </w:r>
      <w:r>
        <w:rPr>
          <w:rStyle w:val="NormalTok"/>
        </w:rPr>
        <w:t xml:space="preserve">erisml.standard_transforms(</w:t>
      </w:r>
      <w:r>
        <w:rPr>
          <w:rStyle w:val="StringTok"/>
        </w:rPr>
        <w:t xml:space="preserve">"text"</w:t>
      </w:r>
      <w:r>
        <w:rPr>
          <w:rStyle w:val="NormalTok"/>
        </w:rPr>
        <w:t xml:space="preserve">),</w:t>
      </w:r>
      <w:r>
        <w:br/>
      </w:r>
      <w:r>
        <w:rPr>
          <w:rStyle w:val="NormalTok"/>
        </w:rPr>
        <w:t xml:space="preserve">    sample</w:t>
      </w:r>
      <w:r>
        <w:rPr>
          <w:rStyle w:val="OperatorTok"/>
        </w:rPr>
        <w:t xml:space="preserve">=</w:t>
      </w:r>
      <w:r>
        <w:rPr>
          <w:rStyle w:val="NormalTok"/>
        </w:rPr>
        <w:t xml:space="preserve">test_cases</w:t>
      </w:r>
      <w:r>
        <w:br/>
      </w:r>
      <w:r>
        <w:rPr>
          <w:rStyle w:val="NormalTok"/>
        </w:rPr>
        <w:t xml:space="preserve">)</w:t>
      </w:r>
      <w:r>
        <w:br/>
      </w:r>
      <w:r>
        <w:rPr>
          <w:rStyle w:val="BuiltInTok"/>
        </w:rPr>
        <w:t xml:space="preserve">print</w:t>
      </w:r>
      <w:r>
        <w:rPr>
          <w:rStyle w:val="NormalTok"/>
        </w:rPr>
        <w:t xml:space="preserve">(</w:t>
      </w:r>
      <w:r>
        <w:rPr>
          <w:rStyle w:val="SpecialStringTok"/>
        </w:rPr>
        <w:t xml:space="preserve">f"Bond Index: </w:t>
      </w:r>
      <w:r>
        <w:rPr>
          <w:rStyle w:val="SpecialCharTok"/>
        </w:rPr>
        <w:t xml:space="preserve">{</w:t>
      </w:r>
      <w:r>
        <w:rPr>
          <w:rStyle w:val="NormalTok"/>
        </w:rPr>
        <w:t xml:space="preserve">beta</w:t>
      </w:r>
      <w:r>
        <w:rPr>
          <w:rStyle w:val="SpecialCharTok"/>
        </w:rPr>
        <w:t xml:space="preserve">:.4f}</w:t>
      </w:r>
      <w:r>
        <w:rPr>
          <w:rStyle w:val="SpecialStringTok"/>
        </w:rPr>
        <w:t xml:space="preserve">"</w:t>
      </w:r>
      <w:r>
        <w:rPr>
          <w:rStyle w:val="NormalTok"/>
        </w:rPr>
        <w:t xml:space="preserve">)</w:t>
      </w:r>
    </w:p>
    <w:bookmarkEnd w:id="105"/>
    <w:bookmarkEnd w:id="106"/>
    <w:bookmarkStart w:id="107" w:name="ch:verification"/>
    <w:p>
      <w:pPr>
        <w:pStyle w:val="Heading2"/>
      </w:pPr>
      <w:r>
        <w:t xml:space="preserve">Formal Verification of Moral Properties</w:t>
      </w:r>
    </w:p>
    <w:bookmarkEnd w:id="107"/>
    <w:bookmarkStart w:id="108" w:name="ch:qnd"/>
    <w:p>
      <w:pPr>
        <w:pStyle w:val="Heading2"/>
      </w:pPr>
      <w:r>
        <w:t xml:space="preserve">Quantum Normative Dynamics</w:t>
      </w:r>
    </w:p>
    <w:bookmarkEnd w:id="108"/>
    <w:bookmarkStart w:id="109" w:name="ch:advanced"/>
    <w:p>
      <w:pPr>
        <w:pStyle w:val="Heading2"/>
      </w:pPr>
      <w:r>
        <w:t xml:space="preserve">Advanced Topics in Moral Geometry</w:t>
      </w:r>
    </w:p>
    <w:bookmarkEnd w:id="109"/>
    <w:bookmarkStart w:id="115" w:name="ch:case-studies"/>
    <w:p>
      <w:pPr>
        <w:pStyle w:val="Heading2"/>
      </w:pPr>
      <w:r>
        <w:t xml:space="preserve">Case Studies</w:t>
      </w:r>
    </w:p>
    <w:bookmarkStart w:id="110" w:name="autonomous-vehicle-decision-making"/>
    <w:p>
      <w:pPr>
        <w:pStyle w:val="Heading3"/>
      </w:pPr>
      <w:r>
        <w:t xml:space="preserve">Autonomous Vehicle Decision-Making</w:t>
      </w:r>
    </w:p>
    <w:bookmarkEnd w:id="110"/>
    <w:bookmarkStart w:id="111" w:name="medical-triage-and-resource-allocation"/>
    <w:p>
      <w:pPr>
        <w:pStyle w:val="Heading3"/>
      </w:pPr>
      <w:r>
        <w:t xml:space="preserve">Medical Triage and Resource Allocation</w:t>
      </w:r>
    </w:p>
    <w:bookmarkEnd w:id="111"/>
    <w:bookmarkStart w:id="112" w:name="content-moderation-at-scale"/>
    <w:p>
      <w:pPr>
        <w:pStyle w:val="Heading3"/>
      </w:pPr>
      <w:r>
        <w:t xml:space="preserve">Content Moderation at Scale</w:t>
      </w:r>
    </w:p>
    <w:bookmarkEnd w:id="112"/>
    <w:bookmarkStart w:id="113" w:name="criminal-justice-risk-assessment"/>
    <w:p>
      <w:pPr>
        <w:pStyle w:val="Heading3"/>
      </w:pPr>
      <w:r>
        <w:t xml:space="preserve">Criminal Justice Risk Assessment</w:t>
      </w:r>
    </w:p>
    <w:bookmarkEnd w:id="113"/>
    <w:bookmarkStart w:id="114" w:name="military-autonomous-systems"/>
    <w:p>
      <w:pPr>
        <w:pStyle w:val="Heading3"/>
      </w:pPr>
      <w:r>
        <w:t xml:space="preserve">Military Autonomous Systems</w:t>
      </w:r>
    </w:p>
    <w:bookmarkEnd w:id="114"/>
    <w:bookmarkEnd w:id="115"/>
    <w:bookmarkStart w:id="121" w:name="ch:profession"/>
    <w:p>
      <w:pPr>
        <w:pStyle w:val="Heading2"/>
      </w:pPr>
      <w:r>
        <w:t xml:space="preserve">The Profession of Philosophy Engineering</w:t>
      </w:r>
    </w:p>
    <w:bookmarkStart w:id="116" w:name="competency-framework"/>
    <w:p>
      <w:pPr>
        <w:pStyle w:val="Heading3"/>
      </w:pPr>
      <w:r>
        <w:t xml:space="preserve">Competency Framework</w:t>
      </w:r>
    </w:p>
    <w:bookmarkEnd w:id="116"/>
    <w:bookmarkStart w:id="117" w:name="X994576b59b530a3bd9f4f640d5c33dee3b29f27"/>
    <w:p>
      <w:pPr>
        <w:pStyle w:val="Heading3"/>
      </w:pPr>
      <w:r>
        <w:t xml:space="preserve">Ethical Responsibilities of the Philosophy Engineer</w:t>
      </w:r>
    </w:p>
    <w:bookmarkEnd w:id="117"/>
    <w:bookmarkStart w:id="118" w:name="regulatory-landscape"/>
    <w:p>
      <w:pPr>
        <w:pStyle w:val="Heading3"/>
      </w:pPr>
      <w:r>
        <w:t xml:space="preserve">Regulatory Landscape</w:t>
      </w:r>
    </w:p>
    <w:bookmarkEnd w:id="118"/>
    <w:bookmarkStart w:id="119" w:name="open-problems-and-research-directions"/>
    <w:p>
      <w:pPr>
        <w:pStyle w:val="Heading3"/>
      </w:pPr>
      <w:r>
        <w:t xml:space="preserve">Open Problems and Research Directions</w:t>
      </w:r>
    </w:p>
    <w:bookmarkEnd w:id="119"/>
    <w:bookmarkStart w:id="120" w:name="an-invitation"/>
    <w:p>
      <w:pPr>
        <w:pStyle w:val="Heading3"/>
      </w:pPr>
      <w:r>
        <w:t xml:space="preserve">An Invitation</w:t>
      </w:r>
    </w:p>
    <w:bookmarkEnd w:id="120"/>
    <w:bookmarkEnd w:id="121"/>
    <w:bookmarkStart w:id="122" w:name="review-of-linear-algebra"/>
    <w:p>
      <w:pPr>
        <w:pStyle w:val="Heading2"/>
      </w:pPr>
      <w:r>
        <w:t xml:space="preserve">Review of Linear Algebra</w:t>
      </w:r>
    </w:p>
    <w:bookmarkEnd w:id="122"/>
    <w:bookmarkStart w:id="123" w:name="review-of-point-set-topology"/>
    <w:p>
      <w:pPr>
        <w:pStyle w:val="Heading2"/>
      </w:pPr>
      <w:r>
        <w:t xml:space="preserve">Review of Point-Set Topology</w:t>
      </w:r>
    </w:p>
    <w:bookmarkEnd w:id="123"/>
    <w:bookmarkStart w:id="124" w:name="review-of-group-theory"/>
    <w:p>
      <w:pPr>
        <w:pStyle w:val="Heading2"/>
      </w:pPr>
      <w:r>
        <w:t xml:space="preserve">Review of Group Theory</w:t>
      </w:r>
    </w:p>
    <w:bookmarkEnd w:id="124"/>
    <w:bookmarkStart w:id="125" w:name="review-of-formal-logic"/>
    <w:p>
      <w:pPr>
        <w:pStyle w:val="Heading2"/>
      </w:pPr>
      <w:r>
        <w:t xml:space="preserve">Review of Formal Logic</w:t>
      </w:r>
    </w:p>
    <w:bookmarkEnd w:id="125"/>
    <w:bookmarkStart w:id="126" w:name="erisml-api-reference"/>
    <w:p>
      <w:pPr>
        <w:pStyle w:val="Heading2"/>
      </w:pPr>
      <w:r>
        <w:t xml:space="preserve">ErisML API Reference</w:t>
      </w:r>
    </w:p>
    <w:bookmarkEnd w:id="126"/>
    <w:bookmarkStart w:id="127" w:name="solutions-to-selected-exercises"/>
    <w:p>
      <w:pPr>
        <w:pStyle w:val="Heading2"/>
      </w:pPr>
      <w:r>
        <w:t xml:space="preserve">Solutions to Selected Exercises</w:t>
      </w:r>
    </w:p>
    <w:bookmarkEnd w:id="127"/>
    <w:bookmarkStart w:id="128" w:name="bibliography"/>
    <w:p>
      <w:pPr>
        <w:pStyle w:val="Heading2"/>
      </w:pPr>
      <w:r>
        <w:t xml:space="preserve">Bibliography</w:t>
      </w:r>
    </w:p>
    <w:p>
      <w:pPr>
        <w:pStyle w:val="FirstParagraph"/>
      </w:pPr>
      <w:r>
        <w:t xml:space="preserve">99</w:t>
      </w:r>
    </w:p>
    <w:p>
      <w:pPr>
        <w:pStyle w:val="BodyText"/>
      </w:pPr>
      <w:r>
        <w:t xml:space="preserve">A. H. Bond,</w:t>
      </w:r>
      <w:r>
        <w:t xml:space="preserve"> </w:t>
      </w:r>
      <w:r>
        <w:rPr>
          <w:i/>
          <w:iCs/>
        </w:rPr>
        <w:t xml:space="preserve">Geometric Ethics: The Mathematical Structure of Moral Reasoning</w:t>
      </w:r>
      <w:r>
        <w:t xml:space="preserve">, v1.14, Department of Computer Engineering, San José State University, Spring 2026.</w:t>
      </w:r>
    </w:p>
    <w:p>
      <w:pPr>
        <w:pStyle w:val="BodyText"/>
      </w:pPr>
      <w:r>
        <w:t xml:space="preserve">A. H. Bond,</w:t>
      </w:r>
      <w:r>
        <w:t xml:space="preserve"> </w:t>
      </w:r>
      <w:r>
        <w:t xml:space="preserve">“ErisML/DEME v3.0: A Library for Governed, Foundation-Model-Enabled Agents with Tensorial Ethics,”</w:t>
      </w:r>
      <w:r>
        <w:t xml:space="preserve"> </w:t>
      </w:r>
      <w:hyperlink r:id="rId12">
        <w:r>
          <w:rPr>
            <w:rStyle w:val="Hyperlink"/>
          </w:rPr>
          <w:t xml:space="preserve">https://github.com/ahb-sjsu/erisml-lib</w:t>
        </w:r>
      </w:hyperlink>
      <w:r>
        <w:t xml:space="preserve">, 2026.</w:t>
      </w:r>
    </w:p>
    <w:p>
      <w:pPr>
        <w:pStyle w:val="BodyText"/>
      </w:pPr>
      <w:r>
        <w:t xml:space="preserve">J. M. Lee,</w:t>
      </w:r>
      <w:r>
        <w:t xml:space="preserve"> </w:t>
      </w:r>
      <w:r>
        <w:rPr>
          <w:i/>
          <w:iCs/>
        </w:rPr>
        <w:t xml:space="preserve">Introduction to Smooth Manifolds</w:t>
      </w:r>
      <w:r>
        <w:t xml:space="preserve">, 2nd ed. Springer, 2013.</w:t>
      </w:r>
    </w:p>
    <w:p>
      <w:pPr>
        <w:pStyle w:val="BodyText"/>
      </w:pPr>
      <w:r>
        <w:t xml:space="preserve">M. P. do Carmo,</w:t>
      </w:r>
      <w:r>
        <w:t xml:space="preserve"> </w:t>
      </w:r>
      <w:r>
        <w:rPr>
          <w:i/>
          <w:iCs/>
        </w:rPr>
        <w:t xml:space="preserve">Riemannian Geometry</w:t>
      </w:r>
      <w:r>
        <w:t xml:space="preserve">. Birkhäuser, 1992.</w:t>
      </w:r>
    </w:p>
    <w:p>
      <w:pPr>
        <w:pStyle w:val="BodyText"/>
      </w:pPr>
      <w:r>
        <w:t xml:space="preserve">M. Nakahara,</w:t>
      </w:r>
      <w:r>
        <w:t xml:space="preserve"> </w:t>
      </w:r>
      <w:r>
        <w:rPr>
          <w:i/>
          <w:iCs/>
        </w:rPr>
        <w:t xml:space="preserve">Geometry, Topology and Physics</w:t>
      </w:r>
      <w:r>
        <w:t xml:space="preserve">, 2nd ed. CRC Press, 2003.</w:t>
      </w:r>
    </w:p>
    <w:p>
      <w:pPr>
        <w:pStyle w:val="BodyText"/>
      </w:pPr>
      <w:r>
        <w:t xml:space="preserve">M. Goresky and R. MacPherson,</w:t>
      </w:r>
      <w:r>
        <w:t xml:space="preserve"> </w:t>
      </w:r>
      <w:r>
        <w:rPr>
          <w:i/>
          <w:iCs/>
        </w:rPr>
        <w:t xml:space="preserve">Stratified Morse Theory</w:t>
      </w:r>
      <w:r>
        <w:t xml:space="preserve">. Springer, 1988.</w:t>
      </w:r>
    </w:p>
    <w:p>
      <w:pPr>
        <w:pStyle w:val="BodyText"/>
      </w:pPr>
      <w:r>
        <w:t xml:space="preserve">E. Noether,</w:t>
      </w:r>
      <w:r>
        <w:t xml:space="preserve"> </w:t>
      </w:r>
      <w:r>
        <w:t xml:space="preserve">“Invariante Variationsprobleme,”</w:t>
      </w:r>
      <w:r>
        <w:t xml:space="preserve"> </w:t>
      </w:r>
      <w:r>
        <w:rPr>
          <w:i/>
          <w:iCs/>
        </w:rPr>
        <w:t xml:space="preserve">Nachrichten von der Gesellschaft der Wissenschaften zu Göttingen</w:t>
      </w:r>
      <w:r>
        <w:t xml:space="preserve">, pp. 235–257, 1918.</w:t>
      </w:r>
    </w:p>
    <w:p>
      <w:pPr>
        <w:pStyle w:val="BodyText"/>
      </w:pPr>
      <w:r>
        <w:t xml:space="preserve">I. Kant,</w:t>
      </w:r>
      <w:r>
        <w:t xml:space="preserve"> </w:t>
      </w:r>
      <w:r>
        <w:rPr>
          <w:i/>
          <w:iCs/>
        </w:rPr>
        <w:t xml:space="preserve">Groundwork of the Metaphysics of Morals</w:t>
      </w:r>
      <w:r>
        <w:t xml:space="preserve">, 1785.</w:t>
      </w:r>
    </w:p>
    <w:p>
      <w:pPr>
        <w:pStyle w:val="BodyText"/>
      </w:pPr>
      <w:r>
        <w:t xml:space="preserve">J. Rawls,</w:t>
      </w:r>
      <w:r>
        <w:t xml:space="preserve"> </w:t>
      </w:r>
      <w:r>
        <w:rPr>
          <w:i/>
          <w:iCs/>
        </w:rPr>
        <w:t xml:space="preserve">A Theory of Justice</w:t>
      </w:r>
      <w:r>
        <w:t xml:space="preserve">. Harvard University Press, 1971.</w:t>
      </w:r>
    </w:p>
    <w:p>
      <w:pPr>
        <w:pStyle w:val="BodyText"/>
      </w:pPr>
      <w:r>
        <w:t xml:space="preserve">A. Sen,</w:t>
      </w:r>
      <w:r>
        <w:t xml:space="preserve"> </w:t>
      </w:r>
      <w:r>
        <w:rPr>
          <w:i/>
          <w:iCs/>
        </w:rPr>
        <w:t xml:space="preserve">Development as Freedom</w:t>
      </w:r>
      <w:r>
        <w:t xml:space="preserve">. Oxford University Press, 1999.</w:t>
      </w:r>
    </w:p>
    <w:p>
      <w:pPr>
        <w:pStyle w:val="BodyText"/>
      </w:pPr>
      <w:r>
        <w:t xml:space="preserve">K. J. Arrow,</w:t>
      </w:r>
      <w:r>
        <w:t xml:space="preserve"> </w:t>
      </w:r>
      <w:r>
        <w:rPr>
          <w:i/>
          <w:iCs/>
        </w:rPr>
        <w:t xml:space="preserve">Social Choice and Individual Values</w:t>
      </w:r>
      <w:r>
        <w:t xml:space="preserve">. Wiley, 1951.</w:t>
      </w:r>
    </w:p>
    <w:p>
      <w:pPr>
        <w:pStyle w:val="BodyText"/>
      </w:pPr>
      <w:r>
        <w:t xml:space="preserve">C. S. Peirce,</w:t>
      </w:r>
      <w:r>
        <w:t xml:space="preserve"> </w:t>
      </w:r>
      <w:r>
        <w:t xml:space="preserve">“How to Make Our Ideas Clear,”</w:t>
      </w:r>
      <w:r>
        <w:t xml:space="preserve"> </w:t>
      </w:r>
      <w:r>
        <w:rPr>
          <w:i/>
          <w:iCs/>
        </w:rPr>
        <w:t xml:space="preserve">Popular Science Monthly</w:t>
      </w:r>
      <w:r>
        <w:t xml:space="preserve">, vol. 12, pp. 286–302, 1878.</w:t>
      </w:r>
    </w:p>
    <w:p>
      <w:pPr>
        <w:pStyle w:val="BodyText"/>
      </w:pPr>
      <w:r>
        <w:t xml:space="preserve">P. Christiano et al.,</w:t>
      </w:r>
      <w:r>
        <w:t xml:space="preserve"> </w:t>
      </w:r>
      <w:r>
        <w:t xml:space="preserve">“Deep reinforcement learning from human feedback,”</w:t>
      </w:r>
      <w:r>
        <w:t xml:space="preserve"> </w:t>
      </w:r>
      <w:r>
        <w:rPr>
          <w:i/>
          <w:iCs/>
        </w:rPr>
        <w:t xml:space="preserve">Advances in Neural Information Processing Systems</w:t>
      </w:r>
      <w:r>
        <w:t xml:space="preserve">, 2017.</w:t>
      </w:r>
    </w:p>
    <w:p>
      <w:pPr>
        <w:pStyle w:val="BodyText"/>
      </w:pPr>
      <w:r>
        <w:t xml:space="preserve">P. Bourque and R. E. Fairley, Eds.,</w:t>
      </w:r>
      <w:r>
        <w:t xml:space="preserve"> </w:t>
      </w:r>
      <w:r>
        <w:rPr>
          <w:i/>
          <w:iCs/>
        </w:rPr>
        <w:t xml:space="preserve">SWEBOK: Guide to the Software Engineering Body of Knowledge</w:t>
      </w:r>
      <w:r>
        <w:t xml:space="preserve">, v3.0. IEEE Computer Society, 2014.</w:t>
      </w:r>
    </w:p>
    <w:p>
      <w:pPr>
        <w:pStyle w:val="BodyText"/>
      </w:pPr>
      <w:r>
        <w:t xml:space="preserve">S. Russell,</w:t>
      </w:r>
      <w:r>
        <w:t xml:space="preserve"> </w:t>
      </w:r>
      <w:r>
        <w:rPr>
          <w:i/>
          <w:iCs/>
        </w:rPr>
        <w:t xml:space="preserve">Human Compatible: Artificial Intelligence and the Problem of Control</w:t>
      </w:r>
      <w:r>
        <w:t xml:space="preserve">. Viking, 2019.</w:t>
      </w:r>
    </w:p>
    <w:bookmarkEnd w:id="128"/>
    <w:bookmarkEnd w:id="1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github.com/ahb-sjsu/erisml-lib" TargetMode="External" /></Relationships>
</file>

<file path=word/_rels/footnotes.xml.rels><?xml version="1.0" encoding="UTF-8"?><Relationships xmlns="http://schemas.openxmlformats.org/package/2006/relationships"><Relationship Type="http://schemas.openxmlformats.org/officeDocument/2006/relationships/hyperlink" Id="rId12" Target="https://github.com/ahb-sjsu/erisml-li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2026-03-05T06:42:23Z</dcterms:created>
  <dcterms:modified xsi:type="dcterms:W3CDTF">2026-03-05T06:42:23Z</dcterms:modified>
</cp:coreProperties>
</file>

<file path=docProps/custom.xml><?xml version="1.0" encoding="utf-8"?>
<Properties xmlns="http://schemas.openxmlformats.org/officeDocument/2006/custom-properties" xmlns:vt="http://schemas.openxmlformats.org/officeDocument/2006/docPropsVTypes"/>
</file>