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Editor-in-Chief</w:t>
      </w:r>
      <w:r>
        <w:br/>
      </w:r>
      <w:r>
        <w:rPr>
          <w:i/>
          <w:iCs/>
        </w:rPr>
        <w:t xml:space="preserve">Journal of Medical Ethics</w:t>
      </w:r>
      <w:r>
        <w:br/>
      </w:r>
      <w:r>
        <w:t xml:space="preserve">BMJ Publishing Group</w:t>
      </w:r>
    </w:p>
    <w:p>
      <w:pPr>
        <w:pStyle w:val="BodyText"/>
      </w:pPr>
      <w:r>
        <w:t xml:space="preserve">Dear Editor,</w:t>
      </w:r>
    </w:p>
    <w:p>
      <w:pPr>
        <w:pStyle w:val="BodyText"/>
      </w:pPr>
      <w:r>
        <w:t xml:space="preserve">I am pleased to submit the manuscript</w:t>
      </w:r>
      <w:r>
        <w:t xml:space="preserve"> </w:t>
      </w:r>
      <w:r>
        <w:t xml:space="preserve">“Geometric Clinical Ethics: Medical Decision-Making as Pathfinding on the Moral Manifold, and the Mathematical Structure of Moral Injury”</w:t>
      </w:r>
      <w:r>
        <w:t xml:space="preserve"> </w:t>
      </w:r>
      <w:r>
        <w:t xml:space="preserve">for consideration as an Extended Essay in the</w:t>
      </w:r>
      <w:r>
        <w:t xml:space="preserve"> </w:t>
      </w:r>
      <w:r>
        <w:rPr>
          <w:i/>
          <w:iCs/>
        </w:rPr>
        <w:t xml:space="preserve">Journal of Medical Ethics</w:t>
      </w:r>
      <w:r>
        <w:t xml:space="preserve">.</w:t>
      </w:r>
    </w:p>
    <w:p>
      <w:pPr>
        <w:pStyle w:val="BodyText"/>
      </w:pPr>
      <w:r>
        <w:t xml:space="preserve">The paper provides the mathematical framework that clinical ethics has lacked. It constructs a nine-dimensional clinical decision complex on which clinical decisions are pathfinding problems, models the clinician’s decision as</w:t>
      </w:r>
      <w:r>
        <w:t xml:space="preserve"> </w:t>
      </w:r>
      <m:oMath>
        <m:sSup>
          <m:e>
            <m:r>
              <m:t>A</m:t>
            </m:r>
          </m:e>
          <m:sup>
            <m:r>
              <m:rPr>
                <m:sty m:val="p"/>
              </m:rPr>
              <m:t>*</m:t>
            </m:r>
          </m:sup>
        </m:sSup>
      </m:oMath>
      <w:r>
        <w:t xml:space="preserve"> </w:t>
      </w:r>
      <w:r>
        <w:t xml:space="preserve">search with evidence-based medicine as the accumulated cost and clinical wisdom as the heuristic, and identifies the minimum-cost path—the clinical geodesic—as the replacement for scalar QALY optimization.</w:t>
      </w:r>
    </w:p>
    <w:p>
      <w:pPr>
        <w:pStyle w:val="BodyText"/>
      </w:pPr>
      <w:r>
        <w:t xml:space="preserve">The paper makes six principal contributions:</w:t>
      </w:r>
    </w:p>
    <w:p>
      <w:pPr>
        <w:numPr>
          <w:ilvl w:val="0"/>
          <w:numId w:val="1001"/>
        </w:numPr>
      </w:pPr>
      <w:r>
        <w:rPr>
          <w:b/>
          <w:bCs/>
        </w:rPr>
        <w:t xml:space="preserve">Principlism as geometry:</w:t>
      </w:r>
      <w:r>
        <w:t xml:space="preserve"> </w:t>
      </w:r>
      <w:r>
        <w:t xml:space="preserve">Beauchamp and Childress’s four principles are dimensions of the clinical manifold; conflicts between them are resolved by the metric, not by ad hoc balancing.</w:t>
      </w:r>
    </w:p>
    <w:p>
      <w:pPr>
        <w:numPr>
          <w:ilvl w:val="0"/>
          <w:numId w:val="1001"/>
        </w:numPr>
      </w:pPr>
      <w:r>
        <w:rPr>
          <w:b/>
          <w:bCs/>
        </w:rPr>
        <w:t xml:space="preserve">QALY irrecoverability:</w:t>
      </w:r>
      <w:r>
        <w:t xml:space="preserve"> </w:t>
      </w:r>
      <w:r>
        <w:t xml:space="preserve">A formal proof that scalar projection destroys irrecoverable moral information, with a precise characterization of when QALY analysis is and is not adequate.</w:t>
      </w:r>
    </w:p>
    <w:p>
      <w:pPr>
        <w:numPr>
          <w:ilvl w:val="0"/>
          <w:numId w:val="1001"/>
        </w:numPr>
      </w:pPr>
      <w:r>
        <w:rPr>
          <w:b/>
          <w:bCs/>
        </w:rPr>
        <w:t xml:space="preserve">Moral injury as forced boundary crossing:</w:t>
      </w:r>
      <w:r>
        <w:t xml:space="preserve"> </w:t>
      </w:r>
      <w:r>
        <w:t xml:space="preserve">The first mathematical characterization of moral injury, structurally distinct from burnout, with a predictive Moral Injury Index that enables prospective evaluation of institutional policies.</w:t>
      </w:r>
    </w:p>
    <w:p>
      <w:pPr>
        <w:numPr>
          <w:ilvl w:val="0"/>
          <w:numId w:val="1001"/>
        </w:numPr>
      </w:pPr>
      <w:r>
        <w:rPr>
          <w:b/>
          <w:bCs/>
        </w:rPr>
        <w:t xml:space="preserve">Informed consent as gauge invariance:</w:t>
      </w:r>
      <w:r>
        <w:t xml:space="preserve"> </w:t>
      </w:r>
      <w:r>
        <w:t xml:space="preserve">A functional test of consent validity—does the patient’s decision survive reframing?—that goes beyond the legal checklist.</w:t>
      </w:r>
    </w:p>
    <w:p>
      <w:pPr>
        <w:numPr>
          <w:ilvl w:val="0"/>
          <w:numId w:val="1001"/>
        </w:numPr>
      </w:pPr>
      <w:r>
        <w:rPr>
          <w:b/>
          <w:bCs/>
        </w:rPr>
        <w:t xml:space="preserve">Geometric triage:</w:t>
      </w:r>
      <w:r>
        <w:t xml:space="preserve"> </w:t>
      </w:r>
      <w:r>
        <w:t xml:space="preserve">Triage as constrained multi-agent pathfinding, with a theorem predicting when utilitarian and manifold-optimal triage diverge.</w:t>
      </w:r>
    </w:p>
    <w:p>
      <w:pPr>
        <w:numPr>
          <w:ilvl w:val="0"/>
          <w:numId w:val="1001"/>
        </w:numPr>
      </w:pPr>
      <w:r>
        <w:rPr>
          <w:b/>
          <w:bCs/>
        </w:rPr>
        <w:t xml:space="preserve">The clinical Bond Index:</w:t>
      </w:r>
      <w:r>
        <w:t xml:space="preserve"> </w:t>
      </w:r>
      <w:r>
        <w:t xml:space="preserve">A quantitative measure of structural healthcare injustice, enabling evidence-based health equity policy.</w:t>
      </w:r>
    </w:p>
    <w:p>
      <w:pPr>
        <w:pStyle w:val="FirstParagraph"/>
      </w:pPr>
      <w:r>
        <w:t xml:space="preserve">The framework generates six falsifiable predictions about clinician moral distress, consent quality, triage resistance, and health equity that differ from predictions of standard bioethics and QALY-based health economics.</w:t>
      </w:r>
    </w:p>
    <w:p>
      <w:pPr>
        <w:pStyle w:val="BodyText"/>
      </w:pPr>
      <w:r>
        <w:t xml:space="preserve">This work is relevant to the</w:t>
      </w:r>
      <w:r>
        <w:t xml:space="preserve"> </w:t>
      </w:r>
      <w:r>
        <w:rPr>
          <w:i/>
          <w:iCs/>
        </w:rPr>
        <w:t xml:space="preserve">Journal of Medical Ethics</w:t>
      </w:r>
      <w:r>
        <w:t xml:space="preserve"> </w:t>
      </w:r>
      <w:r>
        <w:t xml:space="preserve">because it provides a unified mathematical foundation for clinical ethical reasoning that connects principlism, moral injury research, informed consent theory, triage ethics, and health equity measurement—domains that have been addressed separately in the clinical ethics literature.</w:t>
      </w:r>
    </w:p>
    <w:p>
      <w:pPr>
        <w:pStyle w:val="BodyText"/>
      </w:pPr>
      <w:r>
        <w:t xml:space="preserve">The manuscript has not been published previously and is not under consideration elsewhere. No human participants were involved; this is a theoretical paper. The parent framework is publicly available under the MIT open-source licence.</w:t>
      </w:r>
    </w:p>
    <w:p>
      <w:pPr>
        <w:pStyle w:val="BodyText"/>
      </w:pPr>
      <w:r>
        <w:t xml:space="preserve">Generative AI tools (Claude, Anthropic) were used for manuscript preparation and formatting; all intellectual content is the author’s own.</w:t>
      </w:r>
    </w:p>
    <w:p>
      <w:pPr>
        <w:pStyle w:val="BodyText"/>
      </w:pPr>
      <w:r>
        <w:t xml:space="preserve">Thank you for considering this submission.</w:t>
      </w:r>
    </w:p>
    <w:p>
      <w:pPr>
        <w:pStyle w:val="BodyText"/>
      </w:pPr>
      <w:r>
        <w:t xml:space="preserve">Sincerely,</w:t>
      </w:r>
      <w:r>
        <w:br/>
      </w:r>
      <w:r>
        <w:t xml:space="preserve">Andrew H. Bond</w:t>
      </w:r>
      <w:r>
        <w:br/>
      </w:r>
      <w:r>
        <w:t xml:space="preserve">Senior Lecturer, Department of Computer Engineering</w:t>
      </w:r>
      <w:r>
        <w:br/>
      </w:r>
      <w:r>
        <w:t xml:space="preserve">San José State University</w:t>
      </w:r>
      <w:r>
        <w:br/>
      </w:r>
      <w:hyperlink r:id="rId9">
        <w:r>
          <w:rPr>
            <w:rStyle w:val="Hyperlink"/>
          </w:rPr>
          <w:t xml:space="preserve">andrew.bond@sjsu.edu</w:t>
        </w:r>
      </w:hyperlink>
      <w:r>
        <w:br/>
      </w:r>
      <w:r>
        <w:t xml:space="preserve">ORCID: 0009-0003-2599-6158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ndrew.bond@sjsu.edu" TargetMode="External" /></Relationships>
</file>

<file path=word/_rels/footnotes.xml.rels><?xml version="1.0" encoding="UTF-8"?><Relationships xmlns="http://schemas.openxmlformats.org/package/2006/relationships"><Relationship Type="http://schemas.openxmlformats.org/officeDocument/2006/relationships/hyperlink" Id="rId9" Target="mailto:andrew.bond@sjs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2026-03-06T09:06:31Z</dcterms:created>
  <dcterms:modified xsi:type="dcterms:W3CDTF">2026-03-06T09:06:31Z</dcterms:modified>
</cp:coreProperties>
</file>

<file path=docProps/custom.xml><?xml version="1.0" encoding="utf-8"?>
<Properties xmlns="http://schemas.openxmlformats.org/officeDocument/2006/custom-properties" xmlns:vt="http://schemas.openxmlformats.org/officeDocument/2006/docPropsVTypes"/>
</file>