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0DA1" w14:textId="77777777" w:rsidR="00002606" w:rsidRDefault="00000000">
      <w:pPr>
        <w:pStyle w:val="FirstParagraph"/>
      </w:pPr>
      <w:r>
        <w:t xml:space="preserve"> Editor-in-Chief</w:t>
      </w:r>
      <w:r>
        <w:br/>
      </w:r>
      <w:r>
        <w:rPr>
          <w:i/>
          <w:iCs/>
        </w:rPr>
        <w:t>IEEE Transactions on Computational Social Systems</w:t>
      </w:r>
    </w:p>
    <w:p w14:paraId="0846A76B" w14:textId="77777777" w:rsidR="00002606" w:rsidRDefault="00000000">
      <w:pPr>
        <w:pStyle w:val="BodyText"/>
      </w:pPr>
      <w:r>
        <w:t>Dear Editor,</w:t>
      </w:r>
    </w:p>
    <w:p w14:paraId="199163C1" w14:textId="77777777" w:rsidR="00002606" w:rsidRDefault="00000000">
      <w:pPr>
        <w:pStyle w:val="BodyText"/>
      </w:pPr>
      <w:r>
        <w:t xml:space="preserve">I am pleased to submit the manuscript “Geometric Prediction of Economic Behavior: Cross-Domain Validation Across Game Theory and Prospect Theory” for consideration in </w:t>
      </w:r>
      <w:r>
        <w:rPr>
          <w:i/>
          <w:iCs/>
        </w:rPr>
        <w:t>IEEE Transactions on Computational Social Systems</w:t>
      </w:r>
      <w:r>
        <w:t>.</w:t>
      </w:r>
    </w:p>
    <w:p w14:paraId="79AC9935" w14:textId="77777777" w:rsidR="00002606" w:rsidRDefault="00000000">
      <w:pPr>
        <w:pStyle w:val="BodyText"/>
      </w:pPr>
      <w:r>
        <w:t>The paper demonstrates that a geometric framework—modeling economic decisions as pathfinding on a nine-dimensional manifold with Mahalanobis distance as the cost metric—achieves quantitative prediction of human economic behavior across two traditionally separate literatures: strategic game theory and individual prospect theory. A single three-parameter covariance matrix, calibrated on bargaining game data via automated structural fuzzing, predicts all 16 heterogeneous targets within tolerance (MAE = 2.70%, 16/16 pass), including six prospect theory targets that are genuine out-of-sample predictions.</w:t>
      </w:r>
    </w:p>
    <w:p w14:paraId="6D7E8C00" w14:textId="77777777" w:rsidR="00002606" w:rsidRDefault="00000000">
      <w:pPr>
        <w:pStyle w:val="BodyText"/>
      </w:pPr>
      <w:r>
        <w:t>The paper makes five principal contributions:</w:t>
      </w:r>
    </w:p>
    <w:p w14:paraId="2ACDBEAF" w14:textId="77777777" w:rsidR="00002606" w:rsidRDefault="00000000">
      <w:pPr>
        <w:numPr>
          <w:ilvl w:val="0"/>
          <w:numId w:val="2"/>
        </w:numPr>
      </w:pPr>
      <w:r>
        <w:rPr>
          <w:b/>
          <w:bCs/>
        </w:rPr>
        <w:t>Cross-domain unification:</w:t>
      </w:r>
      <w:r>
        <w:t xml:space="preserve"> A single calibrated metric predicts both strategic interaction (ultimatum, dictator, public goods games) and individual choice under risk (Kahneman–Tversky prospect theory problems), with no domain-specific recalibration.</w:t>
      </w:r>
    </w:p>
    <w:p w14:paraId="3218FB98" w14:textId="77777777" w:rsidR="00002606" w:rsidRDefault="00000000">
      <w:pPr>
        <w:numPr>
          <w:ilvl w:val="0"/>
          <w:numId w:val="2"/>
        </w:numPr>
      </w:pPr>
      <w:r>
        <w:rPr>
          <w:b/>
          <w:bCs/>
        </w:rPr>
        <w:t>16/16 prediction targets at 2.70% MAE:</w:t>
      </w:r>
      <w:r>
        <w:t xml:space="preserve"> The model passes all targets with a degrees-of-freedom ratio of 5.3:1 (16 targets, 3 parameters), exceeding the standard threshold for genuine prediction.</w:t>
      </w:r>
    </w:p>
    <w:p w14:paraId="0378BCA8" w14:textId="77777777" w:rsidR="00002606" w:rsidRDefault="00000000">
      <w:pPr>
        <w:numPr>
          <w:ilvl w:val="0"/>
          <w:numId w:val="2"/>
        </w:numPr>
      </w:pPr>
      <w:r>
        <w:rPr>
          <w:b/>
          <w:bCs/>
        </w:rPr>
        <w:t>Money-zero finding:</w:t>
      </w:r>
      <w:r>
        <w:t xml:space="preserve"> The monetary dimension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) has zero sensitivity—removing it does not change predictions. Economic behavior is driven by social, identity, and epistemic dimensions, not money.</w:t>
      </w:r>
    </w:p>
    <w:p w14:paraId="49EA229E" w14:textId="77777777" w:rsidR="00002606" w:rsidRDefault="00000000">
      <w:pPr>
        <w:numPr>
          <w:ilvl w:val="0"/>
          <w:numId w:val="2"/>
        </w:numPr>
      </w:pPr>
      <w:r>
        <w:rPr>
          <w:b/>
          <w:bCs/>
        </w:rPr>
        <w:t>Systematic baseline comparison:</w:t>
      </w:r>
      <w:r>
        <w:t xml:space="preserve"> Direct comparison against Cumulative Prospect Theory (6 parameters), Fehr–Schmidt inequity aversion (2+ parameters), and expected-value maximization (0 parameters) on a shared target set, showing the geometric model achieves higher accuracy with fewer parameters and broader coverage.</w:t>
      </w:r>
    </w:p>
    <w:p w14:paraId="363ED9F8" w14:textId="77777777" w:rsidR="00002606" w:rsidRDefault="00000000">
      <w:pPr>
        <w:numPr>
          <w:ilvl w:val="0"/>
          <w:numId w:val="2"/>
        </w:numPr>
      </w:pPr>
      <w:r>
        <w:rPr>
          <w:b/>
          <w:bCs/>
        </w:rPr>
        <w:t>Cost-dependent temperature:</w:t>
      </w:r>
      <w:r>
        <w:t xml:space="preserve"> A principled mechanism linking population-level choice heterogeneity to the geometric cost gap between options, resolving the Allais paradox within the framework.</w:t>
      </w:r>
    </w:p>
    <w:p w14:paraId="243CDF61" w14:textId="77777777" w:rsidR="00002606" w:rsidRDefault="00000000">
      <w:pPr>
        <w:pStyle w:val="FirstParagraph"/>
      </w:pPr>
      <w:r>
        <w:t xml:space="preserve">This work is relevant to </w:t>
      </w:r>
      <w:r>
        <w:rPr>
          <w:i/>
          <w:iCs/>
        </w:rPr>
        <w:t>IEEE TCSS</w:t>
      </w:r>
      <w:r>
        <w:t xml:space="preserve"> because it provides a computational framework for predicting social behavior that unifies game-theoretic and decision-theoretic phenomena, validated against published experimental data from multiple independent research groups.</w:t>
      </w:r>
    </w:p>
    <w:p w14:paraId="4E524F60" w14:textId="77777777" w:rsidR="00002606" w:rsidRDefault="00000000">
      <w:pPr>
        <w:pStyle w:val="BodyText"/>
      </w:pPr>
      <w:r>
        <w:lastRenderedPageBreak/>
        <w:t>The manuscript has not been published previously and is not under consideration elsewhere. No human participants were involved; this is a computational modeling paper using published experimental data. The software implementation is publicly available under the MIT open-source license.</w:t>
      </w:r>
    </w:p>
    <w:p w14:paraId="46BBE620" w14:textId="77777777" w:rsidR="00002606" w:rsidRDefault="00000000">
      <w:pPr>
        <w:pStyle w:val="BodyText"/>
      </w:pPr>
      <w:r>
        <w:t>Generative AI tools (Claude, Anthropic) were used for manuscript preparation and formatting; all intellectual content, mathematical framework, and experimental design are the author’s own.</w:t>
      </w:r>
    </w:p>
    <w:p w14:paraId="317821B5" w14:textId="77777777" w:rsidR="00002606" w:rsidRDefault="00000000">
      <w:pPr>
        <w:pStyle w:val="BodyText"/>
      </w:pPr>
      <w:r>
        <w:t>Thank you for considering this submission.</w:t>
      </w:r>
    </w:p>
    <w:p w14:paraId="68B1EC8D" w14:textId="0A16629D" w:rsidR="00002606" w:rsidRDefault="00000000">
      <w:pPr>
        <w:pStyle w:val="BodyText"/>
      </w:pPr>
      <w:r>
        <w:t>Sincerely,</w:t>
      </w:r>
      <w:r>
        <w:br/>
        <w:t>Andrew H. Bond</w:t>
      </w:r>
      <w:r w:rsidR="00F03205">
        <w:t>, Sr. Member, IEEE</w:t>
      </w:r>
      <w:r>
        <w:br/>
        <w:t>Senior Lecturer, Department of Computer Engineering</w:t>
      </w:r>
      <w:r>
        <w:br/>
        <w:t>San José State University</w:t>
      </w:r>
      <w:r>
        <w:br/>
      </w:r>
      <w:hyperlink r:id="rId5">
        <w:r>
          <w:rPr>
            <w:rStyle w:val="Hyperlink"/>
          </w:rPr>
          <w:t>andrew.bond@sjsu.edu</w:t>
        </w:r>
      </w:hyperlink>
      <w:r>
        <w:br/>
        <w:t>ORCID: 0009-0003-2599-6158</w:t>
      </w:r>
    </w:p>
    <w:sectPr w:rsidR="0000260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C9E4F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2F5AE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829053655">
    <w:abstractNumId w:val="0"/>
  </w:num>
  <w:num w:numId="2" w16cid:durableId="6038104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2606"/>
    <w:rsid w:val="00002606"/>
    <w:rsid w:val="00264143"/>
    <w:rsid w:val="00F0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50D59"/>
  <w15:docId w15:val="{540DBD2E-1BCB-4BA6-B083-8E10B5C3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drew.bond@sjs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Bond</cp:lastModifiedBy>
  <cp:revision>2</cp:revision>
  <dcterms:created xsi:type="dcterms:W3CDTF">2026-03-13T04:02:00Z</dcterms:created>
  <dcterms:modified xsi:type="dcterms:W3CDTF">2026-03-13T04:04:00Z</dcterms:modified>
</cp:coreProperties>
</file>