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f1a6a25b6e0604fb4180a5092717d4a9efcdfad"/>
    <w:p>
      <w:pPr>
        <w:pStyle w:val="Heading1"/>
      </w:pPr>
      <w:r>
        <w:t xml:space="preserve">Empirical Finding: Order Effects in LLM Moral Judgment</w:t>
      </w:r>
    </w:p>
    <w:p>
      <w:pPr>
        <w:pStyle w:val="FirstParagraph"/>
      </w:pPr>
      <w:r>
        <w:rPr>
          <w:b/>
          <w:bCs/>
        </w:rPr>
        <w:t xml:space="preserve">TL;DR</w:t>
      </w:r>
      <w:r>
        <w:t xml:space="preserve">: We ran ~33,000 API calls measuring whether the order in which you ask an LLM about moral frameworks affects its judgments. It does — significantly, and with interpretable structure.</w:t>
      </w:r>
    </w:p>
    <w:p>
      <w:r>
        <w:pict>
          <v:rect style="width:0;height:1.5pt" o:hralign="center" o:hrstd="t" o:hr="t"/>
        </w:pict>
      </w:r>
    </w:p>
    <w:bookmarkStart w:id="9" w:name="the-experiment"/>
    <w:p>
      <w:pPr>
        <w:pStyle w:val="Heading2"/>
      </w:pPr>
      <w:r>
        <w:t xml:space="preserve">The Experiment</w:t>
      </w:r>
    </w:p>
    <w:p>
      <w:pPr>
        <w:pStyle w:val="FirstParagraph"/>
      </w:pPr>
      <w:r>
        <w:t xml:space="preserve">When evaluating a moral scenario, does it matter whether you first ask</w:t>
      </w:r>
      <w:r>
        <w:t xml:space="preserve"> </w:t>
      </w:r>
      <w:r>
        <w:t xml:space="preserve">“was there harm?”</w:t>
      </w:r>
      <w:r>
        <w:t xml:space="preserve"> </w:t>
      </w:r>
      <w:r>
        <w:t xml:space="preserve">then</w:t>
      </w:r>
      <w:r>
        <w:t xml:space="preserve"> </w:t>
      </w:r>
      <w:r>
        <w:t xml:space="preserve">“was there intent?”</w:t>
      </w:r>
      <w:r>
        <w:t xml:space="preserve"> </w:t>
      </w:r>
      <w:r>
        <w:t xml:space="preserve">— versus the reverse order?</w:t>
      </w:r>
    </w:p>
    <w:p>
      <w:pPr>
        <w:pStyle w:val="BodyText"/>
      </w:pPr>
      <w:r>
        <w:t xml:space="preserve">Classical probability says no. Independent judgments shouldn’t depend on measurement order.</w:t>
      </w:r>
    </w:p>
    <w:p>
      <w:pPr>
        <w:pStyle w:val="BodyText"/>
      </w:pPr>
      <w:r>
        <w:t xml:space="preserve">We tested this systematically:</w:t>
      </w:r>
      <w:r>
        <w:t xml:space="preserve"> </w:t>
      </w:r>
      <w:r>
        <w:t xml:space="preserve">- 8 moral axes (harm, intent, duty, rights, fairness, virtue, consent, liberty)</w:t>
      </w:r>
      <w:r>
        <w:t xml:space="preserve"> </w:t>
      </w:r>
      <w:r>
        <w:t xml:space="preserve">- 6 scenarios (trolley, whistleblower, lying to murderer, broken promise, rescue, triage)</w:t>
      </w:r>
      <w:r>
        <w:t xml:space="preserve"> </w:t>
      </w:r>
      <w:r>
        <w:t xml:space="preserve">- 56 ordered pairs, 50 trials each</w:t>
      </w:r>
      <w:r>
        <w:t xml:space="preserve"> </w:t>
      </w:r>
      <w:r>
        <w:t xml:space="preserve">- Total: 16,800 measurements</w:t>
      </w:r>
    </w:p>
    <w:bookmarkEnd w:id="9"/>
    <w:bookmarkStart w:id="10" w:name="the-result"/>
    <w:p>
      <w:pPr>
        <w:pStyle w:val="Heading2"/>
      </w:pPr>
      <w:r>
        <w:t xml:space="preserve">The Result</w:t>
      </w:r>
    </w:p>
    <w:p>
      <w:pPr>
        <w:pStyle w:val="FirstParagraph"/>
      </w:pPr>
      <w:r>
        <w:rPr>
          <w:b/>
          <w:bCs/>
        </w:rPr>
        <w:t xml:space="preserve">55% of axis pairs (31/56) showed statistically significant order effects.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Asking about</w:t>
      </w:r>
      <w:r>
        <w:t xml:space="preserve"> </w:t>
      </w:r>
      <w:r>
        <w:t xml:space="preserve">“rights”</w:t>
      </w:r>
      <w:r>
        <w:t xml:space="preserve"> </w:t>
      </w:r>
      <w:r>
        <w:t xml:space="preserve">first decreases subsequent</w:t>
      </w:r>
      <w:r>
        <w:t xml:space="preserve"> </w:t>
      </w:r>
      <w:r>
        <w:t xml:space="preserve">“duty”</w:t>
      </w:r>
      <w:r>
        <w:t xml:space="preserve"> </w:t>
      </w:r>
      <w:r>
        <w:t xml:space="preserve">judgments by 38.5 percentage points</w:t>
      </w:r>
      <w:r>
        <w:t xml:space="preserve"> </w:t>
      </w:r>
      <w:r>
        <w:t xml:space="preserve">- Asking about</w:t>
      </w:r>
      <w:r>
        <w:t xml:space="preserve"> </w:t>
      </w:r>
      <w:r>
        <w:t xml:space="preserve">“virtue”</w:t>
      </w:r>
      <w:r>
        <w:t xml:space="preserve"> </w:t>
      </w:r>
      <w:r>
        <w:t xml:space="preserve">first increases subsequent</w:t>
      </w:r>
      <w:r>
        <w:t xml:space="preserve"> </w:t>
      </w:r>
      <w:r>
        <w:t xml:space="preserve">“duty”</w:t>
      </w:r>
      <w:r>
        <w:t xml:space="preserve"> </w:t>
      </w:r>
      <w:r>
        <w:t xml:space="preserve">judgments by 33.5 percentage points</w:t>
      </w:r>
      <w:r>
        <w:t xml:space="preserve"> </w:t>
      </w:r>
      <w:r>
        <w:t xml:space="preserve">- Asking about</w:t>
      </w:r>
      <w:r>
        <w:t xml:space="preserve"> </w:t>
      </w:r>
      <w:r>
        <w:t xml:space="preserve">“liberty”</w:t>
      </w:r>
      <w:r>
        <w:t xml:space="preserve"> </w:t>
      </w:r>
      <w:r>
        <w:t xml:space="preserve">first decreases subsequent</w:t>
      </w:r>
      <w:r>
        <w:t xml:space="preserve"> </w:t>
      </w:r>
      <w:r>
        <w:t xml:space="preserve">“rights”</w:t>
      </w:r>
      <w:r>
        <w:t xml:space="preserve"> </w:t>
      </w:r>
      <w:r>
        <w:t xml:space="preserve">judgments by 36.4 percentage points</w:t>
      </w:r>
    </w:p>
    <w:p>
      <w:pPr>
        <w:pStyle w:val="BodyText"/>
      </w:pPr>
      <w:r>
        <w:t xml:space="preserve">These are not small effects. They replicate across scenarios.</w:t>
      </w:r>
    </w:p>
    <w:bookmarkEnd w:id="10"/>
    <w:bookmarkStart w:id="11" w:name="the-structure"/>
    <w:p>
      <w:pPr>
        <w:pStyle w:val="Heading2"/>
      </w:pPr>
      <w:r>
        <w:t xml:space="preserve">The Structure</w:t>
      </w:r>
    </w:p>
    <w:p>
      <w:pPr>
        <w:pStyle w:val="FirstParagraph"/>
      </w:pPr>
      <w:r>
        <w:t xml:space="preserve">We found asymmetric patterns:</w:t>
      </w:r>
    </w:p>
    <w:p>
      <w:pPr>
        <w:pStyle w:val="BodyText"/>
      </w:pPr>
      <w:r>
        <w:rPr>
          <w:b/>
          <w:bCs/>
        </w:rPr>
        <w:t xml:space="preserve">High sensitivity</w:t>
      </w:r>
      <w:r>
        <w:t xml:space="preserve"> </w:t>
      </w:r>
      <w:r>
        <w:t xml:space="preserve">(judgment shifts based on prior questions):</w:t>
      </w:r>
      <w:r>
        <w:t xml:space="preserve"> </w:t>
      </w:r>
      <w:r>
        <w:t xml:space="preserve">- duty, harm, fairness, rights</w:t>
      </w:r>
    </w:p>
    <w:p>
      <w:pPr>
        <w:pStyle w:val="BodyText"/>
      </w:pPr>
      <w:r>
        <w:rPr>
          <w:b/>
          <w:bCs/>
        </w:rPr>
        <w:t xml:space="preserve">High context power</w:t>
      </w:r>
      <w:r>
        <w:t xml:space="preserve"> </w:t>
      </w:r>
      <w:r>
        <w:t xml:space="preserve">(asking this first shifts subsequent judgments):</w:t>
      </w:r>
      <w:r>
        <w:t xml:space="preserve"> </w:t>
      </w:r>
      <w:r>
        <w:t xml:space="preserve">- virtue, fairness, consent, liberty</w:t>
      </w:r>
    </w:p>
    <w:p>
      <w:pPr>
        <w:pStyle w:val="BodyText"/>
      </w:pPr>
      <w:r>
        <w:rPr>
          <w:b/>
          <w:bCs/>
        </w:rPr>
        <w:t xml:space="preserve">Low context power</w:t>
      </w:r>
      <w:r>
        <w:t xml:space="preserve"> </w:t>
      </w:r>
      <w:r>
        <w:t xml:space="preserve">(asking this first doesn’t shift others much):</w:t>
      </w:r>
      <w:r>
        <w:t xml:space="preserve"> </w:t>
      </w:r>
      <w:r>
        <w:t xml:space="preserve">- harm, intent</w:t>
      </w:r>
    </w:p>
    <w:p>
      <w:pPr>
        <w:pStyle w:val="BodyText"/>
      </w:pPr>
      <w:r>
        <w:t xml:space="preserve">The last finding is surprising: harm and intent are morally central, but asking about them first doesn’t shift other judgments. Our interpretation: they’re</w:t>
      </w:r>
      <w:r>
        <w:t xml:space="preserve"> </w:t>
      </w:r>
      <w:r>
        <w:t xml:space="preserve">“pre-collapsed”</w:t>
      </w:r>
      <w:r>
        <w:t xml:space="preserve"> </w:t>
      </w:r>
      <w:r>
        <w:t xml:space="preserve">— already determined by the scenario description before any explicit measurement.</w:t>
      </w:r>
    </w:p>
    <w:bookmarkEnd w:id="11"/>
    <w:bookmarkStart w:id="12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An empirical observation about LLM behavior. The model does not treat moral frameworks as independent evaluations. The order of questioning matters.</w:t>
      </w:r>
    </w:p>
    <w:bookmarkEnd w:id="12"/>
    <w:bookmarkStart w:id="13" w:name="what-this-isnt"/>
    <w:p>
      <w:pPr>
        <w:pStyle w:val="Heading2"/>
      </w:pPr>
      <w:r>
        <w:t xml:space="preserve">What This Isn’t</w:t>
      </w:r>
    </w:p>
    <w:p>
      <w:pPr>
        <w:pStyle w:val="Compact"/>
        <w:numPr>
          <w:ilvl w:val="0"/>
          <w:numId w:val="1001"/>
        </w:numPr>
      </w:pPr>
      <w:r>
        <w:t xml:space="preserve">Proof of consciousness</w:t>
      </w:r>
    </w:p>
    <w:p>
      <w:pPr>
        <w:pStyle w:val="Compact"/>
        <w:numPr>
          <w:ilvl w:val="0"/>
          <w:numId w:val="1001"/>
        </w:numPr>
      </w:pPr>
      <w:r>
        <w:t xml:space="preserve">Proof of</w:t>
      </w:r>
      <w:r>
        <w:t xml:space="preserve"> </w:t>
      </w:r>
      <w:r>
        <w:t xml:space="preserve">“quantum cognition”</w:t>
      </w:r>
    </w:p>
    <w:p>
      <w:pPr>
        <w:pStyle w:val="Compact"/>
        <w:numPr>
          <w:ilvl w:val="0"/>
          <w:numId w:val="1001"/>
        </w:numPr>
      </w:pPr>
      <w:r>
        <w:t xml:space="preserve">A claim about human moral psychology</w:t>
      </w:r>
    </w:p>
    <w:p>
      <w:pPr>
        <w:pStyle w:val="FirstParagraph"/>
      </w:pPr>
      <w:r>
        <w:t xml:space="preserve">We make no strong claims about mechanism. The structure is consistent with several interpretations:</w:t>
      </w:r>
      <w:r>
        <w:t xml:space="preserve"> </w:t>
      </w:r>
      <w:r>
        <w:t xml:space="preserve">1. Prompt sensitivity / attention effects</w:t>
      </w:r>
      <w:r>
        <w:t xml:space="preserve"> </w:t>
      </w:r>
      <w:r>
        <w:t xml:space="preserve">2. Learned patterns from human moral discourse</w:t>
      </w:r>
      <w:r>
        <w:t xml:space="preserve"> </w:t>
      </w:r>
      <w:r>
        <w:t xml:space="preserve">3. Something deeper about how moral concepts relate</w:t>
      </w:r>
    </w:p>
    <w:p>
      <w:pPr>
        <w:pStyle w:val="BodyText"/>
      </w:pPr>
      <w:r>
        <w:t xml:space="preserve">The data doesn’t distinguish between these. What it does establish is that the effect exists, it’s large, and it has structure.</w:t>
      </w:r>
    </w:p>
    <w:bookmarkEnd w:id="13"/>
    <w:bookmarkStart w:id="14" w:name="reproducibility"/>
    <w:p>
      <w:pPr>
        <w:pStyle w:val="Heading2"/>
      </w:pPr>
      <w:r>
        <w:t xml:space="preserve">Reproducibility</w:t>
      </w:r>
    </w:p>
    <w:p>
      <w:pPr>
        <w:pStyle w:val="Compact"/>
        <w:numPr>
          <w:ilvl w:val="0"/>
          <w:numId w:val="1002"/>
        </w:numPr>
      </w:pPr>
      <w:r>
        <w:t xml:space="preserve">Model: Claude Sonnet 4 (claude-sonnet-4-20250514)</w:t>
      </w:r>
    </w:p>
    <w:p>
      <w:pPr>
        <w:pStyle w:val="Compact"/>
        <w:numPr>
          <w:ilvl w:val="0"/>
          <w:numId w:val="1002"/>
        </w:numPr>
      </w:pPr>
      <w:r>
        <w:t xml:space="preserve">All runs via Anthropic Batch API</w:t>
      </w:r>
    </w:p>
    <w:p>
      <w:pPr>
        <w:pStyle w:val="Compact"/>
        <w:numPr>
          <w:ilvl w:val="0"/>
          <w:numId w:val="1002"/>
        </w:numPr>
      </w:pPr>
      <w:r>
        <w:t xml:space="preserve">Pre-registration hashes recorded before analysis</w:t>
      </w:r>
    </w:p>
    <w:p>
      <w:pPr>
        <w:pStyle w:val="Compact"/>
        <w:numPr>
          <w:ilvl w:val="0"/>
          <w:numId w:val="1002"/>
        </w:numPr>
      </w:pPr>
      <w:r>
        <w:t xml:space="preserve">Full data and code available on request</w:t>
      </w:r>
    </w:p>
    <w:bookmarkEnd w:id="14"/>
    <w:bookmarkStart w:id="15" w:name="related-work"/>
    <w:p>
      <w:pPr>
        <w:pStyle w:val="Heading2"/>
      </w:pPr>
      <w:r>
        <w:t xml:space="preserve">Related Work</w:t>
      </w:r>
    </w:p>
    <w:p>
      <w:pPr>
        <w:pStyle w:val="FirstParagraph"/>
      </w:pPr>
      <w:r>
        <w:t xml:space="preserve">Order effects in human judgment are well-documented (Trueblood &amp; Busemeyer, 2011; Pothos &amp; Busemeyer, 2013). Some researchers model these using quantum probability theory. We’re not committed to that interpretation, but our results are consistent with that literature.</w:t>
      </w:r>
    </w:p>
    <w:bookmarkEnd w:id="15"/>
    <w:bookmarkStart w:id="16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3"/>
        </w:numPr>
      </w:pPr>
      <w:r>
        <w:t xml:space="preserve">Replication on other models (GPT-4, Gemini)</w:t>
      </w:r>
    </w:p>
    <w:p>
      <w:pPr>
        <w:pStyle w:val="Compact"/>
        <w:numPr>
          <w:ilvl w:val="0"/>
          <w:numId w:val="1003"/>
        </w:numPr>
      </w:pPr>
      <w:r>
        <w:t xml:space="preserve">Testing whether ambiguous scenarios show different patterns</w:t>
      </w:r>
    </w:p>
    <w:p>
      <w:pPr>
        <w:pStyle w:val="Compact"/>
        <w:numPr>
          <w:ilvl w:val="0"/>
          <w:numId w:val="1003"/>
        </w:numPr>
      </w:pPr>
      <w:r>
        <w:t xml:space="preserve">Formal analysis of the commutator algebra structure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Research conducted December 2025. Total API cost: ~$58.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2025-12-31T09:58:37Z</dcterms:created>
  <dcterms:modified xsi:type="dcterms:W3CDTF">2025-12-31T09:58:37Z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