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25bc520737d70889b0338179dd8b0a2146781f"/>
    <w:p>
      <w:pPr>
        <w:pStyle w:val="Heading1"/>
      </w:pPr>
      <w:r>
        <w:t xml:space="preserve">The Floating Neutral: Endogenous Reference Theory and Moral Reference Without Authority</w:t>
      </w:r>
    </w:p>
    <w:p>
      <w:pPr>
        <w:pStyle w:val="FirstParagraph"/>
      </w:pPr>
      <w:r>
        <w:rPr>
          <w:b/>
          <w:bCs/>
        </w:rPr>
        <w:t xml:space="preserve">Andrew H. Bond</w:t>
      </w:r>
      <w:r>
        <w:t xml:space="preserve"> </w:t>
      </w:r>
      <w:r>
        <w:t xml:space="preserve">San José State University · andrew.bond@sjsu.edu · ORCID 0009-0003-2599-6158</w:t>
      </w:r>
    </w:p>
    <w:p>
      <w:pPr>
        <w:pStyle w:val="BodyText"/>
      </w:pPr>
      <w:r>
        <w:rPr>
          <w:i/>
          <w:iCs/>
        </w:rPr>
        <w:t xml:space="preserve">Draft v0.1 — a metaethical companion to the Geometric Ethics program. Status: working paper.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Metaethical realism and anti-realism share an unexamined assumption: that a moral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— the standard against which actions are judged — requires an</w:t>
      </w:r>
      <w:r>
        <w:t xml:space="preserve"> </w:t>
      </w:r>
      <w:r>
        <w:rPr>
          <w:i/>
          <w:iCs/>
        </w:rPr>
        <w:t xml:space="preserve">anchor</w:t>
      </w:r>
      <w:r>
        <w:t xml:space="preserve">. The realist seeks the anchor in mind-independent binding facts (or in God); the anti-realist, finding no such anchor, concludes there is no determinate moral fact at all, only projection, error, or arbitrary commitment. We reject the shared assumption. Drawing on the behavior of a</w:t>
      </w:r>
      <w:r>
        <w:t xml:space="preserve"> </w:t>
      </w:r>
      <w:r>
        <w:rPr>
          <w:b/>
          <w:bCs/>
        </w:rPr>
        <w:t xml:space="preserve">floating neutral</w:t>
      </w:r>
      <w:r>
        <w:t xml:space="preserve"> </w:t>
      </w:r>
      <w:r>
        <w:t xml:space="preserve">in a polyphase electrical system, we develop</w:t>
      </w:r>
      <w:r>
        <w:t xml:space="preserve"> </w:t>
      </w:r>
      <w:r>
        <w:rPr>
          <w:b/>
          <w:bCs/>
        </w:rPr>
        <w:t xml:space="preserve">Endogenous Reference Theory (ERT)</w:t>
      </w:r>
      <w:r>
        <w:t xml:space="preserve">: the moral reference of a system is a determinate, computable point fixed entirely by the system’s own constituents — its agents and their weighted valuations — with no external anchor and</w:t>
      </w:r>
      <w:r>
        <w:t xml:space="preserve"> </w:t>
      </w:r>
      <w:r>
        <w:rPr>
          <w:i/>
          <w:iCs/>
        </w:rPr>
        <w:t xml:space="preserve">no normative authority</w:t>
      </w:r>
      <w:r>
        <w:t xml:space="preserve">. The reference has a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but issues no</w:t>
      </w:r>
      <w:r>
        <w:t xml:space="preserve"> </w:t>
      </w:r>
      <w:r>
        <w:rPr>
          <w:i/>
          <w:iCs/>
        </w:rPr>
        <w:t xml:space="preserve">commands</w:t>
      </w:r>
      <w:r>
        <w:t xml:space="preserve">. On this view</w:t>
      </w:r>
      <w:r>
        <w:t xml:space="preserve"> </w:t>
      </w:r>
      <w:r>
        <w:t xml:space="preserve">“ought”</w:t>
      </w:r>
      <w:r>
        <w:t xml:space="preserve"> </w:t>
      </w:r>
      <w:r>
        <w:t xml:space="preserve">does not name a binding force transmitted from a higher level; it names</w:t>
      </w:r>
      <w:r>
        <w:t xml:space="preserve"> </w:t>
      </w:r>
      <w:r>
        <w:rPr>
          <w:b/>
          <w:bCs/>
        </w:rPr>
        <w:t xml:space="preserve">displacement</w:t>
      </w:r>
      <w:r>
        <w:t xml:space="preserve"> </w:t>
      </w:r>
      <w:r>
        <w:t xml:space="preserve">from the endogenous reference — a strain, not a decree. ERT makes three contributions the existing literature lacks: (i) a</w:t>
      </w:r>
      <w:r>
        <w:t xml:space="preserve"> </w:t>
      </w:r>
      <w:r>
        <w:rPr>
          <w:i/>
          <w:iCs/>
        </w:rPr>
        <w:t xml:space="preserve">determinate yet anchorless</w:t>
      </w:r>
      <w:r>
        <w:t xml:space="preserve"> </w:t>
      </w:r>
      <w:r>
        <w:t xml:space="preserve">referent, given a closed-form construction (the load-weighted Fréchet mean on a moral manifold, the geometric generalization of Millman’s theorem); (ii) a</w:t>
      </w:r>
      <w:r>
        <w:t xml:space="preserve"> </w:t>
      </w:r>
      <w:r>
        <w:rPr>
          <w:b/>
          <w:bCs/>
        </w:rPr>
        <w:t xml:space="preserve">reflexive control dynamics</w:t>
      </w:r>
      <w:r>
        <w:t xml:space="preserve"> </w:t>
      </w:r>
      <w:r>
        <w:t xml:space="preserve">in which agents re-weight their own valuations and thereby move the reference they are measured against, recasting moral change as feedback rather than convergence toward a fixed target; and (iii) a</w:t>
      </w:r>
      <w:r>
        <w:t xml:space="preserve"> </w:t>
      </w:r>
      <w:r>
        <w:rPr>
          <w:i/>
          <w:iCs/>
        </w:rPr>
        <w:t xml:space="preserve">dissolution</w:t>
      </w:r>
      <w:r>
        <w:t xml:space="preserve"> </w:t>
      </w:r>
      <w:r>
        <w:t xml:space="preserve">rather than a solution of the is/ought problem — the far bank of Hume’s gap is shown to be a mirage of the anchoring assumption. ERT is deflationary about authority and realist about structure. It is also falsifiable, and we state the conditions that would refute it.</w:t>
      </w:r>
    </w:p>
    <w:p>
      <w:r>
        <w:pict>
          <v:rect style="width:0;height:1.5pt" o:hralign="center" o:hrstd="t" o:hr="t"/>
        </w:pict>
      </w:r>
    </w:p>
    <w:bookmarkEnd w:id="9"/>
    <w:bookmarkStart w:id="10" w:name="the-shared-assumption"/>
    <w:p>
      <w:pPr>
        <w:pStyle w:val="Heading2"/>
      </w:pPr>
      <w:r>
        <w:t xml:space="preserve">1. The shared assumption</w:t>
      </w:r>
    </w:p>
    <w:p>
      <w:pPr>
        <w:pStyle w:val="FirstParagraph"/>
      </w:pPr>
      <w:r>
        <w:t xml:space="preserve">Ask what makes an action good and two answers dominate. The</w:t>
      </w:r>
      <w:r>
        <w:t xml:space="preserve"> </w:t>
      </w:r>
      <w:r>
        <w:rPr>
          <w:b/>
          <w:bCs/>
        </w:rPr>
        <w:t xml:space="preserve">realist</w:t>
      </w:r>
      <w:r>
        <w:t xml:space="preserve"> </w:t>
      </w:r>
      <w:r>
        <w:t xml:space="preserve">says: there is a fact of the matter, binding independently of what anyone thinks — perhaps grounded in the nature of reasons, perhaps in God. The</w:t>
      </w:r>
      <w:r>
        <w:t xml:space="preserve"> </w:t>
      </w:r>
      <w:r>
        <w:rPr>
          <w:b/>
          <w:bCs/>
        </w:rPr>
        <w:t xml:space="preserve">anti-realist</w:t>
      </w:r>
      <w:r>
        <w:t xml:space="preserve"> </w:t>
      </w:r>
      <w:r>
        <w:t xml:space="preserve">says: there is no such fact;</w:t>
      </w:r>
      <w:r>
        <w:t xml:space="preserve"> </w:t>
      </w:r>
      <w:r>
        <w:t xml:space="preserve">“good”</w:t>
      </w:r>
      <w:r>
        <w:t xml:space="preserve"> </w:t>
      </w:r>
      <w:r>
        <w:t xml:space="preserve">expresses an attitude, encodes an error, or marks an arbitrary brute commitment that bottoms out a regress (one cannot rank two values without appealing to a third,</w:t>
      </w:r>
      <w:r>
        <w:t xml:space="preserve"> </w:t>
      </w:r>
      <w:r>
        <w:rPr>
          <w:i/>
          <w:iCs/>
        </w:rPr>
        <w:t xml:space="preserve">ad infinitum</w:t>
      </w:r>
      <w:r>
        <w:t xml:space="preserve">).</w:t>
      </w:r>
    </w:p>
    <w:p>
      <w:pPr>
        <w:pStyle w:val="BodyText"/>
      </w:pPr>
      <w:r>
        <w:t xml:space="preserve">These positions look opposed, but they agree on something deeper. Both assume that for a moral reference to be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— determinate, non-arbitrary, action-guiding — it must be</w:t>
      </w:r>
      <w:r>
        <w:t xml:space="preserve"> </w:t>
      </w:r>
      <w:r>
        <w:rPr>
          <w:b/>
          <w:bCs/>
        </w:rPr>
        <w:t xml:space="preserve">anchored</w:t>
      </w:r>
      <w:r>
        <w:t xml:space="preserve"> </w:t>
      </w:r>
      <w:r>
        <w:t xml:space="preserve">to something outside the system of valuers: a transcendent ground, a Platonic fact, a divine will. The realist affirms the anchor; the anti-realist, having looked and found none, infers that the reference itself is empty. The dilemma —</w:t>
      </w:r>
      <w:r>
        <w:t xml:space="preserve"> </w:t>
      </w:r>
      <w:r>
        <w:rPr>
          <w:i/>
          <w:iCs/>
        </w:rPr>
        <w:t xml:space="preserve">binding external fact, or arbitrary brute</w:t>
      </w:r>
      <w:r>
        <w:t xml:space="preserve"> </w:t>
      </w:r>
      <w:r>
        <w:t xml:space="preserve">— is generated by the anchoring assumption, not by morality.</w:t>
      </w:r>
    </w:p>
    <w:p>
      <w:pPr>
        <w:pStyle w:val="BodyText"/>
      </w:pPr>
      <w:r>
        <w:t xml:space="preserve">This paper denies the assumption. We claim that a moral reference can be</w:t>
      </w:r>
      <w:r>
        <w:t xml:space="preserve"> </w:t>
      </w:r>
      <w:r>
        <w:rPr>
          <w:b/>
          <w:bCs/>
        </w:rPr>
        <w:t xml:space="preserve">determinate without being anchored</w:t>
      </w:r>
      <w:r>
        <w:t xml:space="preserve">, and that the model for such a thing is already familiar to any electrical engineer.</w:t>
      </w:r>
    </w:p>
    <w:bookmarkEnd w:id="10"/>
    <w:bookmarkStart w:id="11" w:name="the-model-a-floating-neutral"/>
    <w:p>
      <w:pPr>
        <w:pStyle w:val="Heading2"/>
      </w:pPr>
      <w:r>
        <w:t xml:space="preserve">2. The model: a floating neutral</w:t>
      </w:r>
    </w:p>
    <w:p>
      <w:pPr>
        <w:pStyle w:val="FirstParagraph"/>
      </w:pPr>
      <w:r>
        <w:t xml:space="preserve">In a polyphase power system, several live conductors (the</w:t>
      </w:r>
      <w:r>
        <w:t xml:space="preserve"> </w:t>
      </w:r>
      <w:r>
        <w:rPr>
          <w:i/>
          <w:iCs/>
        </w:rPr>
        <w:t xml:space="preserve">phases</w:t>
      </w:r>
      <w:r>
        <w:t xml:space="preserve">) drive a set of loads that meet at a common point, the</w:t>
      </w:r>
      <w:r>
        <w:t xml:space="preserve"> </w:t>
      </w:r>
      <w:r>
        <w:rPr>
          <w:i/>
          <w:iCs/>
        </w:rPr>
        <w:t xml:space="preserve">neutral</w:t>
      </w:r>
      <w:r>
        <w:t xml:space="preserve">. When the neutral is</w:t>
      </w:r>
      <w:r>
        <w:t xml:space="preserve"> </w:t>
      </w:r>
      <w:r>
        <w:rPr>
          <w:i/>
          <w:iCs/>
        </w:rPr>
        <w:t xml:space="preserve">bonded</w:t>
      </w:r>
      <w:r>
        <w:t xml:space="preserve"> </w:t>
      </w:r>
      <w:r>
        <w:t xml:space="preserve">— tied to an external ground — its potential is clamped to zero; it has an anchor, and the phase voltages are measured against it.</w:t>
      </w:r>
    </w:p>
    <w:p>
      <w:pPr>
        <w:pStyle w:val="BodyText"/>
      </w:pPr>
      <w:r>
        <w:t xml:space="preserve">Remove the bond. The neutral now</w:t>
      </w:r>
      <w:r>
        <w:t xml:space="preserve"> </w:t>
      </w:r>
      <w:r>
        <w:rPr>
          <w:b/>
          <w:bCs/>
        </w:rPr>
        <w:t xml:space="preserve">floats</w:t>
      </w:r>
      <w:r>
        <w:t xml:space="preserve">. One might expect it to become undefined, or to wander arbitrarily. It does neither. The floating neutral sits at a perfectly definite potential, given by</w:t>
      </w:r>
      <w:r>
        <w:t xml:space="preserve"> </w:t>
      </w:r>
      <w:r>
        <w:rPr>
          <w:b/>
          <w:bCs/>
        </w:rPr>
        <w:t xml:space="preserve">Millman’s theorem</w:t>
      </w:r>
      <w:r>
        <w:t xml:space="preserve"> </w:t>
      </w:r>
      <w:r>
        <w:t xml:space="preserve">[Millman 1940]: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admittance-weighted average</w:t>
      </w:r>
      <w:r>
        <w:t xml:space="preserve"> </w:t>
      </w:r>
      <w:r>
        <w:t xml:space="preserve">of the phase voltages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load on phase</w:t>
      </w:r>
      <w:r>
        <w:t xml:space="preserve"> </w:t>
      </w:r>
      <m:oMath>
        <m:r>
          <m:t>i</m:t>
        </m:r>
      </m:oMath>
      <w:r>
        <w:t xml:space="preserve">. No external reference appears anywhere in this expression. The neutral’s location is fixed</w:t>
      </w:r>
      <w:r>
        <w:t xml:space="preserve"> </w:t>
      </w:r>
      <w:r>
        <w:rPr>
          <w:i/>
          <w:iCs/>
        </w:rPr>
        <w:t xml:space="preserve">entirely by the loads</w:t>
      </w:r>
      <w:r>
        <w:t xml:space="preserve"> </w:t>
      </w:r>
      <w:r>
        <w:t xml:space="preserve">— by the system’s own internal configuration. It is determinate, measurable, and computable; it is also anchorless. Shift the loads and it moves; balance them and it centers; lose a load and it lurches. It is a real point with no ground beneath it.</w:t>
      </w:r>
    </w:p>
    <w:p>
      <w:pPr>
        <w:pStyle w:val="BodyText"/>
      </w:pPr>
      <w:r>
        <w:t xml:space="preserve">Two facts about the floating neutral do the philosophical work.</w:t>
      </w:r>
    </w:p>
    <w:p>
      <w:pPr>
        <w:pStyle w:val="BodyText"/>
      </w:pPr>
      <w:r>
        <w:rPr>
          <w:b/>
          <w:bCs/>
        </w:rPr>
        <w:t xml:space="preserve">First: it has a position but no authority.</w:t>
      </w:r>
      <w:r>
        <w:t xml:space="preserve"> </w:t>
      </w:r>
      <w:r>
        <w:t xml:space="preserve">The neutral does not</w:t>
      </w:r>
      <w:r>
        <w:t xml:space="preserve"> </w:t>
      </w:r>
      <w:r>
        <w:rPr>
          <w:i/>
          <w:iCs/>
        </w:rPr>
        <w:t xml:space="preserve">command</w:t>
      </w:r>
      <w:r>
        <w:t xml:space="preserve"> </w:t>
      </w:r>
      <w:r>
        <w:t xml:space="preserve">the phases; it is simply where they net out. A phase is under no obligation to</w:t>
      </w:r>
      <w:r>
        <w:t xml:space="preserve"> </w:t>
      </w:r>
      <w:r>
        <w:t xml:space="preserve">“honor”</w:t>
      </w:r>
      <w:r>
        <w:t xml:space="preserve"> </w:t>
      </w:r>
      <w:r>
        <w:t xml:space="preserve">the neutral. Yet the neutral is not inert: a badly displaced neutral — under a severe load imbalance — drives overvoltages that</w:t>
      </w:r>
      <w:r>
        <w:t xml:space="preserve"> </w:t>
      </w:r>
      <w:r>
        <w:rPr>
          <w:i/>
          <w:iCs/>
        </w:rPr>
        <w:t xml:space="preserve">destroy equipment</w:t>
      </w:r>
      <w:r>
        <w:t xml:space="preserve">. It has consequences without commands. Position, not authority.</w:t>
      </w:r>
    </w:p>
    <w:p>
      <w:pPr>
        <w:pStyle w:val="BodyText"/>
      </w:pPr>
      <w:r>
        <w:rPr>
          <w:b/>
          <w:bCs/>
        </w:rPr>
        <w:t xml:space="preserve">Second: it is endogenous.</w:t>
      </w:r>
      <w:r>
        <w:t xml:space="preserve"> </w:t>
      </w:r>
      <w:r>
        <w:t xml:space="preserve">Ask</w:t>
      </w:r>
      <w:r>
        <w:t xml:space="preserve"> </w:t>
      </w:r>
      <w:r>
        <w:t xml:space="preserve">“what grounds the neutral’s location?”</w:t>
      </w:r>
      <w:r>
        <w:t xml:space="preserve"> </w:t>
      </w:r>
      <w:r>
        <w:t xml:space="preserve">and the only honest answer is</w:t>
      </w:r>
      <w:r>
        <w:t xml:space="preserve"> </w:t>
      </w:r>
      <w:r>
        <w:rPr>
          <w:i/>
          <w:iCs/>
        </w:rPr>
        <w:t xml:space="preserve">nothing external grounds it; it is constituted by the loads.</w:t>
      </w:r>
      <w:r>
        <w:t xml:space="preserve"> </w:t>
      </w:r>
      <w:r>
        <w:t xml:space="preserve">Asking what</w:t>
      </w:r>
      <w:r>
        <w:t xml:space="preserve"> </w:t>
      </w:r>
      <w:r>
        <w:rPr>
          <w:i/>
          <w:iCs/>
        </w:rPr>
        <w:t xml:space="preserve">authorizes</w:t>
      </w:r>
      <w:r>
        <w:t xml:space="preserve"> </w:t>
      </w:r>
      <w:r>
        <w:t xml:space="preserve">it is a category error, like asking what authorizes the center of mass of a galaxy.</w:t>
      </w:r>
    </w:p>
    <w:p>
      <w:pPr>
        <w:pStyle w:val="BodyText"/>
      </w:pPr>
      <w:r>
        <w:t xml:space="preserve">ERT is the claim that</w:t>
      </w:r>
      <w:r>
        <w:t xml:space="preserve"> </w:t>
      </w:r>
      <w:r>
        <w:rPr>
          <w:b/>
          <w:bCs/>
        </w:rPr>
        <w:t xml:space="preserve">moral reference is a floating neutral.</w:t>
      </w:r>
    </w:p>
    <w:bookmarkEnd w:id="11"/>
    <w:bookmarkStart w:id="12" w:name="endogenous-reference-theory"/>
    <w:p>
      <w:pPr>
        <w:pStyle w:val="Heading2"/>
      </w:pPr>
      <w:r>
        <w:t xml:space="preserve">3. Endogenous Reference Theory</w:t>
      </w:r>
    </w:p>
    <w:p>
      <w:pPr>
        <w:pStyle w:val="FirstParagraph"/>
      </w:pPr>
      <w:r>
        <w:t xml:space="preserve">Let a moral system comprise agents (or, more abstractly, value-bearing positions) indexed by</w:t>
      </w:r>
      <w:r>
        <w:t xml:space="preserve"> </w:t>
      </w:r>
      <m:oMath>
        <m:r>
          <m:t>i</m:t>
        </m:r>
      </m:oMath>
      <w:r>
        <w:t xml:space="preserve">. Each contributes a</w:t>
      </w:r>
      <w:r>
        <w:t xml:space="preserve"> </w:t>
      </w:r>
      <w:r>
        <w:rPr>
          <w:i/>
          <w:iCs/>
        </w:rPr>
        <w:t xml:space="preserve">valuation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a position in a moral state space — held with a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(its intensity, prevalence, or</w:t>
      </w:r>
      <w:r>
        <w:t xml:space="preserve"> </w:t>
      </w:r>
      <w:r>
        <w:t xml:space="preserve">“load”</w:t>
      </w:r>
      <w:r>
        <w:t xml:space="preserve">). The system’s moral reference is the endogenous point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weighted Fréchet mean</w:t>
      </w:r>
      <w:r>
        <w:t xml:space="preserve"> </w:t>
      </w:r>
      <w:r>
        <w:t xml:space="preserve">[Fréchet 1948] of the valuations under the metric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the state space. On a flat space this reduces exactly to Millman’s weighted average [Millman 1940]; on the curved</w:t>
      </w:r>
      <w:r>
        <w:t xml:space="preserve"> </w:t>
      </w:r>
      <w:r>
        <w:rPr>
          <w:b/>
          <w:bCs/>
        </w:rPr>
        <w:t xml:space="preserve">moral manifold</w:t>
      </w:r>
      <w:r>
        <w:t xml:space="preserve"> </w:t>
      </w:r>
      <w:r>
        <w:t xml:space="preserve">of Geometric Ethics [Bond 2026] (a nine-dimensional stratified space with a context-dependent metric), it is its geometric generalization.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determinate given the loads, computable, and anchorless: no term outside the set of valuers enters its definition.</w:t>
      </w:r>
    </w:p>
    <w:p>
      <w:pPr>
        <w:pStyle w:val="BodyText"/>
      </w:pPr>
      <w:r>
        <w:t xml:space="preserve">ERT then makes a sequence of claims: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Realism about the reference.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real feature of the system — not a projection, not an error, not a fiction. Two analysts with the same load data compute the same</w:t>
      </w:r>
      <w:r>
        <w:t xml:space="preserve"> </w:t>
      </w:r>
      <m:oMath>
        <m:r>
          <m:t>R</m:t>
        </m:r>
      </m:oMath>
      <w:r>
        <w:t xml:space="preserve">. The anti-realist’s</w:t>
      </w:r>
      <w:r>
        <w:t xml:space="preserve"> </w:t>
      </w:r>
      <w:r>
        <w:t xml:space="preserve">“no determinate fact”</w:t>
      </w:r>
      <w:r>
        <w:t xml:space="preserve"> </w:t>
      </w:r>
      <w:r>
        <w:t xml:space="preserve">is false: there is a fact, the location of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Deflationism about authority.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 no normative force. It does not bind any agent to itself. The realist’s</w:t>
      </w:r>
      <w:r>
        <w:t xml:space="preserve"> </w:t>
      </w:r>
      <w:r>
        <w:t xml:space="preserve">“binding fact”</w:t>
      </w:r>
      <w:r>
        <w:t xml:space="preserve"> </w:t>
      </w:r>
      <w:r>
        <w:t xml:space="preserve">is false: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commands nothing.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“Ought”</w:t>
      </w:r>
      <w:r>
        <w:rPr>
          <w:b/>
          <w:bCs/>
        </w:rPr>
        <w:t xml:space="preserve"> </w:t>
      </w:r>
      <w:r>
        <w:rPr>
          <w:b/>
          <w:bCs/>
        </w:rPr>
        <w:t xml:space="preserve">as displacement.</w:t>
      </w:r>
      <w:r>
        <w:t xml:space="preserve"> </w:t>
      </w:r>
      <w:r>
        <w:t xml:space="preserve">Normative language reports the relation of a state to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wrong”</w:t>
      </w:r>
      <w:r>
        <w:t xml:space="preserve"> </w:t>
      </w:r>
      <w:r>
        <w:t xml:space="preserve">says, roughly,</w:t>
      </w:r>
      <w:r>
        <w:t xml:space="preserve"> </w:t>
      </w:r>
      <m:oMath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lies far from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along load-bearing dimensions</w:t>
      </w:r>
      <w:r>
        <w:t xml:space="preserve"> </w:t>
      </w:r>
      <w:r>
        <w:t xml:space="preserve">— it is a</w:t>
      </w:r>
      <w:r>
        <w:t xml:space="preserve"> </w:t>
      </w:r>
      <w:r>
        <w:rPr>
          <w:b/>
          <w:bCs/>
        </w:rPr>
        <w:t xml:space="preserve">strain reading</w:t>
      </w:r>
      <w:r>
        <w:t xml:space="preserve">, not a decree. The intensity of moral feeling tracks displacement magnitude the way strain voltage tracks neutral shift.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Endogeneity.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constituted by the loads. There is no meta-level — no anchor, no transcendent ground, no</w:t>
      </w:r>
      <w:r>
        <w:t xml:space="preserve"> </w:t>
      </w:r>
      <w:r>
        <w:t xml:space="preserve">“moral law”</w:t>
      </w:r>
      <w:r>
        <w:t xml:space="preserve"> </w:t>
      </w:r>
      <w:r>
        <w:t xml:space="preserve">above the system.</w:t>
      </w:r>
      <w:r>
        <w:t xml:space="preserve"> </w:t>
      </w:r>
      <w:r>
        <w:rPr>
          <w:i/>
          <w:iCs/>
        </w:rPr>
        <w:t xml:space="preserve">There is only the configuration, and the point it determines.</w:t>
      </w:r>
    </w:p>
    <w:p>
      <w:pPr>
        <w:pStyle w:val="FirstParagraph"/>
      </w:pPr>
      <w:r>
        <w:t xml:space="preserve">The user’s slogan captures it exactly:</w:t>
      </w:r>
      <w:r>
        <w:t xml:space="preserve"> </w:t>
      </w:r>
      <w:r>
        <w:rPr>
          <w:i/>
          <w:iCs/>
        </w:rPr>
        <w:t xml:space="preserve">there is no bindingness; there is no meta-anything; there is only reality.</w:t>
      </w:r>
      <w:r>
        <w:t xml:space="preserve"> </w:t>
      </w:r>
      <w:r>
        <w:t xml:space="preserve">ERT is the formal content of that slogan.</w:t>
      </w:r>
    </w:p>
    <w:bookmarkEnd w:id="12"/>
    <w:bookmarkStart w:id="13" w:name="the-isought-gap-dissolved"/>
    <w:p>
      <w:pPr>
        <w:pStyle w:val="Heading2"/>
      </w:pPr>
      <w:r>
        <w:t xml:space="preserve">4. The is/ought gap, dissolved</w:t>
      </w:r>
    </w:p>
    <w:p>
      <w:pPr>
        <w:pStyle w:val="FirstParagraph"/>
      </w:pPr>
      <w:r>
        <w:t xml:space="preserve">Hume [1739] observed that one cannot validly derive an</w:t>
      </w:r>
      <w:r>
        <w:t xml:space="preserve"> </w:t>
      </w:r>
      <w:r>
        <w:rPr>
          <w:i/>
          <w:iCs/>
        </w:rPr>
        <w:t xml:space="preserve">ought</w:t>
      </w:r>
      <w:r>
        <w:t xml:space="preserve"> </w:t>
      </w:r>
      <w:r>
        <w:t xml:space="preserve">from an</w:t>
      </w:r>
      <w:r>
        <w:t xml:space="preserve"> </w:t>
      </w:r>
      <w:r>
        <w:rPr>
          <w:i/>
          <w:iCs/>
        </w:rPr>
        <w:t xml:space="preserve">is</w:t>
      </w:r>
      <w:r>
        <w:t xml:space="preserve">. The realist treats this as a gap to be bridged; the anti-realist, as a proof that oughts are not facts. ERT treats it as a</w:t>
      </w:r>
      <w:r>
        <w:t xml:space="preserve"> </w:t>
      </w:r>
      <w:r>
        <w:rPr>
          <w:b/>
          <w:bCs/>
        </w:rPr>
        <w:t xml:space="preserve">mislocated demand.</w:t>
      </w:r>
    </w:p>
    <w:p>
      <w:pPr>
        <w:pStyle w:val="BodyText"/>
      </w:pPr>
      <w:r>
        <w:t xml:space="preserve">The gap is the distance between descriptive fact and a</w:t>
      </w:r>
      <w:r>
        <w:t xml:space="preserve"> </w:t>
      </w:r>
      <w:r>
        <w:rPr>
          <w:i/>
          <w:iCs/>
        </w:rPr>
        <w:t xml:space="preserve">binding</w:t>
      </w:r>
      <w:r>
        <w:t xml:space="preserve"> </w:t>
      </w:r>
      <w:r>
        <w:t xml:space="preserve">prescription — a prescription with authority, transmitted from somewhere. But on ERT there is no such bank on the far side to reach. The floating neutral has position, not authority;</w:t>
      </w:r>
      <w:r>
        <w:t xml:space="preserve"> </w:t>
      </w:r>
      <w:r>
        <w:t xml:space="preserve">“ought”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strain</w:t>
      </w:r>
      <w:r>
        <w:t xml:space="preserve">, which is itself an is-fact (a displacement is a measurable quantity). There is no leap from is to ought because</w:t>
      </w:r>
      <w:r>
        <w:t xml:space="preserve"> </w:t>
      </w:r>
      <w:r>
        <w:t xml:space="preserve">“ought,”</w:t>
      </w:r>
      <w:r>
        <w:t xml:space="preserve"> </w:t>
      </w:r>
      <w:r>
        <w:t xml:space="preserve">properly understood, was an is all along — the is of</w:t>
      </w:r>
      <w:r>
        <w:t xml:space="preserve"> </w:t>
      </w:r>
      <w:r>
        <w:rPr>
          <w:i/>
          <w:iCs/>
        </w:rPr>
        <w:t xml:space="preserve">displacement from the endogenous reference.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i/>
          <w:iCs/>
        </w:rPr>
        <w:t xml:space="preserve">dissolution</w:t>
      </w:r>
      <w:r>
        <w:t xml:space="preserve">, and it has a cost we state plainly (§7): one who uses</w:t>
      </w:r>
      <w:r>
        <w:t xml:space="preserve"> </w:t>
      </w:r>
      <w:r>
        <w:t xml:space="preserve">“ought”</w:t>
      </w:r>
      <w:r>
        <w:t xml:space="preserve"> </w:t>
      </w:r>
      <w:r>
        <w:t xml:space="preserve">to mean</w:t>
      </w:r>
      <w:r>
        <w:t xml:space="preserve"> </w:t>
      </w:r>
      <w:r>
        <w:rPr>
          <w:i/>
          <w:iCs/>
        </w:rPr>
        <w:t xml:space="preserve">categorically binding</w:t>
      </w:r>
      <w:r>
        <w:t xml:space="preserve"> </w:t>
      </w:r>
      <w:r>
        <w:t xml:space="preserve">will say we have changed the subject. We have — deliberately. The categorical bind was the anchoring assumption’s shadow; remove the anchor and the shadow goes with it. What remains — real reference, real displacement, real consequences — is everything morality needs to</w:t>
      </w:r>
      <w:r>
        <w:t xml:space="preserve"> </w:t>
      </w:r>
      <w:r>
        <w:rPr>
          <w:i/>
          <w:iCs/>
        </w:rPr>
        <w:t xml:space="preserve">function</w:t>
      </w:r>
      <w:r>
        <w:t xml:space="preserve">, and nothing it needs to</w:t>
      </w:r>
      <w:r>
        <w:t xml:space="preserve"> </w:t>
      </w:r>
      <w:r>
        <w:rPr>
          <w:i/>
          <w:iCs/>
        </w:rPr>
        <w:t xml:space="preserve">command</w:t>
      </w:r>
      <w:r>
        <w:t xml:space="preserve">.</w:t>
      </w:r>
    </w:p>
    <w:bookmarkEnd w:id="13"/>
    <w:bookmarkStart w:id="25" w:name="reflexive-dynamics-a-formalization"/>
    <w:p>
      <w:pPr>
        <w:pStyle w:val="Heading2"/>
      </w:pPr>
      <w:r>
        <w:t xml:space="preserve">5. Reflexive dynamics: a formalization</w:t>
      </w:r>
    </w:p>
    <w:p>
      <w:pPr>
        <w:pStyle w:val="FirstParagraph"/>
      </w:pPr>
      <w:r>
        <w:t xml:space="preserve">Here ERT departs decisively from a static picture, and from its electrical metaphor. In a power system a phase cannot choose its own impedance.</w:t>
      </w:r>
      <w:r>
        <w:t xml:space="preserve"> </w:t>
      </w:r>
      <w:r>
        <w:rPr>
          <w:b/>
          <w:bCs/>
        </w:rPr>
        <w:t xml:space="preserve">Agents can.</w:t>
      </w:r>
      <w:r>
        <w:t xml:space="preserve"> </w:t>
      </w:r>
      <w:r>
        <w:t xml:space="preserve">A valuer can re-weight its own valuation — come to care differently — and thereby move the reference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against which it, and everyone else, is measured. The system</w:t>
      </w:r>
      <w:r>
        <w:t xml:space="preserve"> </w:t>
      </w:r>
      <w:r>
        <w:rPr>
          <w:i/>
          <w:iCs/>
        </w:rPr>
        <w:t xml:space="preserve">steers itself relative to its own floating point.</w:t>
      </w:r>
      <w:r>
        <w:t xml:space="preserve"> </w:t>
      </w:r>
      <w:r>
        <w:t xml:space="preserve">We make this precise.</w:t>
      </w:r>
    </w:p>
    <w:bookmarkStart w:id="14" w:name="state-and-reference"/>
    <w:p>
      <w:pPr>
        <w:pStyle w:val="Heading3"/>
      </w:pPr>
      <w:r>
        <w:t xml:space="preserve">5.1 State and reference</w:t>
      </w:r>
    </w:p>
    <w:p>
      <w:pPr>
        <w:pStyle w:val="FirstParagraph"/>
      </w:pPr>
      <w:r>
        <w:t xml:space="preserve">Let agents be indexed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each with a valuation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(a local chart of the moral manifold</w:t>
      </w:r>
      <w:r>
        <w:t xml:space="preserve"> </w:t>
      </w:r>
      <m:oMath>
        <m:r>
          <m:t>M</m:t>
        </m:r>
      </m:oMath>
      <w:r>
        <w:t xml:space="preserve">) and a non-negative weight (load)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with total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 The endogenous reference is the weighted Fréchet mean [Fréchet 1948],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in the Euclidean case reduces exactly to the Millman point [Millman 1940],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W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⟨</m:t>
          </m:r>
          <m:r>
            <m:t>v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work in the flat case for the analytic results and return to the manifold in §5.5.</w:t>
      </w:r>
    </w:p>
    <w:bookmarkEnd w:id="14"/>
    <w:bookmarkStart w:id="15" w:name="the-law-of-reference-motion"/>
    <w:p>
      <w:pPr>
        <w:pStyle w:val="Heading3"/>
      </w:pPr>
      <w:r>
        <w:t xml:space="preserve">5.2 The law of reference motion</w:t>
      </w:r>
    </w:p>
    <w:p>
      <w:pPr>
        <w:pStyle w:val="FirstParagraph"/>
      </w:pPr>
      <w:r>
        <w:t xml:space="preserve">Let valuations and weights evolve smoothly in time. Differentiating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W</m:t>
        </m:r>
      </m:oMath>
      <w:r>
        <w:t xml:space="preserve"> </w:t>
      </w:r>
      <w:r>
        <w:t xml:space="preserve">gives the central identity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limLow>
                <m:e>
                  <m:limLow>
                    <m:e>
                      <m:r>
                        <m:rPr>
                          <m:sty m:val="p"/>
                        </m:rPr>
                        <m:t>⟨</m:t>
                      </m:r>
                      <m:acc>
                        <m:accPr>
                          <m:chr m:val="̇"/>
                        </m:accPr>
                        <m:e>
                          <m:r>
                            <m:t>v</m:t>
                          </m:r>
                        </m:e>
                      </m:acc>
                      <m:sSub>
                        <m:e>
                          <m:r>
                            <m:rPr>
                              <m:sty m:val="p"/>
                            </m:rPr>
                            <m:t>⟩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position drift</m:t>
                  </m:r>
                </m:lim>
              </m:limLow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limLow>
                <m:e>
                  <m:limLow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W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̇"/>
                                </m:accPr>
                                <m:e>
                                  <m:r>
                                    <m:t>w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reweighting</m:t>
                  </m:r>
                </m:lim>
              </m:limLow>
              <m:r>
                <m:t> </m:t>
              </m:r>
            </m:e>
          </m:borderBox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̇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⟩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W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 The reference moves by exactly two routes: a net weighted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of valuations, or a</w:t>
      </w:r>
      <w:r>
        <w:t xml:space="preserve"> </w:t>
      </w:r>
      <w:r>
        <w:rPr>
          <w:b/>
          <w:bCs/>
        </w:rPr>
        <w:t xml:space="preserve">reweighting</w:t>
      </w:r>
      <w:r>
        <w:t xml:space="preserve"> </w:t>
      </w:r>
      <w:r>
        <w:t xml:space="preserve">that loads one side of the current reference (a covariance between weight change and displacement). Nothing external can move it — consistent with endogeneity.</w:t>
      </w:r>
    </w:p>
    <w:p>
      <w:pPr>
        <w:pStyle w:val="BodyText"/>
      </w:pPr>
      <w:r>
        <w:rPr>
          <w:b/>
          <w:bCs/>
        </w:rPr>
        <w:t xml:space="preserve">Proposition 1 (Conservation of the reference under homogeneous conformity).</w:t>
      </w:r>
      <w:r>
        <w:t xml:space="preserve"> </w:t>
      </w:r>
      <w:r>
        <w:rPr>
          <w:i/>
          <w:iCs/>
        </w:rPr>
        <w:t xml:space="preserve">If weights are fixed (</w:t>
      </w:r>
      <m:oMath>
        <m:sSub>
          <m:e>
            <m:acc>
              <m:accPr>
                <m:chr m:val="̇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 and every agent relaxes toward the reference at a common rate,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k</m:t>
        </m:r>
        <m:r>
          <m:t> 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 The reference is invariant, and the configuration converges to consensus at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i/>
          <w:iCs/>
        </w:rPr>
        <w:t xml:space="preserve">, with dispersion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decaying as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t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⟨</m:t>
        </m:r>
        <m:acc>
          <m:accPr>
            <m:chr m:val="̇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⟩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W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k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rPr>
            <m:sty m:val="p"/>
          </m:rPr>
          <m:t>⟨</m:t>
        </m:r>
        <m:r>
          <m:t>v</m:t>
        </m:r>
        <m:sSub>
          <m:e>
            <m:r>
              <m:rPr>
                <m:sty m:val="p"/>
              </m:rPr>
              <m:t>⟩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fixed,</w:t>
      </w:r>
      <w: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, so each displacement decays as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t xml:space="preserve"> </w:t>
      </w:r>
      <w:r>
        <w:t xml:space="preserve">and the weighted dispersion as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t</m:t>
            </m:r>
          </m:sup>
        </m:sSup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This has a sharp consequence:</w:t>
      </w:r>
    </w:p>
    <w:p>
      <w:pPr>
        <w:pStyle w:val="BodyText"/>
      </w:pPr>
      <w:r>
        <w:rPr>
          <w:b/>
          <w:bCs/>
        </w:rPr>
        <w:t xml:space="preserve">Corollary (Progress is not free).</w:t>
      </w:r>
      <w:r>
        <w:t xml:space="preserve"> </w:t>
      </w:r>
      <w:r>
        <w:rPr>
          <w:i/>
          <w:iCs/>
        </w:rPr>
        <w:t xml:space="preserve">A purely conformist population cannot move its own moral reference.</w:t>
      </w:r>
      <w:r>
        <w:t xml:space="preserve"> </w:t>
      </w:r>
      <w:r>
        <w:t xml:space="preserve">Reference motion requires an</w:t>
      </w:r>
      <w:r>
        <w:t xml:space="preserve"> </w:t>
      </w:r>
      <w:r>
        <w:rPr>
          <w:b/>
          <w:bCs/>
        </w:rPr>
        <w:t xml:space="preserve">asymmetry</w:t>
      </w:r>
      <w:r>
        <w:t xml:space="preserve">: heterogeneous responsiveness, weight dynamics, nonlinearity, or exogenous forcing. The floating neutral does not drift on its own; something must load it.</w:t>
      </w:r>
    </w:p>
    <w:p>
      <w:pPr>
        <w:pStyle w:val="BodyText"/>
      </w:pPr>
      <w:r>
        <w:t xml:space="preserve">The heterogeneous case makes the mechanism explicit. With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fixed weights,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R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W</m:t>
              </m:r>
            </m:den>
          </m:f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reference drifts</w:t>
      </w:r>
      <w:r>
        <w:t xml:space="preserve"> </w:t>
      </w:r>
      <w:r>
        <w:rPr>
          <w:b/>
          <w:bCs/>
        </w:rPr>
        <w:t xml:space="preserve">toward the responsiveness-weighted mean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i.e., toward the positions of the agents who update fastest and are weighted most heavily. The neutral is pulled by whoever moves first and loudest, not by who is</w:t>
      </w:r>
      <w:r>
        <w:t xml:space="preserve"> </w:t>
      </w:r>
      <w:r>
        <w:t xml:space="preserve">“right.”</w:t>
      </w:r>
    </w:p>
    <w:bookmarkEnd w:id="15"/>
    <w:bookmarkStart w:id="16" w:name="regimes"/>
    <w:p>
      <w:pPr>
        <w:pStyle w:val="Heading3"/>
      </w:pPr>
      <w:r>
        <w:t xml:space="preserve">5.3 Regimes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i/>
          <w:iCs/>
        </w:rPr>
        <w:t xml:space="preserve">conviction</w:t>
      </w:r>
      <w:r>
        <w:t xml:space="preserve"> </w:t>
      </w:r>
      <w:r>
        <w:t xml:space="preserve">(differentiation) term that pushes an agent away from the reference — identity, contrarianism, principled resistance: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conformity</m:t>
              </m:r>
            </m:lim>
          </m:limLow>
          <m:r>
            <m:t> </m:t>
          </m:r>
          <m:r>
            <m:rPr>
              <m:sty m:val="p"/>
            </m:rPr>
            <m:t>−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 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conviction</m:t>
              </m:r>
            </m:lim>
          </m:limLow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α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qualitative outcomes mirror those of bounded-confidence opinion dynamics [Hegselmann–Krause 2002] — consensus, polarization, or fragmentation — selected by the conformity/conviction balance and the weight-feedback gain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Conformity-dominated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): consensus at a conserved neutral (Prop. 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Balanced</w:t>
      </w:r>
      <w:r>
        <w:t xml:space="preserve">: a stable</w:t>
      </w:r>
      <w:r>
        <w:t xml:space="preserve"> </w:t>
      </w:r>
      <w:r>
        <w:rPr>
          <w:i/>
          <w:iCs/>
        </w:rPr>
        <w:t xml:space="preserve">dispersed</w:t>
      </w:r>
      <w:r>
        <w:t xml:space="preserve"> </w:t>
      </w:r>
      <w:r>
        <w:t xml:space="preserve">equilibrium — persistent disagreement around a stable reference (a</w:t>
      </w:r>
      <w:r>
        <w:t xml:space="preserve"> </w:t>
      </w:r>
      <w:r>
        <w:t xml:space="preserve">“moral ecology”</w:t>
      </w:r>
      <w:r>
        <w:t xml:space="preserve">), not collapse to unanimity.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Conviction- or feedback-dominated</w:t>
      </w:r>
      <w:r>
        <w:t xml:space="preserve">: polarization (bimodal split) or</w:t>
      </w:r>
      <w:r>
        <w:t xml:space="preserve"> </w:t>
      </w:r>
      <w:r>
        <w:rPr>
          <w:b/>
          <w:bCs/>
        </w:rPr>
        <w:t xml:space="preserve">limit cycles</w:t>
      </w:r>
      <w:r>
        <w:t xml:space="preserve"> </w:t>
      </w:r>
      <w:r>
        <w:t xml:space="preserve">(moral oscillation), as the reweighting term in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t xml:space="preserve"> </w:t>
      </w:r>
      <w:r>
        <w:t xml:space="preserve">drives and is driven by displacement.</w:t>
      </w:r>
    </w:p>
    <w:p>
      <w:pPr>
        <w:pStyle w:val="FirstParagraph"/>
      </w:pPr>
      <w:r>
        <w:rPr>
          <w:b/>
          <w:bCs/>
        </w:rPr>
        <w:t xml:space="preserve">Shocks.</w:t>
      </w:r>
      <w:r>
        <w:t xml:space="preserve"> </w:t>
      </w:r>
      <w:r>
        <w:t xml:space="preserve">If a faction’s load vanishes abruptly,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, the reference lurches by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≈</m:t>
        </m:r>
        <m:r>
          <m:rPr>
            <m:sty m:val="p"/>
          </m:rPr>
          <m:t>−</m:t>
        </m:r>
        <m:f>
          <m:fPr>
            <m:type m:val="lin"/>
          </m:fPr>
          <m:num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num>
          <m:den>
            <m:r>
              <m:t>W</m:t>
            </m:r>
          </m:den>
        </m:f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 the neutral jumps away from the departed position, and the remaining agents experience a sudden jump in their own displacement: the moral analogue of losing a phase and driving</w:t>
      </w:r>
      <w:r>
        <w:t xml:space="preserve"> </w:t>
      </w:r>
      <w:r>
        <w:rPr>
          <w:b/>
          <w:bCs/>
        </w:rPr>
        <w:t xml:space="preserve">overvoltage</w:t>
      </w:r>
      <w:r>
        <w:t xml:space="preserve"> </w:t>
      </w:r>
      <w:r>
        <w:t xml:space="preserve">on the rest. This models norm collapse, generational turnover, and revolution as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mechanism, differing only in rate.</w:t>
      </w:r>
    </w:p>
    <w:bookmarkEnd w:id="16"/>
    <w:bookmarkStart w:id="17" w:name="equilibria-and-stability"/>
    <w:p>
      <w:pPr>
        <w:pStyle w:val="Heading3"/>
      </w:pPr>
      <w:r>
        <w:t xml:space="preserve">5.4 Equilibria and stability</w:t>
      </w:r>
    </w:p>
    <w:p>
      <w:pPr>
        <w:pStyle w:val="FirstParagraph"/>
      </w:pPr>
      <w:r>
        <w:t xml:space="preserve">A self-consistent equilibrium is a configuration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{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. The system is</w:t>
      </w:r>
      <w:r>
        <w:t xml:space="preserve"> </w:t>
      </w:r>
      <w:r>
        <w:rPr>
          <w:b/>
          <w:bCs/>
        </w:rPr>
        <w:t xml:space="preserve">self-referential</w:t>
      </w:r>
      <w:r>
        <w:t xml:space="preserve">: each agent’s motion feeds back through the mean,</w:t>
      </w:r>
      <w:r>
        <w:t xml:space="preserve"> </w:t>
      </w:r>
      <m:oMath>
        <m:r>
          <m:rPr>
            <m:sty m:val="p"/>
          </m:rPr>
          <m:t>∂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W</m:t>
        </m:r>
      </m:oMath>
      <w:r>
        <w:t xml:space="preserve">, so the Jacobian is not block-diagonal. The consensus equilibrium (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 conformity only) has eigenvalues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is asymptotically stable. Dispersed equilibria are stable when conformity dominates conviction at the fixed point; crossing that balance produces a Hopf bifurcation into the oscillatory regime. We state these as the structure of the analysis; the full classification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open (§5.8).</w:t>
      </w:r>
    </w:p>
    <w:bookmarkEnd w:id="17"/>
    <w:bookmarkStart w:id="18" w:name="X7dcb258fc4c9e10062019d15f13bdfcb5d4ca83"/>
    <w:p>
      <w:pPr>
        <w:pStyle w:val="Heading3"/>
      </w:pPr>
      <w:r>
        <w:t xml:space="preserve">5.5 Relation to existing dynamics, and what is actually new</w:t>
      </w:r>
    </w:p>
    <w:p>
      <w:pPr>
        <w:pStyle w:val="FirstParagraph"/>
      </w:pPr>
      <w:r>
        <w:t xml:space="preserve">Honesty requires naming the neighbors. Equation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regimes of §5.3 are close kin to consensus and opinion-dynamics models — DeGroot averaging [DeGroot 1974], the Friedkin–Johnsen extension, and bounded-confidence dynamics [Hegselmann–Krause 2002].</w:t>
      </w:r>
      <w:r>
        <w:t xml:space="preserve"> </w:t>
      </w:r>
      <w:r>
        <w:rPr>
          <w:b/>
          <w:bCs/>
        </w:rPr>
        <w:t xml:space="preserve">ERT does not claim to invent this mathematics.</w:t>
      </w:r>
      <w:r>
        <w:t xml:space="preserve"> </w:t>
      </w:r>
      <w:r>
        <w:t xml:space="preserve">Its contributions over that literature are three, and they are conceptual before they are technical: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consensus point is reinterpreted as the</w:t>
      </w:r>
      <w:r>
        <w:t xml:space="preserve"> </w:t>
      </w:r>
      <w:r>
        <w:rPr>
          <w:i/>
          <w:iCs/>
        </w:rPr>
        <w:t xml:space="preserve">moral reference</w:t>
      </w:r>
      <w:r>
        <w:t xml:space="preserve"> </w:t>
      </w:r>
      <w:r>
        <w:t xml:space="preserve">— the floating neutral — and</w:t>
      </w:r>
      <w:r>
        <w:t xml:space="preserve"> </w:t>
      </w:r>
      <w:r>
        <w:t xml:space="preserve">“ought”</w:t>
      </w:r>
      <w:r>
        <w:t xml:space="preserve"> </w:t>
      </w:r>
      <w:r>
        <w:t xml:space="preserve">as displacement from it. The opinion-dynamics literature studies</w:t>
      </w:r>
      <w:r>
        <w:t xml:space="preserve"> </w:t>
      </w:r>
      <w:r>
        <w:rPr>
          <w:i/>
          <w:iCs/>
        </w:rPr>
        <w:t xml:space="preserve">where opinions go</w:t>
      </w:r>
      <w:r>
        <w:t xml:space="preserve">; ERT reads the same object as</w:t>
      </w:r>
      <w:r>
        <w:t xml:space="preserve"> </w:t>
      </w:r>
      <w:r>
        <w:rPr>
          <w:i/>
          <w:iCs/>
        </w:rPr>
        <w:t xml:space="preserve">the metaethical reference itself</w:t>
      </w:r>
      <w:r>
        <w:t xml:space="preserve">, with no anchor and no authority.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Loads as first-class.</w:t>
      </w:r>
      <w:r>
        <w:t xml:space="preserve"> </w:t>
      </w:r>
      <w:r>
        <w:t xml:space="preserve">Standard models fix influence weights or set them exogenously; ERT makes the weight dynamics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co-equal with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what equation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t xml:space="preserve"> </w:t>
      </w:r>
      <w:r>
        <w:t xml:space="preserve">shows is</w:t>
      </w:r>
      <w:r>
        <w:t xml:space="preserve"> </w:t>
      </w:r>
      <w:r>
        <w:rPr>
          <w:i/>
          <w:iCs/>
        </w:rPr>
        <w:t xml:space="preserve">necessary</w:t>
      </w:r>
      <w:r>
        <w:t xml:space="preserve"> </w:t>
      </w:r>
      <w:r>
        <w:t xml:space="preserve">for the reference to move at all (the Corollary). Reflexive reweighting is the engine of moral 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Curvature.</w:t>
      </w:r>
      <w:r>
        <w:t xml:space="preserve"> </w:t>
      </w:r>
      <w:r>
        <w:t xml:space="preserve">Lifting to the moral manifold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weighted Fréchet/Karcher mean [Karcher 1977], whose existence and uniqueness require curvature and locality conditions [Afsari 2011]. Disagreement spread across a region of high curvature or near a cut locus can make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non-unique — a genuinely new phenomenon with no flat-space or scalar analogue:</w:t>
      </w:r>
      <w:r>
        <w:t xml:space="preserve"> </w:t>
      </w:r>
      <w:r>
        <w:rPr>
          <w:i/>
          <w:iCs/>
        </w:rPr>
        <w:t xml:space="preserve">the reference can bifurcate</w:t>
      </w:r>
      <w:r>
        <w:t xml:space="preserve">, a candidate formal model of moral schism.</w:t>
      </w:r>
    </w:p>
    <w:p>
      <w:pPr>
        <w:pStyle w:val="FirstParagraph"/>
      </w:pPr>
      <w:r>
        <w:t xml:space="preserve">The one result we do claim as ERT’s own is the</w:t>
      </w:r>
      <w:r>
        <w:t xml:space="preserve"> </w:t>
      </w:r>
      <w:r>
        <w:rPr>
          <w:b/>
          <w:bCs/>
        </w:rPr>
        <w:t xml:space="preserve">conservation law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together with Proposition 1 and its Corollary</w:t>
      </w:r>
      <w:r>
        <w:t xml:space="preserve">, read metaethically: a self-referencing valuing system cannot move its own reference without an internal asymmetry. That is a falsifiable, non-obvious statement about moral change, and it falls directly out of taking the floating-neutral picture seriously. The second is the schism result below, which has no scalar or flat-space analogue at all.</w:t>
      </w:r>
    </w:p>
    <w:bookmarkEnd w:id="18"/>
    <w:bookmarkStart w:id="22" w:name="X5b755e1896defca2202350e0c3c87d2dfd98282"/>
    <w:p>
      <w:pPr>
        <w:pStyle w:val="Heading3"/>
      </w:pPr>
      <w:r>
        <w:t xml:space="preserve">5.6 Schism: bifurcation of the moral reference</w:t>
      </w:r>
    </w:p>
    <w:p>
      <w:pPr>
        <w:pStyle w:val="FirstParagraph"/>
      </w:pPr>
      <w:r>
        <w:t xml:space="preserve">The reference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minimizes the Fréchet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Whether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unique</w:t>
      </w:r>
      <w:r>
        <w:t xml:space="preserve"> </w:t>
      </w:r>
      <w:r>
        <w:t xml:space="preserve">is not a metaethical stipulation — it is a fact about the</w:t>
      </w:r>
      <w:r>
        <w:t xml:space="preserve"> </w:t>
      </w:r>
      <w:r>
        <w:rPr>
          <w:b/>
          <w:bCs/>
        </w:rPr>
        <w:t xml:space="preserve">curvature</w:t>
      </w:r>
      <w:r>
        <w:t xml:space="preserve"> </w:t>
      </w:r>
      <w:r>
        <w:t xml:space="preserve">of the value space, and it is where ERT makes a prediction no flat or scalar theory can.</w:t>
      </w:r>
    </w:p>
    <w:p>
      <w:pPr>
        <w:pStyle w:val="BodyText"/>
      </w:pPr>
      <w:r>
        <w:rPr>
          <w:b/>
          <w:bCs/>
        </w:rPr>
        <w:t xml:space="preserve">The geometry.</w:t>
      </w:r>
      <w:r>
        <w:t xml:space="preserve"> </w:t>
      </w:r>
      <w:r>
        <w:t xml:space="preserve">For a single datum</w:t>
      </w:r>
      <w:r>
        <w:t xml:space="preserve"> </w:t>
      </w:r>
      <m:oMath>
        <m:r>
          <m:t>p</m:t>
        </m:r>
      </m:oMath>
      <w:r>
        <w:t xml:space="preserve">, the Hessian of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a space of constant sectional curvature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has eigenvalue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along the geodesic toward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and, in the orthogonal directions,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κ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ad>
            <m:radPr>
              <m:degHide m:val="on"/>
            </m:radPr>
            <m:deg/>
            <m:e>
              <m:r>
                <m:t>κ</m:t>
              </m:r>
            </m:e>
          </m:rad>
          <m:r>
            <m:t> </m:t>
          </m:r>
          <m:r>
            <m:t>d</m:t>
          </m:r>
          <m:r>
            <m:t> </m:t>
          </m:r>
          <m:r>
            <m:rPr>
              <m:sty m:val="p"/>
            </m:rPr>
            <m:t>cot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κ</m:t>
                  </m:r>
                </m:e>
              </m:rad>
              <m:r>
                <m:t> </m:t>
              </m:r>
              <m:r>
                <m:t>d</m:t>
              </m:r>
            </m:e>
          </m:d>
          <m:r>
            <m:t> </m:t>
          </m:r>
          <m:r>
            <m:rPr>
              <m:sty m:val="p"/>
            </m:rPr>
            <m:t>(</m:t>
          </m:r>
          <m:r>
            <m:t>κ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κ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κ</m:t>
              </m:r>
            </m:e>
          </m:rad>
          <m:r>
            <m:t> </m:t>
          </m:r>
          <m:r>
            <m:t>d</m:t>
          </m:r>
          <m:r>
            <m:rPr>
              <m:sty m:val="p"/>
            </m:rPr>
            <m:t>coth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κ</m:t>
                  </m:r>
                </m:e>
              </m:rad>
              <m:r>
                <m:t> </m:t>
              </m:r>
              <m:r>
                <m:t>d</m:t>
              </m:r>
            </m:e>
          </m:d>
          <m:r>
            <m:t> </m:t>
          </m:r>
          <m:r>
            <m:rPr>
              <m:sty m:val="p"/>
            </m:rPr>
            <m:t>(</m:t>
          </m:r>
          <m:r>
            <m:t>κ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Fréchet Hessian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t> 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For</w:t>
      </w:r>
      <w:r>
        <w:t xml:space="preserve"> </w:t>
      </w:r>
      <m:oMath>
        <m:r>
          <m:t>κ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κ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geodesically convex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globally unique</w:t>
      </w:r>
      <w:r>
        <w:t xml:space="preserve"> </w:t>
      </w:r>
      <w:r>
        <w:t xml:space="preserve">(the Hadamard case). For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κ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1</m:t>
        </m:r>
      </m:oMath>
      <w:r>
        <w:t xml:space="preserve">, reaches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)</m:t>
        </m:r>
      </m:oMath>
      <w:r>
        <w:t xml:space="preserve">, and goes negative beyond —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lose convexity and acquire multiple minima once valuations spread.</w:t>
      </w:r>
      <w:r>
        <w:t xml:space="preserve"> </w:t>
      </w:r>
      <w:r>
        <w:rPr>
          <w:b/>
          <w:bCs/>
        </w:rPr>
        <w:t xml:space="preserve">Schism is therefore a strictly positive-curvature phenomenon: on flat or negatively curved value space, geometry alone cannot split the reference.</w:t>
      </w:r>
    </w:p>
    <w:p>
      <w:pPr>
        <w:pStyle w:val="BodyText"/>
      </w:pPr>
      <w:r>
        <w:rPr>
          <w:b/>
          <w:bCs/>
        </w:rPr>
        <w:t xml:space="preserve">Worked case (exactly solvable).</w:t>
      </w:r>
      <w:r>
        <w:t xml:space="preserve"> </w:t>
      </w:r>
      <w:r>
        <w:t xml:space="preserve">Put equal loads at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on the space form</w:t>
      </w:r>
      <w:r>
        <w:t xml:space="preserve"> </w:t>
      </w:r>
      <m:oMath>
        <m:sSubSup>
          <m:e>
            <m:r>
              <m:t>S</m:t>
            </m:r>
          </m:e>
          <m:sub>
            <m:r>
              <m:t>κ</m:t>
            </m:r>
          </m:sub>
          <m:sup>
            <m:r>
              <m:t>n</m:t>
            </m:r>
          </m:sup>
        </m:sSubSup>
      </m:oMath>
      <w:r>
        <w:t xml:space="preserve">, at geodesic separation</w:t>
      </w:r>
      <w:r>
        <w:t xml:space="preserve"> </w:t>
      </w:r>
      <m:oMath>
        <m:r>
          <m:t>2</m:t>
        </m:r>
        <m:r>
          <m:t>δ</m:t>
        </m:r>
      </m:oMath>
      <w:r>
        <w:t xml:space="preserve">. By symmetry the midpoint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; its Hessian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along the</w:t>
      </w:r>
      <w:r>
        <w:t xml:space="preserve"> </w:t>
      </w:r>
      <m:oMath>
        <m:r>
          <m:t>A</m:t>
        </m:r>
        <m:r>
          <m:t>​</m:t>
        </m:r>
        <m:r>
          <m:rPr>
            <m:sty m:val="p"/>
          </m:rPr>
          <m:t>−</m:t>
        </m:r>
        <m:r>
          <m:t>​</m:t>
        </m:r>
        <m:r>
          <m:t>B</m:t>
        </m:r>
      </m:oMath>
      <w:r>
        <w:t xml:space="preserve"> </w:t>
      </w:r>
      <w:r>
        <w:t xml:space="preserve">axis and</w:t>
      </w:r>
      <w:r>
        <w:t xml:space="preserve"> </w:t>
      </w:r>
      <m:oMath>
        <m:sSub>
          <m:e>
            <m:r>
              <m:t>h</m:t>
            </m:r>
          </m:e>
          <m:sub>
            <m:r>
              <m:t>κ</m:t>
            </m:r>
          </m:sub>
        </m:sSub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t>δ</m:t>
        </m:r>
        <m:r>
          <m:rPr>
            <m:sty m:val="p"/>
          </m:rPr>
          <m:t>cot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orthogonal to it. Hence:</w:t>
      </w:r>
    </w:p>
    <w:p>
      <w:pPr>
        <w:pStyle w:val="Compact"/>
        <w:numPr>
          <w:ilvl w:val="0"/>
          <w:numId w:val="1004"/>
        </w:numPr>
      </w:pPr>
      <m:oMath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t>δ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the midpoint is the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reference.</w:t>
      </w:r>
      <w:r>
        <w:t xml:space="preserve"> </w:t>
      </w:r>
      <w:r>
        <w:rPr>
          <w:i/>
          <w:iCs/>
        </w:rPr>
        <w:t xml:space="preserve">Ordinary pluralism:</w:t>
      </w:r>
      <w:r>
        <w:t xml:space="preserve"> </w:t>
      </w:r>
      <w:r>
        <w:t xml:space="preserve">people disagree, but share one neutral.</w:t>
      </w:r>
    </w:p>
    <w:p>
      <w:pPr>
        <w:pStyle w:val="Compact"/>
        <w:numPr>
          <w:ilvl w:val="0"/>
          <w:numId w:val="1004"/>
        </w:numPr>
      </w:pPr>
      <m:oMath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t>δ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the orthogonal stiffness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; the reference goes</w:t>
      </w:r>
      <w:r>
        <w:t xml:space="preserve"> </w:t>
      </w:r>
      <w:r>
        <w:rPr>
          <w:b/>
          <w:bCs/>
        </w:rPr>
        <w:t xml:space="preserve">degenerate</w:t>
      </w:r>
      <w:r>
        <w:t xml:space="preserve"> </w:t>
      </w:r>
      <w:r>
        <w:t xml:space="preserve">(a whole subsphere of equally good neutrals): the bifurcation point.</w:t>
      </w:r>
    </w:p>
    <w:p>
      <w:pPr>
        <w:pStyle w:val="Compact"/>
        <w:numPr>
          <w:ilvl w:val="0"/>
          <w:numId w:val="1004"/>
        </w:numPr>
      </w:pPr>
      <w:r>
        <w:t xml:space="preserve">Beyond it (resolved by a third cluster, asymmetric weights, or variable curvature) the degeneracy breaks into</w:t>
      </w:r>
      <w:r>
        <w:t xml:space="preserve"> </w:t>
      </w:r>
      <w:r>
        <w:rPr>
          <w:b/>
          <w:bCs/>
        </w:rPr>
        <w:t xml:space="preserve">discrete competing references</w:t>
      </w:r>
      <w:r>
        <w:t xml:space="preserve"> </w:t>
      </w:r>
      <w:r>
        <w:t xml:space="preserve">— a saddle-node/pitchfork in which the single center becomes a saddle and sub-community neutrals split off around it.</w:t>
      </w:r>
    </w:p>
    <w:p>
      <w:pPr>
        <w:pStyle w:val="FirstParagraph"/>
      </w:pPr>
      <w:r>
        <w:rPr>
          <w:b/>
          <w:bCs/>
        </w:rPr>
        <w:t xml:space="preserve">Proposition 2 (Schism threshold).</w:t>
      </w:r>
      <w:r>
        <w:t xml:space="preserve"> </w:t>
      </w:r>
      <w:r>
        <w:rPr>
          <w:i/>
          <w:iCs/>
        </w:rPr>
        <w:t xml:space="preserve">Let the loads lie in a region of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sectional curvature</w:t>
      </w:r>
      <w:r>
        <w:rPr>
          <w:i/>
          <w:iCs/>
        </w:rPr>
        <w:t xml:space="preserve"> </w:t>
      </w:r>
      <m:oMath>
        <m:r>
          <m:rPr>
            <m:sty m:val="p"/>
          </m:rPr>
          <m:t>≤</m:t>
        </m:r>
        <m:r>
          <m:t>κ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(weighted) dispersion radius</w:t>
      </w:r>
      <w:r>
        <w:rPr>
          <w:i/>
          <w:iCs/>
        </w:rPr>
        <w:t xml:space="preserve"> </w:t>
      </w:r>
      <m:oMath>
        <m:r>
          <m:t>ρ</m:t>
        </m:r>
      </m:oMath>
      <w:r>
        <w:rPr>
          <w:i/>
          <w:iCs/>
        </w:rPr>
        <w:t xml:space="preserve">. If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&lt;</m:t>
        </m:r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min</m:t>
        </m:r>
        <m:r>
          <m:rPr>
            <m:sty m:val="p"/>
          </m:rPr>
          <m:t>{</m:t>
        </m:r>
        <m:r>
          <m:t> 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j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rPr>
            <m:sty m:val="p"/>
          </m:rPr>
          <m:t>}</m:t>
        </m:r>
      </m:oMath>
      <w:r>
        <w:rPr>
          <w:i/>
          <w:iCs/>
        </w:rPr>
        <w:t xml:space="preserve">, the moral reference is unique [Karcher 1977; Afsari 2011]. If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&gt;</m:t>
        </m:r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 the Fréchet function may admit multiple minimizers — the reference bifurcates. For</w:t>
      </w:r>
      <w:r>
        <w:rPr>
          <w:i/>
          <w:iCs/>
        </w:rPr>
        <w:t xml:space="preserve"> </w:t>
      </w:r>
      <m:oMath>
        <m:r>
          <m:t>κ</m:t>
        </m:r>
        <m:r>
          <m:rPr>
            <m:sty m:val="p"/>
          </m:rPr>
          <m:t>≤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i/>
          <w:iCs/>
        </w:rPr>
        <w:t xml:space="preserve">: no geometric schism is possible.</w:t>
      </w:r>
    </w:p>
    <w:p>
      <w:pPr>
        <w:pStyle w:val="CaptionedFigure"/>
      </w:pPr>
      <w:r>
        <w:drawing>
          <wp:inline>
            <wp:extent cx="5334000" cy="2036618"/>
            <wp:effectExtent b="0" l="0" r="0" t="0"/>
            <wp:docPr descr="Schism as a bifurcation of the moral reference. (a) As dispersion \rho crosses the curvature-set threshold \rho^{*}, the single floating neutral loses stability (dashed) and two competing references split off — a pitchfork. (b) The exact schism stiffness h_\kappa(\delta)=\sqrt{\kappa}\,\delta\cot(\sqrt{\kappa}\,\delta) for the symmetric two-cluster sphere falls to zero at \sqrt{\kappa}\,\delta=\pi/2; its vanishing is the critical slowing-down of §5.7." title="" id="20" name="Picture"/>
            <a:graphic>
              <a:graphicData uri="http://schemas.openxmlformats.org/drawingml/2006/picture">
                <pic:pic>
                  <pic:nvPicPr>
                    <pic:cNvPr descr="figures/ert_bifurc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Schism as a bifurcation of the moral reference.</w:t>
      </w:r>
      <w:r>
        <w:t xml:space="preserve"> </w:t>
      </w:r>
      <w:r>
        <w:t xml:space="preserve">(a) As dispersion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crosses the curvature-set threshold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single floating neutral loses stability (dashed) and two competing references split off — a pitchfork. (b) The exact schism stiffness</w:t>
      </w:r>
      <w:r>
        <w:t xml:space="preserve"> </w:t>
      </w:r>
      <m:oMath>
        <m:sSub>
          <m:e>
            <m:r>
              <m:t>h</m:t>
            </m:r>
          </m:e>
          <m:sub>
            <m:r>
              <m:t>κ</m:t>
            </m:r>
          </m:sub>
        </m:sSub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t>δ</m:t>
        </m:r>
        <m:r>
          <m:rPr>
            <m:sty m:val="p"/>
          </m:rPr>
          <m:t>cot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symmetric two-cluster sphere falls to zero at</w:t>
      </w:r>
      <w:r>
        <w:t xml:space="preserve"> </w:t>
      </w:r>
      <m:oMath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; its vanishing is the critical slowing-down of §5.7.</w:t>
      </w:r>
    </w:p>
    <w:p>
      <w:pPr>
        <w:pStyle w:val="BodyText"/>
      </w:pPr>
      <w:r>
        <w:rPr>
          <w:b/>
          <w:bCs/>
        </w:rPr>
        <w:t xml:space="preserve">Why this is the right picture of schism.</w:t>
      </w:r>
      <w:r>
        <w:t xml:space="preserve"> </w:t>
      </w:r>
      <w:r>
        <w:t xml:space="preserve">Positive curvature in value space is exactly the regime where the geodesic</w:t>
      </w:r>
      <w:r>
        <w:t xml:space="preserve"> </w:t>
      </w:r>
      <w:r>
        <w:rPr>
          <w:i/>
          <w:iCs/>
        </w:rPr>
        <w:t xml:space="preserve">compromise</w:t>
      </w:r>
      <w:r>
        <w:t xml:space="preserve"> </w:t>
      </w:r>
      <w:r>
        <w:t xml:space="preserve">between two positions is</w:t>
      </w:r>
      <w:r>
        <w:t xml:space="preserve"> </w:t>
      </w:r>
      <w:r>
        <w:rPr>
          <w:b/>
          <w:bCs/>
        </w:rPr>
        <w:t xml:space="preserve">worse than either pole</w:t>
      </w:r>
      <w:r>
        <w:t xml:space="preserve"> </w:t>
      </w:r>
      <w:r>
        <w:t xml:space="preserve">— where splitting the difference satisfies no one. That is the signature of sacred or protected values, on which half-measures read as betrayal. Negative or flat curvature is the regime of ordinary, tradeable values, where intermediate positions are stable. ERT therefore predicts that</w:t>
      </w:r>
      <w:r>
        <w:t xml:space="preserve"> </w:t>
      </w:r>
      <w:r>
        <w:rPr>
          <w:b/>
          <w:bCs/>
        </w:rPr>
        <w:t xml:space="preserve">schisms concentrate on the high-curvature (sacred/identity) axes of the moral manifold and not on the tradeable ones</w:t>
      </w:r>
      <w:r>
        <w:t xml:space="preserve"> </w:t>
      </w:r>
      <w:r>
        <w:t xml:space="preserve">— and it explains schism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either faction being in error (contra error theory) and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an external arbiter (no anchor): the two post-schism communities are simply different stable basins of the same Fréchet landscape, each internally coherent. The split is geometric, not moral.</w:t>
      </w:r>
    </w:p>
    <w:bookmarkEnd w:id="22"/>
    <w:bookmarkStart w:id="23" w:name="Xfce8b53e983603bea0d8ba5154c32c73bbe1a92"/>
    <w:p>
      <w:pPr>
        <w:pStyle w:val="Heading3"/>
      </w:pPr>
      <w:r>
        <w:t xml:space="preserve">5.7 Critical slowing-down: an early-warning signal</w:t>
      </w:r>
    </w:p>
    <w:p>
      <w:pPr>
        <w:pStyle w:val="FirstParagraph"/>
      </w:pPr>
      <w:r>
        <w:t xml:space="preserve">The threshold is not just a static fact; coupled to the reflexive dynamics of §5.2–5.4 it becomes</w:t>
      </w:r>
      <w:r>
        <w:t xml:space="preserve"> </w:t>
      </w:r>
      <w:r>
        <w:rPr>
          <w:i/>
          <w:iCs/>
        </w:rPr>
        <w:t xml:space="preserve">predictive</w:t>
      </w:r>
      <w:r>
        <w:t xml:space="preserve">. As a population’s dispersion drifts toward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(driven by the reweighting term in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t xml:space="preserve">), the orthogonal stiffness</w:t>
      </w:r>
      <w:r>
        <w:t xml:space="preserve"> </w:t>
      </w:r>
      <m:oMath>
        <m:sSub>
          <m:e>
            <m:r>
              <m:t>h</m:t>
            </m:r>
          </m:e>
          <m:sub>
            <m:r>
              <m:t>κ</m:t>
            </m:r>
          </m:sub>
        </m:sSub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: the reference’s restoring curvature vanishes. This is the generic precursor of a saddle-node/pitchfork bifurcation —</w:t>
      </w:r>
      <w:r>
        <w:t xml:space="preserve"> </w:t>
      </w:r>
      <w:r>
        <w:rPr>
          <w:b/>
          <w:bCs/>
        </w:rPr>
        <w:t xml:space="preserve">critical slowing-down</w:t>
      </w:r>
      <w:r>
        <w:t xml:space="preserve"> </w:t>
      </w:r>
      <w:r>
        <w:t xml:space="preserve">— and it yields measurable early-warning signals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schism actually occurs: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Rising recovery time</w:t>
      </w:r>
      <w:r>
        <w:t xml:space="preserve"> </w:t>
      </w:r>
      <w:r>
        <w:t xml:space="preserve">— the aggregate reference relaxes ever more slowly after shocks (autocorrelation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rises toward 1);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Rising variance/volatility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under constant perturbation;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Flattening</w:t>
      </w:r>
      <w:r>
        <w:t xml:space="preserve"> </w:t>
      </w:r>
      <w:r>
        <w:t xml:space="preserve">of the Fréchet landscape around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(the smallest Hessian eigenvalue trends to zero).</w:t>
      </w:r>
    </w:p>
    <w:p>
      <w:pPr>
        <w:pStyle w:val="FirstParagraph"/>
      </w:pPr>
      <w:r>
        <w:t xml:space="preserve">Operationally, on longitudinal moral-survey or corpus time-series, a community approaching schism should show its reference becoming</w:t>
      </w:r>
      <w:r>
        <w:t xml:space="preserve"> </w:t>
      </w:r>
      <w:r>
        <w:rPr>
          <w:i/>
          <w:iCs/>
        </w:rPr>
        <w:t xml:space="preserve">more volatile and slower to recover</w:t>
      </w:r>
      <w:r>
        <w:t xml:space="preserve"> </w:t>
      </w:r>
      <w:r>
        <w:t xml:space="preserve">in the run-up to the split — a prediction sharply distinct from</w:t>
      </w:r>
      <w:r>
        <w:t xml:space="preserve"> </w:t>
      </w:r>
      <w:r>
        <w:t xml:space="preserve">“the groups simply drifted apart,”</w:t>
      </w:r>
      <w:r>
        <w:t xml:space="preserve"> </w:t>
      </w:r>
      <w:r>
        <w:t xml:space="preserve">and testable with the same instruments as §6. Schism, on this account, is forecastable.</w:t>
      </w:r>
    </w:p>
    <w:p>
      <w:pPr>
        <w:pStyle w:val="BodyText"/>
      </w:pPr>
      <w:r>
        <w:rPr>
          <w:b/>
          <w:bCs/>
        </w:rPr>
        <w:t xml:space="preserve">Honest caveats.</w:t>
      </w:r>
      <w:r>
        <w:t xml:space="preserve"> </w:t>
      </w:r>
      <w:r>
        <w:t xml:space="preserve">The closed-form thresholds assume constant curvature and the symmetric configuration; the real moral manifold is stratified with variable curvature, so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and cut-locus structure matters (§5.8). The curvature</w:t>
      </w:r>
      <m:oMath>
        <m:r>
          <m:t> </m:t>
        </m:r>
        <m:r>
          <m:rPr>
            <m:sty m:val="p"/>
          </m:rPr>
          <m:t>↔</m:t>
        </m:r>
        <m:r>
          <m:t> </m:t>
        </m:r>
      </m:oMath>
      <w:r>
        <w:t xml:space="preserve">sacred-value correspondence is a conjecture to be measured, not a result. And</w:t>
      </w:r>
      <w:r>
        <w:t xml:space="preserve"> </w:t>
      </w:r>
      <w:r>
        <w:t xml:space="preserve">“multiple Karcher means exist”</w:t>
      </w:r>
      <w:r>
        <w:t xml:space="preserve"> </w:t>
      </w:r>
      <w:r>
        <w:t xml:space="preserve">is necessary, not sufficient, for an observed social schism — the dynamics must also carry sub-populations into the distinct basins.</w:t>
      </w:r>
    </w:p>
    <w:bookmarkEnd w:id="23"/>
    <w:bookmarkStart w:id="24" w:name="open-problems"/>
    <w:p>
      <w:pPr>
        <w:pStyle w:val="Heading3"/>
      </w:pPr>
      <w:r>
        <w:t xml:space="preserve">5.8 Open problems</w:t>
      </w:r>
    </w:p>
    <w:p>
      <w:pPr>
        <w:pStyle w:val="FirstParagraph"/>
      </w:pPr>
      <w:r>
        <w:t xml:space="preserve">Existence, uniqueness, and stability of the self-referential equilibrium on</w:t>
      </w:r>
      <w:r>
        <w:t xml:space="preserve"> </w:t>
      </w:r>
      <m:oMath>
        <m:r>
          <m:t>M</m:t>
        </m:r>
      </m:oMath>
      <w:r>
        <w:t xml:space="preserve">; the full bifurcation classification under joint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dynamics; conditions for Fréchet-mean uniqueness on the</w:t>
      </w:r>
      <w:r>
        <w:t xml:space="preserve"> </w:t>
      </w:r>
      <w:r>
        <w:rPr>
          <w:i/>
          <w:iCs/>
        </w:rPr>
        <w:t xml:space="preserve">stratified</w:t>
      </w:r>
      <w:r>
        <w:t xml:space="preserve"> </w:t>
      </w:r>
      <w:r>
        <w:t xml:space="preserve">moral manifold (cut-locus and curvature bounds beyond [Afsari 2011]); and the empirical estimation of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recovery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t xml:space="preserve"> </w:t>
      </w:r>
      <w:r>
        <w:t xml:space="preserve">from longitudinal moral-survey data. The last is the bridge back to the corpus evidence of §6 and to the falsification tests of §8.</w:t>
      </w:r>
    </w:p>
    <w:bookmarkEnd w:id="24"/>
    <w:bookmarkEnd w:id="25"/>
    <w:bookmarkStart w:id="26" w:name="evidence-why-references-cluster"/>
    <w:p>
      <w:pPr>
        <w:pStyle w:val="Heading2"/>
      </w:pPr>
      <w:r>
        <w:t xml:space="preserve">6. Evidence: why references cluster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endogenous, distinct societies are distinct load configurations and should, in general, determine distinct references. Why, then, the striking cross-cultural agreement on core norms?</w:t>
      </w:r>
    </w:p>
    <w:p>
      <w:pPr>
        <w:pStyle w:val="BodyText"/>
      </w:pPr>
      <w:r>
        <w:t xml:space="preserve">ERT’s answer is mechanical, not metaphysical:</w:t>
      </w:r>
      <w:r>
        <w:t xml:space="preserve"> </w:t>
      </w:r>
      <w:r>
        <w:rPr>
          <w:b/>
          <w:bCs/>
        </w:rPr>
        <w:t xml:space="preserve">human load configurations cluster, so their neutrals cluster.</w:t>
      </w:r>
      <w:r>
        <w:t xml:space="preserve"> </w:t>
      </w:r>
      <w:r>
        <w:t xml:space="preserve">Shared embodiment, shared social pressures, and shared dependence on cooperation make the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of independent cultures similar enough that their weighted Fréchet means fall near one another —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any common external anchor pulling them there. Convergence is evidence of</w:t>
      </w:r>
      <w:r>
        <w:t xml:space="preserve"> </w:t>
      </w:r>
      <w:r>
        <w:rPr>
          <w:i/>
          <w:iCs/>
        </w:rPr>
        <w:t xml:space="preserve">similar loads</w:t>
      </w:r>
      <w:r>
        <w:t xml:space="preserve">, not of a shared ground.</w:t>
      </w:r>
    </w:p>
    <w:p>
      <w:pPr>
        <w:pStyle w:val="BodyText"/>
      </w:pPr>
      <w:r>
        <w:t xml:space="preserve">This reframes the empirical program of Geometric Ethics. Analysis of a large cross-lingual normative corpus (≈109,000 passages across eleven languages and roughly three millennia) [Bond 2026] finds that the</w:t>
      </w:r>
      <w:r>
        <w:t xml:space="preserve"> </w:t>
      </w:r>
      <w:r>
        <w:rPr>
          <w:i/>
          <w:iCs/>
        </w:rPr>
        <w:t xml:space="preserve">dimensional structure</w:t>
      </w:r>
      <w:r>
        <w:t xml:space="preserve"> </w:t>
      </w:r>
      <w:r>
        <w:t xml:space="preserve">of moral evaluation is stable across languages and eras — the same low-dimensional axes recur regardless of framing. On ERT, that stability is the</w:t>
      </w:r>
      <w:r>
        <w:t xml:space="preserve"> </w:t>
      </w:r>
      <w:r>
        <w:rPr>
          <w:b/>
          <w:bCs/>
        </w:rPr>
        <w:t xml:space="preserve">phase structure</w:t>
      </w:r>
      <w:r>
        <w:t xml:space="preserve"> </w:t>
      </w:r>
      <w:r>
        <w:t xml:space="preserve">(the dimensions along which loads can sit), and the cross-cultural agreement on particular verdicts is the</w:t>
      </w:r>
      <w:r>
        <w:t xml:space="preserve"> </w:t>
      </w:r>
      <w:r>
        <w:rPr>
          <w:b/>
          <w:bCs/>
        </w:rPr>
        <w:t xml:space="preserve">clustering of neutrals</w:t>
      </w:r>
      <w:r>
        <w:t xml:space="preserve"> </w:t>
      </w:r>
      <w:r>
        <w:t xml:space="preserve">within it. The program</w:t>
      </w:r>
      <w:r>
        <w:t xml:space="preserve"> </w:t>
      </w:r>
      <w:r>
        <w:rPr>
          <w:i/>
          <w:iCs/>
        </w:rPr>
        <w:t xml:space="preserve">measures the neutral</w:t>
      </w:r>
      <w:r>
        <w:t xml:space="preserve">; it does not legislate it.</w:t>
      </w:r>
    </w:p>
    <w:p>
      <w:pPr>
        <w:pStyle w:val="BodyText"/>
      </w:pPr>
      <w:r>
        <w:t xml:space="preserve">One honest caveat carries over: the strongest decoding results are measured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a multilingual embedding model whose language-agnostic representation may itself carry some of the apparent universality. Until that confound is excluded,</w:t>
      </w:r>
      <w:r>
        <w:t xml:space="preserve"> </w:t>
      </w:r>
      <w:r>
        <w:t xml:space="preserve">“the axes are invariant”</w:t>
      </w:r>
      <w:r>
        <w:t xml:space="preserve"> </w:t>
      </w:r>
      <w:r>
        <w:t xml:space="preserve">retains a deflationary reading — which ERT can absorb (the instrument would then be measuring a real but partly representational structure) but should not hide.</w:t>
      </w:r>
    </w:p>
    <w:bookmarkEnd w:id="26"/>
    <w:bookmarkStart w:id="27" w:name="relation-to-existing-positions"/>
    <w:p>
      <w:pPr>
        <w:pStyle w:val="Heading2"/>
      </w:pPr>
      <w:r>
        <w:t xml:space="preserve">7. Relation to existing positions</w:t>
      </w:r>
    </w:p>
    <w:p>
      <w:pPr>
        <w:pStyle w:val="FirstParagraph"/>
      </w:pPr>
      <w:r>
        <w:t xml:space="preserve">ERT is not error theory: Mackie [1977] holds there are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moral facts, only systematic error; ERT holds there is a determinate fact — the location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that simply lacks authority. It is not quasi-realism (Blackburn [1998]):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computed from real loads, not projected from attitudes and then talked about</w:t>
      </w:r>
      <w:r>
        <w:t xml:space="preserve"> </w:t>
      </w:r>
      <w:r>
        <w:rPr>
          <w:i/>
          <w:iCs/>
        </w:rPr>
        <w:t xml:space="preserve">as if</w:t>
      </w:r>
      <w:r>
        <w:t xml:space="preserve"> </w:t>
      </w:r>
      <w:r>
        <w:t xml:space="preserve">real. It is closest in spirit to</w:t>
      </w:r>
      <w:r>
        <w:t xml:space="preserve"> </w:t>
      </w:r>
      <w:r>
        <w:rPr>
          <w:b/>
          <w:bCs/>
        </w:rPr>
        <w:t xml:space="preserve">constructivism</w:t>
      </w:r>
      <w:r>
        <w:t xml:space="preserve"> </w:t>
      </w:r>
      <w:r>
        <w:t xml:space="preserve">(Street [2006]; Korsgaard [1996]) — morality as constituted by valuers rather than found — but supplies what constructivism characteristically lacks: an</w:t>
      </w:r>
      <w:r>
        <w:t xml:space="preserve"> </w:t>
      </w:r>
      <w:r>
        <w:rPr>
          <w:i/>
          <w:iCs/>
        </w:rPr>
        <w:t xml:space="preserve">explicit, falsifiable construction</w:t>
      </w:r>
      <w:r>
        <w:t xml:space="preserve"> </w:t>
      </w:r>
      <w:r>
        <w:t xml:space="preserve">(the weighted Fréchet mean) and a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(the control law). It is compatible with naturalist programs (Railton [1986]; Boyd [1988]) and with</w:t>
      </w:r>
      <w:r>
        <w:t xml:space="preserve"> </w:t>
      </w:r>
      <w:r>
        <w:t xml:space="preserve">“morality as cooperation”</w:t>
      </w:r>
      <w:r>
        <w:t xml:space="preserve"> </w:t>
      </w:r>
      <w:r>
        <w:t xml:space="preserve">(Curry et al. [2019]), which it can read as accounts of</w:t>
      </w:r>
      <w:r>
        <w:t xml:space="preserve"> </w:t>
      </w:r>
      <w:r>
        <w:rPr>
          <w:i/>
          <w:iCs/>
        </w:rPr>
        <w:t xml:space="preserve">why the loads sit where they do.</w:t>
      </w:r>
      <w:r>
        <w:t xml:space="preserve"> </w:t>
      </w:r>
      <w:r>
        <w:t xml:space="preserve">Its distinctive commitments are the two halves held together:</w:t>
      </w:r>
      <w:r>
        <w:t xml:space="preserve"> </w:t>
      </w:r>
      <w:r>
        <w:rPr>
          <w:b/>
          <w:bCs/>
        </w:rPr>
        <w:t xml:space="preserve">realism about the reference, deflationism about authority</w:t>
      </w:r>
      <w:r>
        <w:t xml:space="preserve"> </w:t>
      </w:r>
      <w:r>
        <w:t xml:space="preserve">— a combination the standard taxonomy does not have a box for, because the taxonomy presupposes the anchoring assumption ERT denies.</w:t>
      </w:r>
    </w:p>
    <w:bookmarkEnd w:id="27"/>
    <w:bookmarkStart w:id="28" w:name="falsifiability"/>
    <w:p>
      <w:pPr>
        <w:pStyle w:val="Heading2"/>
      </w:pPr>
      <w:r>
        <w:t xml:space="preserve">8. Falsifiability</w:t>
      </w:r>
    </w:p>
    <w:p>
      <w:pPr>
        <w:pStyle w:val="FirstParagraph"/>
      </w:pPr>
      <w:r>
        <w:t xml:space="preserve">In the Philosophy Engineering tradition, a metaethical claim earns its keep by entailing testable predictions. ERT would be undermined if: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Reference indeterminacy.</w:t>
      </w:r>
      <w:r>
        <w:t xml:space="preserve"> </w:t>
      </w:r>
      <w:r>
        <w:t xml:space="preserve">Moral systems with stable, shared load configurations nonetheless exhibited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determinate reference — verdicts scattering with no computable center. (ERT predicts a determinate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wherever loads are well-defined.)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Load-independence.</w:t>
      </w:r>
      <w:r>
        <w:t xml:space="preserve"> </w:t>
      </w:r>
      <w:r>
        <w:t xml:space="preserve">The reference failed to track the loads — e.g., shifting valuations across a population left aggregate moral verdicts unchanged, or vice versa. (ERT predicts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moves with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as Millman/Fréchet prescribes.)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Anchor signature.</w:t>
      </w:r>
      <w:r>
        <w:t xml:space="preserve"> </w:t>
      </w:r>
      <w:r>
        <w:t xml:space="preserve">Cross-cultural convergence persisted</w:t>
      </w:r>
      <w:r>
        <w:t xml:space="preserve"> </w:t>
      </w:r>
      <w:r>
        <w:rPr>
          <w:i/>
          <w:iCs/>
        </w:rPr>
        <w:t xml:space="preserve">even where loads diverge</w:t>
      </w:r>
      <w:r>
        <w:t xml:space="preserve"> </w:t>
      </w:r>
      <w:r>
        <w:t xml:space="preserve">— references coinciding despite dissimilar configurations — which would be evidence of an external attractor (an anchor) after all, contra endogeneity.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Dynamical mismatch.</w:t>
      </w:r>
      <w:r>
        <w:t xml:space="preserve"> </w:t>
      </w:r>
      <w:r>
        <w:t xml:space="preserve">Observed moral change failed to obey a feedback law of the stated form — e.g., displacement from the current reference had no predictive relation to subsequent valuation shifts.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Schism without curvature.</w:t>
      </w:r>
      <w:r>
        <w:t xml:space="preserve"> </w:t>
      </w:r>
      <w:r>
        <w:t xml:space="preserve">Communities fractured into stable, competing references</w:t>
      </w:r>
      <w:r>
        <w:t xml:space="preserve"> </w:t>
      </w:r>
      <w:r>
        <w:rPr>
          <w:i/>
          <w:iCs/>
        </w:rPr>
        <w:t xml:space="preserve">independently of value-space curvature</w:t>
      </w:r>
      <w:r>
        <w:t xml:space="preserve"> </w:t>
      </w:r>
      <w:r>
        <w:t xml:space="preserve">— splitting as readily on low-curvature (tradeable) axes as on high-curvature (sacred/identity) ones, or splitting while dispersion stayed well below the estimated threshold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(ERT predicts schism is confined to high-curvature axes and to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§5.6.)</w:t>
      </w:r>
      <w:r>
        <w:t xml:space="preserve"> </w:t>
      </w:r>
      <w:r>
        <w:rPr>
          <w:i/>
          <w:iCs/>
        </w:rPr>
        <w:t xml:space="preserve">Concretely:</w:t>
      </w:r>
      <w:r>
        <w:t xml:space="preserve"> </w:t>
      </w:r>
      <w:r>
        <w:t xml:space="preserve">estimate the metric and curvature from the corpus/survey embedding, locate the high-</w:t>
      </w:r>
      <m:oMath>
        <m:r>
          <m:t>κ</m:t>
        </m:r>
      </m:oMath>
      <w:r>
        <w:t xml:space="preserve"> </w:t>
      </w:r>
      <w:r>
        <w:t xml:space="preserve">axes, and test whether documented schisms (denominational splits, party realignments, professional-ethics fractures) concentrate there and cross the threshold — not on the low-</w:t>
      </w:r>
      <m:oMath>
        <m:r>
          <m:t>κ</m:t>
        </m:r>
      </m:oMath>
      <w:r>
        <w:t xml:space="preserve"> </w:t>
      </w:r>
      <w:r>
        <w:t xml:space="preserve">ones.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Schism without warning.</w:t>
      </w:r>
      <w:r>
        <w:t xml:space="preserve"> </w:t>
      </w:r>
      <w:r>
        <w:t xml:space="preserve">Observed splits arrived as abrupt jumps with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precursor — no rise in the reference’s recovery time or variance beforehand — or those critical-slowing-down signals appeared just as often in communities that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split. (ERT predicts a measurable slowing-down 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§5.7.)</w:t>
      </w:r>
      <w:r>
        <w:t xml:space="preserve"> </w:t>
      </w:r>
      <w:r>
        <w:rPr>
          <w:i/>
          <w:iCs/>
        </w:rPr>
        <w:t xml:space="preserve">Concretely:</w:t>
      </w:r>
      <w:r>
        <w:t xml:space="preserve"> </w:t>
      </w:r>
      <w:r>
        <w:t xml:space="preserve">on a moral time series, compute the lag-1 autocorrelation and variance of the aggregate reference in a sliding window; ERT requires both to trend upward in the run-up to a schism and to be absent in matched non-splitting controls.</w:t>
      </w:r>
    </w:p>
    <w:p>
      <w:pPr>
        <w:pStyle w:val="FirstParagraph"/>
      </w:pPr>
      <w:r>
        <w:t xml:space="preserve">These are demanding and, with population-scale moral measurement, approachable. Tests 5–6 are the sharpest: they target the schism result (§5.6–5.7), which has no scalar or flat-space analogue, so a clean negative there would falsify ERT’s distinctive content specifically — not merely some shared feature of structural metaethics.</w:t>
      </w:r>
    </w:p>
    <w:bookmarkEnd w:id="28"/>
    <w:bookmarkStart w:id="29" w:name="limits-and-open-problems"/>
    <w:p>
      <w:pPr>
        <w:pStyle w:val="Heading2"/>
      </w:pPr>
      <w:r>
        <w:t xml:space="preserve">9. Limits and open problems</w:t>
      </w:r>
    </w:p>
    <w:p>
      <w:pPr>
        <w:pStyle w:val="FirstParagraph"/>
      </w:pPr>
      <w:r>
        <w:t xml:space="preserve">We close with what ERT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do. It</w:t>
      </w:r>
      <w:r>
        <w:t xml:space="preserve"> </w:t>
      </w:r>
      <w:r>
        <w:rPr>
          <w:b/>
          <w:bCs/>
        </w:rPr>
        <w:t xml:space="preserve">deflates</w:t>
      </w:r>
      <w:r>
        <w:t xml:space="preserve"> </w:t>
      </w:r>
      <w:r>
        <w:t xml:space="preserve">bindingness; those who want morality to</w:t>
      </w:r>
      <w:r>
        <w:t xml:space="preserve"> </w:t>
      </w:r>
      <w:r>
        <w:rPr>
          <w:i/>
          <w:iCs/>
        </w:rPr>
        <w:t xml:space="preserve">command</w:t>
      </w:r>
      <w:r>
        <w:t xml:space="preserve"> </w:t>
      </w:r>
      <w:r>
        <w:t xml:space="preserve">will find that demand unmet — by design, and they may reasonably regard this as changing the subject rather than answering it. The</w:t>
      </w:r>
      <w:r>
        <w:t xml:space="preserve"> </w:t>
      </w:r>
      <w:r>
        <w:rPr>
          <w:b/>
          <w:bCs/>
        </w:rPr>
        <w:t xml:space="preserve">reflexive dynamics</w:t>
      </w:r>
      <w:r>
        <w:t xml:space="preserve"> </w:t>
      </w:r>
      <w:r>
        <w:t xml:space="preserve">of §5 are stated, not solved; the existence, stability, and uniqueness conditions of the self-referential equilibrium are open. The</w:t>
      </w:r>
      <w: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inherits the embedding-instrument confound of §6. And there is a genuine</w:t>
      </w:r>
      <w:r>
        <w:t xml:space="preserve"> </w:t>
      </w:r>
      <w:r>
        <w:rPr>
          <w:b/>
          <w:bCs/>
        </w:rPr>
        <w:t xml:space="preserve">normativity-for-the-individual</w:t>
      </w:r>
      <w:r>
        <w:t xml:space="preserve"> </w:t>
      </w:r>
      <w:r>
        <w:t xml:space="preserve">residue: ERT explains where the system’s reference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why one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strain, but an agent can still ask</w:t>
      </w:r>
      <w:r>
        <w:t xml:space="preserve"> </w:t>
      </w:r>
      <w:r>
        <w:t xml:space="preserve">“why should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reduce my displacement?”</w:t>
      </w:r>
      <w:r>
        <w:t xml:space="preserve"> </w:t>
      </w:r>
      <w:r>
        <w:t xml:space="preserve">— to which ERT’s only answer is the honest one:</w:t>
      </w:r>
      <w:r>
        <w:t xml:space="preserve"> </w:t>
      </w:r>
      <w:r>
        <w:rPr>
          <w:i/>
          <w:iCs/>
        </w:rPr>
        <w:t xml:space="preserve">no external authority requires you to; the consequences of large displacement are simply real</w:t>
      </w:r>
      <w:r>
        <w:t xml:space="preserve"> </w:t>
      </w:r>
      <w:r>
        <w:t xml:space="preserve">— the overvoltage does not ask permission before it burns.</w:t>
      </w:r>
    </w:p>
    <w:p>
      <w:pPr>
        <w:pStyle w:val="BodyText"/>
      </w:pPr>
      <w:r>
        <w:t xml:space="preserve">That answer will not satisfy everyone. But it is the answer the floating neutral actually gives, and ERT’s contribution is to give it precisely: a moral reference that is real, computable, endogenous, consequential — and anchorless.</w:t>
      </w:r>
    </w:p>
    <w:p>
      <w:r>
        <w:pict>
          <v:rect style="width:0;height:1.5pt" o:hralign="center" o:hrstd="t" o:hr="t"/>
        </w:pict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Afsari, B. (2011). Riemannian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center of mass: existence, uniqueness, and convexity.</w:t>
      </w:r>
      <w:r>
        <w:t xml:space="preserve"> </w:t>
      </w:r>
      <w:r>
        <w:rPr>
          <w:i/>
          <w:iCs/>
        </w:rPr>
        <w:t xml:space="preserve">Proceedings of the American Mathematical Society</w:t>
      </w:r>
      <w:r>
        <w:t xml:space="preserve">, 139(2), 655–673.</w:t>
      </w:r>
    </w:p>
    <w:p>
      <w:pPr>
        <w:pStyle w:val="Compact"/>
        <w:numPr>
          <w:ilvl w:val="0"/>
          <w:numId w:val="1007"/>
        </w:numPr>
      </w:pPr>
      <w:r>
        <w:t xml:space="preserve">Blackburn, S. (1998).</w:t>
      </w:r>
      <w:r>
        <w:t xml:space="preserve"> </w:t>
      </w:r>
      <w:r>
        <w:rPr>
          <w:i/>
          <w:iCs/>
        </w:rPr>
        <w:t xml:space="preserve">Ruling Passions: A Theory of Practical Reasoning</w:t>
      </w:r>
      <w:r>
        <w:t xml:space="preserve">. Oxford University Press.</w:t>
      </w:r>
    </w:p>
    <w:p>
      <w:pPr>
        <w:pStyle w:val="Compact"/>
        <w:numPr>
          <w:ilvl w:val="0"/>
          <w:numId w:val="1007"/>
        </w:numPr>
      </w:pPr>
      <w:r>
        <w:t xml:space="preserve">Bond, A. H. (2026).</w:t>
      </w:r>
      <w:r>
        <w:t xml:space="preserve"> </w:t>
      </w:r>
      <w:r>
        <w:rPr>
          <w:i/>
          <w:iCs/>
        </w:rPr>
        <w:t xml:space="preserve">Geometric Ethics: A Foundational Theory of Moral Structure</w:t>
      </w:r>
      <w:r>
        <w:t xml:space="preserve"> </w:t>
      </w:r>
      <w:r>
        <w:t xml:space="preserve">(and the accompanying cross-lingual corpus analysis, ≈109,294 passages, 11 languages). Working paper / ErisML foundations.</w:t>
      </w:r>
    </w:p>
    <w:p>
      <w:pPr>
        <w:pStyle w:val="Compact"/>
        <w:numPr>
          <w:ilvl w:val="0"/>
          <w:numId w:val="1007"/>
        </w:numPr>
      </w:pPr>
      <w:r>
        <w:t xml:space="preserve">Boyd, R. (1988). How to Be a Moral Realist. In G. Sayre-McCord (Ed.),</w:t>
      </w:r>
      <w:r>
        <w:t xml:space="preserve"> </w:t>
      </w:r>
      <w:r>
        <w:rPr>
          <w:i/>
          <w:iCs/>
        </w:rPr>
        <w:t xml:space="preserve">Essays on Moral Realism</w:t>
      </w:r>
      <w:r>
        <w:t xml:space="preserve"> </w:t>
      </w:r>
      <w:r>
        <w:t xml:space="preserve">(pp. 181–228). Cornell University Press.</w:t>
      </w:r>
    </w:p>
    <w:p>
      <w:pPr>
        <w:pStyle w:val="Compact"/>
        <w:numPr>
          <w:ilvl w:val="0"/>
          <w:numId w:val="1007"/>
        </w:numPr>
      </w:pPr>
      <w:r>
        <w:t xml:space="preserve">Curry, O. S., Mullins, D. A., &amp; Whitehouse, H. (2019). Is It Good to Cooperate? Testing the Theory of Morality-as-Cooperation in 60 Societies.</w:t>
      </w:r>
      <w:r>
        <w:t xml:space="preserve"> </w:t>
      </w:r>
      <w:r>
        <w:rPr>
          <w:i/>
          <w:iCs/>
        </w:rPr>
        <w:t xml:space="preserve">Current Anthropology</w:t>
      </w:r>
      <w:r>
        <w:t xml:space="preserve">, 60(1), 47–69.</w:t>
      </w:r>
    </w:p>
    <w:p>
      <w:pPr>
        <w:pStyle w:val="Compact"/>
        <w:numPr>
          <w:ilvl w:val="0"/>
          <w:numId w:val="1007"/>
        </w:numPr>
      </w:pPr>
      <w:r>
        <w:t xml:space="preserve">DeGroot, M. H. (1974). Reaching a Consensus.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69(345), 118–121.</w:t>
      </w:r>
    </w:p>
    <w:p>
      <w:pPr>
        <w:pStyle w:val="Compact"/>
        <w:numPr>
          <w:ilvl w:val="0"/>
          <w:numId w:val="1007"/>
        </w:numPr>
      </w:pPr>
      <w:r>
        <w:t xml:space="preserve">Fréchet, M. (1948). Les éléments aléatoires de nature quelconque dans un espace distancié.</w:t>
      </w:r>
      <w:r>
        <w:t xml:space="preserve"> </w:t>
      </w:r>
      <w:r>
        <w:rPr>
          <w:i/>
          <w:iCs/>
        </w:rPr>
        <w:t xml:space="preserve">Annales de l’Institut Henri Poincaré</w:t>
      </w:r>
      <w:r>
        <w:t xml:space="preserve">, 10(4), 215–310.</w:t>
      </w:r>
    </w:p>
    <w:p>
      <w:pPr>
        <w:pStyle w:val="Compact"/>
        <w:numPr>
          <w:ilvl w:val="0"/>
          <w:numId w:val="1007"/>
        </w:numPr>
      </w:pPr>
      <w:r>
        <w:t xml:space="preserve">Hegselmann, R., &amp; Krause, U. (2002). Opinion Dynamics and Bounded Confidence: Models, Analysis, and Simulation.</w:t>
      </w:r>
      <w:r>
        <w:t xml:space="preserve"> </w:t>
      </w:r>
      <w:r>
        <w:rPr>
          <w:i/>
          <w:iCs/>
        </w:rPr>
        <w:t xml:space="preserve">Journal of Artificial Societies and Social Simulation</w:t>
      </w:r>
      <w:r>
        <w:t xml:space="preserve">, 5(3).</w:t>
      </w:r>
    </w:p>
    <w:p>
      <w:pPr>
        <w:pStyle w:val="Compact"/>
        <w:numPr>
          <w:ilvl w:val="0"/>
          <w:numId w:val="1007"/>
        </w:numPr>
      </w:pPr>
      <w:r>
        <w:t xml:space="preserve">Hume, D. (1739–40).</w:t>
      </w:r>
      <w:r>
        <w:t xml:space="preserve"> </w:t>
      </w:r>
      <w:r>
        <w:rPr>
          <w:i/>
          <w:iCs/>
        </w:rPr>
        <w:t xml:space="preserve">A Treatise of Human Nature</w:t>
      </w:r>
      <w:r>
        <w:t xml:space="preserve">. (Is/ought: Book III, Part I, §I.)</w:t>
      </w:r>
    </w:p>
    <w:p>
      <w:pPr>
        <w:pStyle w:val="Compact"/>
        <w:numPr>
          <w:ilvl w:val="0"/>
          <w:numId w:val="1007"/>
        </w:numPr>
      </w:pPr>
      <w:r>
        <w:t xml:space="preserve">Karcher, H. (1977). Riemannian center of mass and mollifier smoothing.</w:t>
      </w:r>
      <w:r>
        <w:t xml:space="preserve"> </w:t>
      </w:r>
      <w:r>
        <w:rPr>
          <w:i/>
          <w:iCs/>
        </w:rPr>
        <w:t xml:space="preserve">Communications on Pure and Applied Mathematics</w:t>
      </w:r>
      <w:r>
        <w:t xml:space="preserve">, 30(5), 509–541.</w:t>
      </w:r>
    </w:p>
    <w:p>
      <w:pPr>
        <w:pStyle w:val="Compact"/>
        <w:numPr>
          <w:ilvl w:val="0"/>
          <w:numId w:val="1007"/>
        </w:numPr>
      </w:pPr>
      <w:r>
        <w:t xml:space="preserve">Korsgaard, C. M. (1996).</w:t>
      </w:r>
      <w:r>
        <w:t xml:space="preserve"> </w:t>
      </w:r>
      <w:r>
        <w:rPr>
          <w:i/>
          <w:iCs/>
        </w:rPr>
        <w:t xml:space="preserve">The Sources of Normativity</w:t>
      </w:r>
      <w:r>
        <w:t xml:space="preserve">. Cambridge University Press.</w:t>
      </w:r>
    </w:p>
    <w:p>
      <w:pPr>
        <w:pStyle w:val="Compact"/>
        <w:numPr>
          <w:ilvl w:val="0"/>
          <w:numId w:val="1007"/>
        </w:numPr>
      </w:pPr>
      <w:r>
        <w:t xml:space="preserve">Mackie, J. L. (1977).</w:t>
      </w:r>
      <w:r>
        <w:t xml:space="preserve"> </w:t>
      </w:r>
      <w:r>
        <w:rPr>
          <w:i/>
          <w:iCs/>
        </w:rPr>
        <w:t xml:space="preserve">Ethics: Inventing Right and Wrong</w:t>
      </w:r>
      <w:r>
        <w:t xml:space="preserve">. Penguin.</w:t>
      </w:r>
    </w:p>
    <w:p>
      <w:pPr>
        <w:pStyle w:val="Compact"/>
        <w:numPr>
          <w:ilvl w:val="0"/>
          <w:numId w:val="1007"/>
        </w:numPr>
      </w:pPr>
      <w:r>
        <w:t xml:space="preserve">Millman, J. (1940). A Useful Network Theorem.</w:t>
      </w:r>
      <w:r>
        <w:t xml:space="preserve"> </w:t>
      </w:r>
      <w:r>
        <w:rPr>
          <w:i/>
          <w:iCs/>
        </w:rPr>
        <w:t xml:space="preserve">Proceedings of the IRE</w:t>
      </w:r>
      <w:r>
        <w:t xml:space="preserve">, 28(9), 413–417.</w:t>
      </w:r>
    </w:p>
    <w:p>
      <w:pPr>
        <w:pStyle w:val="Compact"/>
        <w:numPr>
          <w:ilvl w:val="0"/>
          <w:numId w:val="1007"/>
        </w:numPr>
      </w:pPr>
      <w:r>
        <w:t xml:space="preserve">Railton, P. (1986). Moral Realism.</w:t>
      </w:r>
      <w:r>
        <w:t xml:space="preserve"> </w:t>
      </w:r>
      <w:r>
        <w:rPr>
          <w:i/>
          <w:iCs/>
        </w:rPr>
        <w:t xml:space="preserve">The Philosophical Review</w:t>
      </w:r>
      <w:r>
        <w:t xml:space="preserve">, 95(2), 163–207.</w:t>
      </w:r>
    </w:p>
    <w:p>
      <w:pPr>
        <w:pStyle w:val="Compact"/>
        <w:numPr>
          <w:ilvl w:val="0"/>
          <w:numId w:val="1007"/>
        </w:numPr>
      </w:pPr>
      <w:r>
        <w:t xml:space="preserve">Street, S. (2006). A Darwinian Dilemma for Realist Theories of Value.</w:t>
      </w:r>
      <w:r>
        <w:t xml:space="preserve"> </w:t>
      </w:r>
      <w:r>
        <w:rPr>
          <w:i/>
          <w:iCs/>
        </w:rPr>
        <w:t xml:space="preserve">Philosophical Studies</w:t>
      </w:r>
      <w:r>
        <w:t xml:space="preserve">, 127(1), 109–166.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steps: classify the self-referential equilibria on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(§5.4, §5.8); design the load-independence and anchor-signature tests (§8); add a schism-threshold / early-warning test to §8; reconcile the reference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the Geometric Ethics manifold formalism [Bond 2026]; and attempt empirical recovery of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⋆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from longitudinal moral-survey data.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2026-06-27T13:31:32Z</dcterms:created>
  <dcterms:modified xsi:type="dcterms:W3CDTF">2026-06-27T13:31:32Z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