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24.png" ContentType="image/png"/>
  <Override PartName="/word/media/rId41.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Legal Bond Index: A Matched-Neighbourhood Diagnostic of Algorithmic Disparity, Applied to COMPAS</w:t>
      </w:r>
    </w:p>
    <w:p>
      <w:pPr>
        <w:pStyle w:val="Author"/>
      </w:pPr>
      <w:r>
        <w:t xml:space="preserve">Andrew H. Bond</w:t>
      </w:r>
      <w:r>
        <w:br/>
      </w:r>
      <w:r>
        <w:t xml:space="preserve">Department of Computer Engineering</w:t>
      </w:r>
      <w:r>
        <w:br/>
      </w:r>
      <w:r>
        <w:t xml:space="preserve">San José State University, San José, CA 95192</w:t>
      </w:r>
      <w:r>
        <w:br/>
      </w:r>
      <w:r>
        <w:rPr>
          <w:rStyle w:val="VerbatimChar"/>
        </w:rPr>
        <w:t xml:space="preserve">andrew.bond@sjsu.edu</w:t>
      </w:r>
      <w:r>
        <w:br/>
      </w:r>
      <w:r>
        <w:t xml:space="preserve">ORCID: 0009-0003-2599-6158</w:t>
      </w:r>
    </w:p>
    <w:p>
      <w:pPr>
        <w:pStyle w:val="Date"/>
      </w:pPr>
      <w:r>
        <w:t xml:space="preserve">August 2026 (revised)</w:t>
      </w:r>
    </w:p>
    <w:p>
      <w:pPr>
        <w:pStyle w:val="AbstractTitle"/>
      </w:pPr>
      <w:r>
        <w:t xml:space="preserve">Abstract</w:t>
      </w:r>
    </w:p>
    <w:p>
      <w:pPr>
        <w:pStyle w:val="Abstract"/>
      </w:pPr>
      <w:r>
        <w:t xml:space="preserve">The 2016–2017 controversy over the COMPAS pretrial-risk algorithm</w:t>
      </w:r>
      <w:r>
        <w:t xml:space="preserve"> </w:t>
      </w:r>
      <w:r>
        <w:t xml:space="preserve">exposed a deep ambiguity in the concept of algorithmic fairness.</w:t>
      </w:r>
      <w:r>
        <w:t xml:space="preserve"> </w:t>
      </w:r>
      <w:r>
        <w:t xml:space="preserve">ProPublica showed that COMPAS’s false-positive rate is substantially</w:t>
      </w:r>
      <w:r>
        <w:t xml:space="preserve"> </w:t>
      </w:r>
      <w:r>
        <w:t xml:space="preserve">higher for Black defendants. Northpointe (the algorithm’s vendor)</w:t>
      </w:r>
      <w:r>
        <w:t xml:space="preserve"> </w:t>
      </w:r>
      <w:r>
        <w:t xml:space="preserve">replied that COMPAS approximately satisfies</w:t>
      </w:r>
      <w:r>
        <w:t xml:space="preserve"> </w:t>
      </w:r>
      <w:r>
        <w:rPr>
          <w:i/>
          <w:iCs/>
        </w:rPr>
        <w:t xml:space="preserve">predictive parity</w:t>
      </w:r>
      <w:r>
        <w:t xml:space="preserve">:</w:t>
      </w:r>
      <w:r>
        <w:t xml:space="preserve"> </w:t>
      </w:r>
      <w:r>
        <w:t xml:space="preserve">among defendants it classifies high-risk, the observed recidivism rate</w:t>
      </w:r>
      <w:r>
        <w:t xml:space="preserve"> </w:t>
      </w:r>
      <w:r>
        <w:t xml:space="preserve">is similar across races. Subsequent technical work</w:t>
      </w:r>
      <w:r>
        <w:t xml:space="preserve"> </w:t>
      </w:r>
      <w:r>
        <w:t xml:space="preserve">(Chouldechova, 2017; Kleinberg et al., 2017) proved that the two properties</w:t>
      </w:r>
      <w:r>
        <w:t xml:space="preserve"> </w:t>
      </w:r>
      <w:r>
        <w:rPr>
          <w:i/>
          <w:iCs/>
        </w:rPr>
        <w:t xml:space="preserve">cannot both hold</w:t>
      </w:r>
      <w:r>
        <w:t xml:space="preserve"> </w:t>
      </w:r>
      <w:r>
        <w:t xml:space="preserve">when race-specific recidivism base rates</w:t>
      </w:r>
      <w:r>
        <w:t xml:space="preserve"> </w:t>
      </w:r>
      <w:r>
        <w:t xml:space="preserve">differ—a genuine impossibility theorem. The literature has since</w:t>
      </w:r>
      <w:r>
        <w:t xml:space="preserve"> </w:t>
      </w:r>
      <w:r>
        <w:t xml:space="preserve">proliferated competing metrics (demographic parity, equalized odds,</w:t>
      </w:r>
      <w:r>
        <w:t xml:space="preserve"> </w:t>
      </w:r>
      <w:r>
        <w:t xml:space="preserve">calibration, counterfactual fairness, individual fairness), each</w:t>
      </w:r>
      <w:r>
        <w:t xml:space="preserve"> </w:t>
      </w:r>
      <w:r>
        <w:t xml:space="preserve">capturing one facet of the problem and none of them dispositive.</w:t>
      </w:r>
    </w:p>
    <w:p>
      <w:pPr>
        <w:pStyle w:val="Abstract"/>
      </w:pPr>
      <w:r>
        <w:t xml:space="preserve">We introduce a complementary axis of measurement that the impossibility</w:t>
      </w:r>
      <w:r>
        <w:t xml:space="preserve"> </w:t>
      </w:r>
      <w:r>
        <w:t xml:space="preserve">result does not constrain: the</w:t>
      </w:r>
      <w:r>
        <w:t xml:space="preserve"> </w:t>
      </w:r>
      <w:r>
        <w:rPr>
          <w:i/>
          <w:iCs/>
        </w:rPr>
        <w:t xml:space="preserve">Legal Bond Index</w:t>
      </w:r>
      <w:r>
        <w:t xml:space="preserve"> </w:t>
      </w:r>
      <w:r>
        <w:t xml:space="preserve">(LBI), a</w:t>
      </w:r>
      <w:r>
        <w:t xml:space="preserve"> </w:t>
      </w:r>
      <w:r>
        <w:t xml:space="preserve">matched-neighbourhood</w:t>
      </w:r>
      <w:r>
        <w:t xml:space="preserve"> </w:t>
      </w:r>
      <w:r>
        <w:rPr>
          <w:i/>
          <w:iCs/>
        </w:rPr>
        <w:t xml:space="preserve">diagnostic</w:t>
      </w:r>
      <w:r>
        <w:t xml:space="preserve"> </w:t>
      </w:r>
      <w:r>
        <w:t xml:space="preserve">of algorithmic disparity. For</w:t>
      </w:r>
      <w:r>
        <w:t xml:space="preserve"> </w:t>
      </w:r>
      <w:r>
        <w:t xml:space="preserve">each defendant, LBI compares the algorithm’s score divergence from the</w:t>
      </w:r>
      <w:r>
        <w:t xml:space="preserve"> </w:t>
      </w:r>
      <m:oMath>
        <m:r>
          <m:t>k</m:t>
        </m:r>
      </m:oMath>
      <w:r>
        <w:t xml:space="preserve"> </w:t>
      </w:r>
      <w:r>
        <w:t xml:space="preserve">nearest opposite-group neighbours in a Mahalanobis metric on</w:t>
      </w:r>
      <w:r>
        <w:t xml:space="preserve"> </w:t>
      </w:r>
      <w:r>
        <w:t xml:space="preserve">selected legitimate predictors (age, prior offences, juvenile record,</w:t>
      </w:r>
      <w:r>
        <w:t xml:space="preserve"> </w:t>
      </w:r>
      <w:r>
        <w:t xml:space="preserve">charge degree) with its divergence from the</w:t>
      </w:r>
      <w:r>
        <w:t xml:space="preserve"> </w:t>
      </w:r>
      <m:oMath>
        <m:r>
          <m:t>k</m:t>
        </m:r>
      </m:oMath>
      <w:r>
        <w:t xml:space="preserve"> </w:t>
      </w:r>
      <w:r>
        <w:t xml:space="preserve">nearest same-group</w:t>
      </w:r>
      <w:r>
        <w:t xml:space="preserve"> </w:t>
      </w:r>
      <w:r>
        <w:t xml:space="preserve">neighbours; the index is the ratio of the two divergences averaged over</w:t>
      </w:r>
      <w:r>
        <w:t xml:space="preserve"> </w:t>
      </w:r>
      <w:r>
        <w:t xml:space="preserve">defendants.</w:t>
      </w:r>
      <w:r>
        <w:t xml:space="preserve"> </w:t>
      </w:r>
      <m:oMath>
        <m:r>
          <m:rPr>
            <m:sty m:val="p"/>
          </m:rPr>
          <m:t>L</m:t>
        </m:r>
        <m:r>
          <m:rPr>
            <m:sty m:val="p"/>
          </m:rPr>
          <m:t>B</m:t>
        </m:r>
        <m:r>
          <m:rPr>
            <m:sty m:val="p"/>
          </m:rPr>
          <m:t>I</m:t>
        </m:r>
        <m:r>
          <m:rPr>
            <m:sty m:val="p"/>
          </m:rPr>
          <m:t>=</m:t>
        </m:r>
        <m:r>
          <m:t>1</m:t>
        </m:r>
      </m:oMath>
      <w:r>
        <w:t xml:space="preserve"> </w:t>
      </w:r>
      <w:r>
        <w:t xml:space="preserve">means cross-group score divergence among</w:t>
      </w:r>
      <w:r>
        <w:t xml:space="preserve"> </w:t>
      </w:r>
      <w:r>
        <w:t xml:space="preserve">legitimately-matched neighbours is no larger than within-group</w:t>
      </w:r>
      <w:r>
        <w:t xml:space="preserve"> </w:t>
      </w:r>
      <w:r>
        <w:t xml:space="preserve">divergence;</w:t>
      </w:r>
      <w:r>
        <w:t xml:space="preserve"> </w:t>
      </w:r>
      <m:oMath>
        <m:r>
          <m:rPr>
            <m:sty m:val="p"/>
          </m:rPr>
          <m:t>L</m:t>
        </m:r>
        <m:r>
          <m:rPr>
            <m:sty m:val="p"/>
          </m:rPr>
          <m:t>B</m:t>
        </m:r>
        <m:r>
          <m:rPr>
            <m:sty m:val="p"/>
          </m:rPr>
          <m:t>I</m:t>
        </m:r>
        <m:r>
          <m:rPr>
            <m:sty m:val="p"/>
          </m:rPr>
          <m:t>&gt;</m:t>
        </m:r>
        <m:r>
          <m:t>1</m:t>
        </m:r>
      </m:oMath>
      <w:r>
        <w:t xml:space="preserve"> </w:t>
      </w:r>
      <w:r>
        <w:t xml:space="preserve">means it is larger. For COMPAS</w:t>
      </w:r>
      <w:r>
        <w:t xml:space="preserve"> </w:t>
      </w:r>
      <w:r>
        <w:t xml:space="preserve">(</w:t>
      </w:r>
      <m:oMath>
        <m:r>
          <m:t>n</m:t>
        </m:r>
        <m:r>
          <m:rPr>
            <m:sty m:val="p"/>
          </m:rPr>
          <m:t>=</m:t>
        </m:r>
        <m:r>
          <m:t>5</m:t>
        </m:r>
        <m:r>
          <m:rPr>
            <m:sty m:val="p"/>
          </m:rPr>
          <m:t>,</m:t>
        </m:r>
        <m:r>
          <m:t>278</m:t>
        </m:r>
      </m:oMath>
      <w:r>
        <w:t xml:space="preserve">) the entire neighbourhood-scale curve lies above 1:</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ranges from</w:t>
      </w:r>
      <w:r>
        <w:t xml:space="preserve"> </w:t>
      </w:r>
      <m:oMath>
        <m:r>
          <m:t>1.041</m:t>
        </m:r>
      </m:oMath>
      <w:r>
        <w:t xml:space="preserve"> </w:t>
      </w:r>
      <w:r>
        <w:t xml:space="preserve">to</w:t>
      </w:r>
      <w:r>
        <w:t xml:space="preserve"> </w:t>
      </w:r>
      <m:oMath>
        <m:r>
          <m:t>1.069</m:t>
        </m:r>
      </m:oMath>
      <w:r>
        <w:t xml:space="preserve"> </w:t>
      </w:r>
      <w:r>
        <w:t xml:space="preserve">across</w:t>
      </w:r>
      <w:r>
        <w:t xml:space="preserve"> </w:t>
      </w:r>
      <m:oMath>
        <m:r>
          <m:t>k</m:t>
        </m:r>
        <m:r>
          <m:rPr>
            <m:sty m:val="p"/>
          </m:rPr>
          <m:t>∈</m:t>
        </m:r>
        <m:r>
          <m:rPr>
            <m:sty m:val="p"/>
          </m:rPr>
          <m:t>[</m:t>
        </m:r>
        <m:r>
          <m:t>1</m:t>
        </m:r>
        <m:r>
          <m:rPr>
            <m:sty m:val="p"/>
          </m:rPr>
          <m:t>,</m:t>
        </m:r>
        <m:r>
          <m:t>100</m:t>
        </m:r>
        <m:r>
          <m:rPr>
            <m:sty m:val="p"/>
          </m:rPr>
          <m:t>]</m:t>
        </m:r>
      </m:oMath>
      <w:r>
        <w:t xml:space="preserve">, with pointwise 95 % CIs excluding 1 at every</w:t>
      </w:r>
      <w:r>
        <w:t xml:space="preserve"> </w:t>
      </w:r>
      <w:r>
        <w:t xml:space="preserve">scale; at the illustrative scale</w:t>
      </w:r>
      <w:r>
        <w:t xml:space="preserve"> </w:t>
      </w:r>
      <m:oMath>
        <m:r>
          <m:t>k</m:t>
        </m:r>
        <m:r>
          <m:rPr>
            <m:sty m:val="p"/>
          </m:rPr>
          <m:t>=</m:t>
        </m:r>
        <m:r>
          <m:t>20</m:t>
        </m:r>
      </m:oMath>
      <w:r>
        <w:t xml:space="preserve">,</w:t>
      </w:r>
      <w:r>
        <w:t xml:space="preserve"> </w:t>
      </w:r>
      <m:oMath>
        <m:r>
          <m:rPr>
            <m:sty m:val="p"/>
          </m:rPr>
          <m:t>L</m:t>
        </m:r>
        <m:r>
          <m:rPr>
            <m:sty m:val="p"/>
          </m:rPr>
          <m:t>B</m:t>
        </m:r>
        <m:r>
          <m:rPr>
            <m:sty m:val="p"/>
          </m:rPr>
          <m:t>I</m:t>
        </m:r>
        <m:r>
          <m:rPr>
            <m:sty m:val="p"/>
          </m:rPr>
          <m:t>(</m:t>
        </m:r>
        <m:r>
          <m:rPr>
            <m:nor/>
            <m:sty m:val="p"/>
          </m:rPr>
          <m:t>race</m:t>
        </m:r>
        <m:r>
          <m:rPr>
            <m:sty m:val="p"/>
          </m:rPr>
          <m:t>)</m:t>
        </m:r>
        <m:r>
          <m:rPr>
            <m:sty m:val="p"/>
          </m:rPr>
          <m:t>=</m:t>
        </m:r>
        <m:r>
          <m:t>1.049</m:t>
        </m:r>
      </m:oMath>
      <w:r>
        <w:t xml:space="preserve">. We then interrogate that number</w:t>
      </w:r>
      <w:r>
        <w:t xml:space="preserve"> </w:t>
      </w:r>
      <w:r>
        <w:t xml:space="preserve">the way a sceptical reader should. Cross-race neighbours are indeed</w:t>
      </w:r>
      <w:r>
        <w:t xml:space="preserve"> </w:t>
      </w:r>
      <w:r>
        <w:t xml:space="preserve">somewhat farther away in feature space than same-race neighbours</w:t>
      </w:r>
      <w:r>
        <w:t xml:space="preserve"> </w:t>
      </w:r>
      <w:r>
        <w:t xml:space="preserve">(mean distance ratio 1.28 at</w:t>
      </w:r>
      <w:r>
        <w:t xml:space="preserve"> </w:t>
      </w:r>
      <m:oMath>
        <m:r>
          <m:t>k</m:t>
        </m:r>
        <m:r>
          <m:rPr>
            <m:sty m:val="p"/>
          </m:rPr>
          <m:t>=</m:t>
        </m:r>
        <m:r>
          <m:t>20</m:t>
        </m:r>
      </m:oMath>
      <w:r>
        <w:t xml:space="preserve">), and under specifications that</w:t>
      </w:r>
      <w:r>
        <w:t xml:space="preserve"> </w:t>
      </w:r>
      <w:r>
        <w:t xml:space="preserve">force matching parity—caliper exclusion, coarsened-exact matching,</w:t>
      </w:r>
      <w:r>
        <w:t xml:space="preserve"> </w:t>
      </w:r>
      <w:r>
        <w:t xml:space="preserve">distance-matched comparators—the point estimate attenuates to</w:t>
      </w:r>
      <w:r>
        <w:t xml:space="preserve"> </w:t>
      </w:r>
      <m:oMath>
        <m:r>
          <m:t>1.00</m:t>
        </m:r>
      </m:oMath>
      <w:r>
        <w:t xml:space="preserve">–</w:t>
      </w:r>
      <m:oMath>
        <m:r>
          <m:t>1.02</m:t>
        </m:r>
      </m:oMath>
      <w:r>
        <w:t xml:space="preserve">. A conditional randomization test that redraws race</w:t>
      </w:r>
      <w:r>
        <w:t xml:space="preserve"> </w:t>
      </w:r>
      <w:r>
        <w:t xml:space="preserve">labels preserving</w:t>
      </w:r>
      <w:r>
        <w:t xml:space="preserve"> </w:t>
      </w:r>
      <m:oMath>
        <m:r>
          <m:t>P</m:t>
        </m:r>
        <m:r>
          <m:rPr>
            <m:sty m:val="p"/>
          </m:rPr>
          <m:t>(</m:t>
        </m:r>
        <m:r>
          <m:rPr>
            <m:nor/>
            <m:sty m:val="p"/>
          </m:rPr>
          <m:t>race</m:t>
        </m:r>
        <m:r>
          <m:rPr>
            <m:sty m:val="p"/>
          </m:rPr>
          <m:t>∣</m:t>
        </m:r>
        <m:r>
          <m:rPr>
            <m:sty m:val="b"/>
          </m:rPr>
          <m:t>x</m:t>
        </m:r>
        <m:r>
          <m:rPr>
            <m:sty m:val="p"/>
          </m:rPr>
          <m:t>)</m:t>
        </m:r>
      </m:oMath>
      <w:r>
        <w:t xml:space="preserve">—which a</w:t>
      </w:r>
      <w:r>
        <w:t xml:space="preserve"> </w:t>
      </w:r>
      <w:r>
        <w:t xml:space="preserve">semi-synthetic validation suite shows is correctly calibrated</w:t>
      </w:r>
      <w:r>
        <w:t xml:space="preserve"> </w:t>
      </w:r>
      <w:r>
        <w:t xml:space="preserve">(4.5 % false-positive rate at the nominal 5 % level) exactly where</w:t>
      </w:r>
      <w:r>
        <w:t xml:space="preserve"> </w:t>
      </w:r>
      <w:r>
        <w:t xml:space="preserve">the conventional permutation test false-fires on 56.5 % of race-blind</w:t>
      </w:r>
      <w:r>
        <w:t xml:space="preserve"> </w:t>
      </w:r>
      <w:r>
        <w:t xml:space="preserve">datasets—still rejects conditional label independence decisively</w:t>
      </w:r>
      <w:r>
        <w:t xml:space="preserve"> </w:t>
      </w:r>
      <w:r>
        <w:t xml:space="preserve">(</w:t>
      </w:r>
      <m:oMath>
        <m:r>
          <m:t>z</m:t>
        </m:r>
        <m:r>
          <m:rPr>
            <m:sty m:val="p"/>
          </m:rPr>
          <m:t>=</m:t>
        </m:r>
        <m:r>
          <m:t>4.9</m:t>
        </m:r>
      </m:oMath>
      <w:r>
        <w:t xml:space="preserve">; global multiscale</w:t>
      </w:r>
      <w:r>
        <w:t xml:space="preserve"> </w:t>
      </w:r>
      <m:oMath>
        <m:r>
          <m:t>p</m:t>
        </m:r>
        <m:r>
          <m:rPr>
            <m:sty m:val="p"/>
          </m:rPr>
          <m:t>=</m:t>
        </m:r>
        <m:r>
          <m:t>0.001</m:t>
        </m:r>
      </m:oMath>
      <w:r>
        <w:t xml:space="preserve">). The same validation shows</w:t>
      </w:r>
      <w:r>
        <w:t xml:space="preserve"> </w:t>
      </w:r>
      <w:r>
        <w:t xml:space="preserve">the index rises monotonically with an injected direct race</w:t>
      </w:r>
      <w:r>
        <w:t xml:space="preserve"> </w:t>
      </w:r>
      <w:r>
        <w:t xml:space="preserve">coefficient, detects strong proxy discrimination, and can be inflated</w:t>
      </w:r>
      <w:r>
        <w:t xml:space="preserve"> </w:t>
      </w:r>
      <w:r>
        <w:t xml:space="preserve">by omitting a legitimate predictor from the matching set. The honest</w:t>
      </w:r>
      <w:r>
        <w:t xml:space="preserve"> </w:t>
      </w:r>
      <w:r>
        <w:t xml:space="preserve">summary is therefore two-sided: COMPAS scores carry a race-associated</w:t>
      </w:r>
      <w:r>
        <w:t xml:space="preserve"> </w:t>
      </w:r>
      <w:r>
        <w:t xml:space="preserve">component beyond what these legitimate features explain—largest at</w:t>
      </w:r>
      <w:r>
        <w:t xml:space="preserve"> </w:t>
      </w:r>
      <w:r>
        <w:t xml:space="preserve">ProPublica’s medium-or-high classification threshold</w:t>
      </w:r>
      <w:r>
        <w:t xml:space="preserve"> </w:t>
      </w:r>
      <w:r>
        <w:t xml:space="preserve">(</w:t>
      </w:r>
      <m:oMath>
        <m:r>
          <m:rPr>
            <m:sty m:val="p"/>
          </m:rPr>
          <m:t>L</m:t>
        </m:r>
        <m:r>
          <m:rPr>
            <m:sty m:val="p"/>
          </m:rPr>
          <m:t>B</m:t>
        </m:r>
        <m:r>
          <m:rPr>
            <m:sty m:val="p"/>
          </m:rPr>
          <m:t>I</m:t>
        </m:r>
        <m:r>
          <m:rPr>
            <m:sty m:val="p"/>
          </m:rPr>
          <m:t>=</m:t>
        </m:r>
        <m:r>
          <m:t>1.092</m:t>
        </m:r>
      </m:oMath>
      <w:r>
        <w:t xml:space="preserve">; matched cross-race vs. same-race</w:t>
      </w:r>
      <w:r>
        <w:t xml:space="preserve"> </w:t>
      </w:r>
      <w:r>
        <w:t xml:space="preserve">disagreement rates 37.3 % vs. 34.2 %)—but the unadjusted index</w:t>
      </w:r>
      <w:r>
        <w:t xml:space="preserve"> </w:t>
      </w:r>
      <w:r>
        <w:t xml:space="preserve">overstates its magnitude, and we quantify both parts. LBI is a</w:t>
      </w:r>
      <w:r>
        <w:t xml:space="preserve"> </w:t>
      </w:r>
      <w:r>
        <w:t xml:space="preserve">screening diagnostic conditional on the measured predictors, not a</w:t>
      </w:r>
      <w:r>
        <w:t xml:space="preserve"> </w:t>
      </w:r>
      <w:r>
        <w:t xml:space="preserve">proof of legal unfairness: because the public dataset contains only</w:t>
      </w:r>
      <w:r>
        <w:t xml:space="preserve"> </w:t>
      </w:r>
      <w:r>
        <w:t xml:space="preserve">a subset of the variables COMPAS uses, the analysis cannot confirm</w:t>
      </w:r>
      <w:r>
        <w:t xml:space="preserve"> </w:t>
      </w:r>
      <w:r>
        <w:t xml:space="preserve">that the compared defendants were fully similarly situated, isolate</w:t>
      </w:r>
      <w:r>
        <w:t xml:space="preserve"> </w:t>
      </w:r>
      <w:r>
        <w:t xml:space="preserve">a causal effect of race, or establish discrimination.</w:t>
      </w:r>
    </w:p>
    <w:p>
      <w:pPr>
        <w:pStyle w:val="Abstract"/>
      </w:pPr>
      <w:r>
        <w:t xml:space="preserve">LBI is a matched-neighbourhood disparity diagnostic inspired by</w:t>
      </w:r>
      <w:r>
        <w:t xml:space="preserve"> </w:t>
      </w:r>
      <w:r>
        <w:t xml:space="preserve">individual-fairness principles and by the Aristotelian</w:t>
      </w:r>
      <w:r>
        <w:t xml:space="preserve"> </w:t>
      </w:r>
      <w:r>
        <w:t xml:space="preserve">“treat-like-cases-alike”</w:t>
      </w:r>
      <w:r>
        <w:t xml:space="preserve"> </w:t>
      </w:r>
      <w:r>
        <w:t xml:space="preserve">criterion. It is computationally cheap; it</w:t>
      </w:r>
      <w:r>
        <w:t xml:space="preserve"> </w:t>
      </w:r>
      <w:r>
        <w:t xml:space="preserve">requires only an audit dataset containing the algorithm’s inputs, its</w:t>
      </w:r>
      <w:r>
        <w:t xml:space="preserve"> </w:t>
      </w:r>
      <w:r>
        <w:t xml:space="preserve">outputs, and the protected attribute (the algorithm itself need not</w:t>
      </w:r>
      <w:r>
        <w:t xml:space="preserve"> </w:t>
      </w:r>
      <w:r>
        <w:t xml:space="preserve">take the protected attribute as an input); it does not require</w:t>
      </w:r>
      <w:r>
        <w:t xml:space="preserve"> </w:t>
      </w:r>
      <w:r>
        <w:t xml:space="preserve">knowledge of the algorithm’s internals; and it produces a</w:t>
      </w:r>
      <w:r>
        <w:t xml:space="preserve"> </w:t>
      </w:r>
      <w:r>
        <w:t xml:space="preserve">scale-indexed curve with confidence intervals. It is a</w:t>
      </w:r>
      <w:r>
        <w:t xml:space="preserve"> </w:t>
      </w:r>
      <w:r>
        <w:t xml:space="preserve">research-stage screening signal that may contribute one input to an</w:t>
      </w:r>
      <w:r>
        <w:t xml:space="preserve"> </w:t>
      </w:r>
      <w:r>
        <w:t xml:space="preserve">audit, not a validated regulatory audit standard. The reference</w:t>
      </w:r>
      <w:r>
        <w:t xml:space="preserve"> </w:t>
      </w:r>
      <w:r>
        <w:t xml:space="preserve">implementation is openly archived on</w:t>
      </w:r>
      <w:r>
        <w:t xml:space="preserve"> </w:t>
      </w:r>
      <w:r>
        <w:t xml:space="preserve">Zenodo (doi:10.5281/zenodo.21310251).</w:t>
      </w:r>
    </w:p>
    <w:p>
      <w:pPr>
        <w:pStyle w:val="FirstParagraph"/>
      </w:pPr>
      <w:r>
        <w:rPr>
          <w:b/>
          <w:bCs/>
        </w:rPr>
        <w:t xml:space="preserve">Keywords:</w:t>
      </w:r>
      <w:r>
        <w:t xml:space="preserve"> </w:t>
      </w:r>
      <w:r>
        <w:t xml:space="preserve">algorithmic fairness, COMPAS, recidivism</w:t>
      </w:r>
      <w:r>
        <w:t xml:space="preserve"> </w:t>
      </w:r>
      <w:r>
        <w:t xml:space="preserve">prediction, Mahalanobis distance, matched-pair analysis, criminal</w:t>
      </w:r>
      <w:r>
        <w:t xml:space="preserve"> </w:t>
      </w:r>
      <w:r>
        <w:t xml:space="preserve">justice, audit, equal protection.</w:t>
      </w:r>
    </w:p>
    <w:bookmarkStart w:id="9" w:name="sec:intro"/>
    <w:p>
      <w:pPr>
        <w:pStyle w:val="Heading1"/>
      </w:pPr>
      <w:r>
        <w:t xml:space="preserve">Introduction</w:t>
      </w:r>
    </w:p>
    <w:p>
      <w:pPr>
        <w:pStyle w:val="FirstParagraph"/>
      </w:pPr>
      <w:r>
        <w:t xml:space="preserve">In May 2016, ProPublica published an investigation</w:t>
      </w:r>
      <w:r>
        <w:t xml:space="preserve"> </w:t>
      </w:r>
      <w:r>
        <w:t xml:space="preserve">(Angwin et al., 2016) arguing that the COMPAS recidivism-risk algorithm,</w:t>
      </w:r>
      <w:r>
        <w:t xml:space="preserve"> </w:t>
      </w:r>
      <w:r>
        <w:t xml:space="preserve">in use across multiple U.S. jurisdictions for pretrial release and</w:t>
      </w:r>
      <w:r>
        <w:t xml:space="preserve"> </w:t>
      </w:r>
      <w:r>
        <w:t xml:space="preserve">sentencing recommendations, was racially biased against Black</w:t>
      </w:r>
      <w:r>
        <w:t xml:space="preserve"> </w:t>
      </w:r>
      <w:r>
        <w:t xml:space="preserve">defendants. The reporters’ principal evidence was an asymmetry in</w:t>
      </w:r>
      <w:r>
        <w:t xml:space="preserve"> </w:t>
      </w:r>
      <w:r>
        <w:t xml:space="preserve">error rates: among defendants who did not in fact reoffend within two</w:t>
      </w:r>
      <w:r>
        <w:t xml:space="preserve"> </w:t>
      </w:r>
      <w:r>
        <w:t xml:space="preserve">years, Black defendants were roughly twice as likely as White</w:t>
      </w:r>
      <w:r>
        <w:t xml:space="preserve"> </w:t>
      </w:r>
      <w:r>
        <w:t xml:space="preserve">defendants to have been classified as high-risk by COMPAS. Northpointe</w:t>
      </w:r>
      <w:r>
        <w:t xml:space="preserve"> </w:t>
      </w:r>
      <w:r>
        <w:t xml:space="preserve">(the algorithm’s vendor, now equivant) replied that COMPAS was in fact</w:t>
      </w:r>
      <w:r>
        <w:t xml:space="preserve"> </w:t>
      </w:r>
      <w:r>
        <w:t xml:space="preserve">fair under a different criterion—</w:t>
      </w:r>
      <w:r>
        <w:rPr>
          <w:i/>
          <w:iCs/>
        </w:rPr>
        <w:t xml:space="preserve">predictive parity</w:t>
      </w:r>
      <w:r>
        <w:t xml:space="preserve">: among</w:t>
      </w:r>
      <w:r>
        <w:t xml:space="preserve"> </w:t>
      </w:r>
      <w:r>
        <w:t xml:space="preserve">defendants it classified high-risk, the empirical recidivism rate was</w:t>
      </w:r>
      <w:r>
        <w:t xml:space="preserve"> </w:t>
      </w:r>
      <w:r>
        <w:t xml:space="preserve">approximately the same across races (Dieterich et al., 2016). Both parties could substantiate their claims</w:t>
      </w:r>
      <w:r>
        <w:t xml:space="preserve"> </w:t>
      </w:r>
      <w:r>
        <w:t xml:space="preserve">from the same data; the disagreement was about which fairness criterion</w:t>
      </w:r>
      <w:r>
        <w:t xml:space="preserve"> </w:t>
      </w:r>
      <w:r>
        <w:t xml:space="preserve">applied.</w:t>
      </w:r>
    </w:p>
    <w:p>
      <w:pPr>
        <w:pStyle w:val="BodyText"/>
      </w:pPr>
      <w:r>
        <w:t xml:space="preserve">The technical community resolved the empirical question within a year.</w:t>
      </w:r>
      <w:r>
        <w:t xml:space="preserve"> </w:t>
      </w:r>
      <w:r>
        <w:t xml:space="preserve">Chouldechova (2017) and</w:t>
      </w:r>
      <w:r>
        <w:t xml:space="preserve"> </w:t>
      </w:r>
      <w:r>
        <w:t xml:space="preserve">Kleinberg et al. (2017), working independently,</w:t>
      </w:r>
      <w:r>
        <w:t xml:space="preserve"> </w:t>
      </w:r>
      <w:r>
        <w:t xml:space="preserve">proved that the two criteria ProPublica and Northpointe each invoked</w:t>
      </w:r>
      <w:r>
        <w:t xml:space="preserve"> </w:t>
      </w:r>
      <w:r>
        <w:t xml:space="preserve">are</w:t>
      </w:r>
      <w:r>
        <w:t xml:space="preserve"> </w:t>
      </w:r>
      <w:r>
        <w:rPr>
          <w:i/>
          <w:iCs/>
        </w:rPr>
        <w:t xml:space="preserve">mathematically incompatible</w:t>
      </w:r>
      <w:r>
        <w:t xml:space="preserve"> </w:t>
      </w:r>
      <w:r>
        <w:t xml:space="preserve">when group-specific base rates</w:t>
      </w:r>
      <w:r>
        <w:t xml:space="preserve"> </w:t>
      </w:r>
      <w:r>
        <w:t xml:space="preserve">differ: an algorithm that is calibrated within groups</w:t>
      </w:r>
      <w:r>
        <w:t xml:space="preserve"> </w:t>
      </w:r>
      <w:r>
        <w:t xml:space="preserve">(</w:t>
      </w:r>
      <m:oMath>
        <m:r>
          <m:rPr>
            <m:sty m:val="p"/>
          </m:rPr>
          <m:t>Pr</m:t>
        </m:r>
        <m:r>
          <m:rPr>
            <m:sty m:val="p"/>
          </m:rPr>
          <m:t>(</m:t>
        </m:r>
        <m:r>
          <m:rPr>
            <m:nor/>
            <m:sty m:val="p"/>
          </m:rPr>
          <m:t>recid</m:t>
        </m:r>
        <m:r>
          <m:rPr>
            <m:sty m:val="p"/>
          </m:rPr>
          <m:t>∣</m:t>
        </m:r>
        <m:r>
          <m:rPr>
            <m:nor/>
            <m:sty m:val="p"/>
          </m:rPr>
          <m:t>score</m:t>
        </m:r>
        <m:r>
          <m:rPr>
            <m:sty m:val="p"/>
          </m:rPr>
          <m:t>,</m:t>
        </m:r>
        <m:r>
          <m:rPr>
            <m:nor/>
            <m:sty m:val="p"/>
          </m:rPr>
          <m:t>group</m:t>
        </m:r>
        <m:r>
          <m:rPr>
            <m:sty m:val="p"/>
          </m:rPr>
          <m:t>)</m:t>
        </m:r>
      </m:oMath>
      <w:r>
        <w:t xml:space="preserve"> </w:t>
      </w:r>
      <w:r>
        <w:t xml:space="preserve">is invariant</w:t>
      </w:r>
      <w:r>
        <w:t xml:space="preserve"> </w:t>
      </w:r>
      <w:r>
        <w:t xml:space="preserve">across groups) cannot simultaneously satisfy equalized error rates</w:t>
      </w:r>
      <w:r>
        <w:t xml:space="preserve"> </w:t>
      </w:r>
      <w:r>
        <w:t xml:space="preserve">(false-positive and false-negative rates invariant across groups),</w:t>
      </w:r>
      <w:r>
        <w:t xml:space="preserve"> </w:t>
      </w:r>
      <w:r>
        <w:t xml:space="preserve">except in the trivial cases of perfect prediction or equal base</w:t>
      </w:r>
      <w:r>
        <w:t xml:space="preserve"> </w:t>
      </w:r>
      <w:r>
        <w:t xml:space="preserve">rates. The impossibility is a structural feature of the prediction</w:t>
      </w:r>
      <w:r>
        <w:t xml:space="preserve"> </w:t>
      </w:r>
      <w:r>
        <w:t xml:space="preserve">problem, not a defect of any particular algorithm.</w:t>
      </w:r>
    </w:p>
    <w:p>
      <w:pPr>
        <w:pStyle w:val="BodyText"/>
      </w:pPr>
      <w:r>
        <w:t xml:space="preserve">The decade since has produced a sprawl of competing fairness criteria.</w:t>
      </w:r>
      <w:r>
        <w:t xml:space="preserve"> </w:t>
      </w:r>
      <w:r>
        <w:t xml:space="preserve">Demographic parity requires that the rate of positive predictions be</w:t>
      </w:r>
      <w:r>
        <w:t xml:space="preserve"> </w:t>
      </w:r>
      <w:r>
        <w:t xml:space="preserve">equal across groups (Feldman et al., 2015). Equalized odds</w:t>
      </w:r>
      <w:r>
        <w:t xml:space="preserve"> </w:t>
      </w:r>
      <w:r>
        <w:t xml:space="preserve">(Hardt et al., 2016) requires equal true-positive and false-positive</w:t>
      </w:r>
      <w:r>
        <w:t xml:space="preserve"> </w:t>
      </w:r>
      <w:r>
        <w:t xml:space="preserve">rates across groups conditional on the actual outcome. Predictive</w:t>
      </w:r>
      <w:r>
        <w:t xml:space="preserve"> </w:t>
      </w:r>
      <w:r>
        <w:t xml:space="preserve">parity (Northpointe’s criterion) requires equal precision across</w:t>
      </w:r>
      <w:r>
        <w:t xml:space="preserve"> </w:t>
      </w:r>
      <w:r>
        <w:t xml:space="preserve">groups. Counterfactual fairness (Kusner et al., 2017) requires that an</w:t>
      </w:r>
      <w:r>
        <w:t xml:space="preserve"> </w:t>
      </w:r>
      <w:r>
        <w:t xml:space="preserve">individual’s prediction be invariant under a hypothetical</w:t>
      </w:r>
      <w:r>
        <w:t xml:space="preserve"> </w:t>
      </w:r>
      <w:r>
        <w:t xml:space="preserve">intervention on their protected attribute. Individual fairness</w:t>
      </w:r>
      <w:r>
        <w:t xml:space="preserve"> </w:t>
      </w:r>
      <w:r>
        <w:t xml:space="preserve">(Dwork et al., 2012) requires that similar individuals receive similar</w:t>
      </w:r>
      <w:r>
        <w:t xml:space="preserve"> </w:t>
      </w:r>
      <w:r>
        <w:t xml:space="preserve">predictions, leaving the similarity metric to be specified. Each</w:t>
      </w:r>
      <w:r>
        <w:t xml:space="preserve"> </w:t>
      </w:r>
      <w:r>
        <w:t xml:space="preserve">captures a real concern; none of them by itself adjudicates the</w:t>
      </w:r>
      <w:r>
        <w:t xml:space="preserve"> </w:t>
      </w:r>
      <w:r>
        <w:t xml:space="preserve">COMPAS case; and the proliferation has rendered the debate</w:t>
      </w:r>
      <w:r>
        <w:t xml:space="preserve"> </w:t>
      </w:r>
      <w:r>
        <w:rPr>
          <w:i/>
          <w:iCs/>
        </w:rPr>
        <w:t xml:space="preserve">which-metric-to-use</w:t>
      </w:r>
      <w:r>
        <w:t xml:space="preserve"> </w:t>
      </w:r>
      <w:r>
        <w:t xml:space="preserve">rather than</w:t>
      </w:r>
      <w:r>
        <w:t xml:space="preserve"> </w:t>
      </w:r>
      <w:r>
        <w:rPr>
          <w:i/>
          <w:iCs/>
        </w:rPr>
        <w:t xml:space="preserve">is-it-fair</w:t>
      </w:r>
      <w:r>
        <w:t xml:space="preserve">.</w:t>
      </w:r>
    </w:p>
    <w:p>
      <w:pPr>
        <w:pStyle w:val="BodyText"/>
      </w:pPr>
      <w:r>
        <w:t xml:space="preserve">This paper introduces a diagnostic that is operationally distinct from</w:t>
      </w:r>
      <w:r>
        <w:t xml:space="preserve"> </w:t>
      </w:r>
      <w:r>
        <w:t xml:space="preserve">all of those above. It is rooted in the oldest legal principle: like</w:t>
      </w:r>
      <w:r>
        <w:t xml:space="preserve"> </w:t>
      </w:r>
      <w:r>
        <w:t xml:space="preserve">cases should be treated alike. We make this principle precise,</w:t>
      </w:r>
      <w:r>
        <w:t xml:space="preserve"> </w:t>
      </w:r>
      <w:r>
        <w:t xml:space="preserve">measurable, and applicable to algorithmic systems through the</w:t>
      </w:r>
      <w:r>
        <w:t xml:space="preserve"> </w:t>
      </w:r>
      <w:r>
        <w:rPr>
          <w:i/>
          <w:iCs/>
        </w:rPr>
        <w:t xml:space="preserve">Legal Bond Index</w:t>
      </w:r>
      <w:r>
        <w:t xml:space="preserve"> </w:t>
      </w:r>
      <w:r>
        <w:t xml:space="preserve">(LBI), a matched-neighbourhood diagnostic that</w:t>
      </w:r>
      <w:r>
        <w:t xml:space="preserve"> </w:t>
      </w:r>
      <w:r>
        <w:t xml:space="preserve">asks whether the algorithm assigns more divergent outputs to defendants</w:t>
      </w:r>
      <w:r>
        <w:t xml:space="preserve"> </w:t>
      </w:r>
      <w:r>
        <w:t xml:space="preserve">who are similar on the</w:t>
      </w:r>
      <w:r>
        <w:t xml:space="preserve"> </w:t>
      </w:r>
      <w:r>
        <w:rPr>
          <w:i/>
          <w:iCs/>
        </w:rPr>
        <w:t xml:space="preserve">selected</w:t>
      </w:r>
      <w:r>
        <w:t xml:space="preserve"> </w:t>
      </w:r>
      <w:r>
        <w:t xml:space="preserve">legitimate predictors but differ</w:t>
      </w:r>
      <w:r>
        <w:t xml:space="preserve"> </w:t>
      </w:r>
      <w:r>
        <w:t xml:space="preserve">on a protected attribute than to defendants who are similar on both.</w:t>
      </w:r>
      <w:r>
        <w:t xml:space="preserve"> </w:t>
      </w:r>
      <w:r>
        <w:t xml:space="preserve">LBI is geometric:</w:t>
      </w:r>
      <w:r>
        <w:t xml:space="preserve"> </w:t>
      </w:r>
      <w:r>
        <w:t xml:space="preserve">“similar”</w:t>
      </w:r>
      <w:r>
        <w:t xml:space="preserve"> </w:t>
      </w:r>
      <w:r>
        <w:t xml:space="preserve">is operationalized via the Mahalanobis</w:t>
      </w:r>
      <w:r>
        <w:t xml:space="preserve"> </w:t>
      </w:r>
      <w:r>
        <w:t xml:space="preserve">distance on a feature space of legitimate predictors. LBI is symmetric</w:t>
      </w:r>
      <w:r>
        <w:t xml:space="preserve"> </w:t>
      </w:r>
      <w:r>
        <w:t xml:space="preserve">across protected attributes and does not depend on the base-rate</w:t>
      </w:r>
      <w:r>
        <w:t xml:space="preserve"> </w:t>
      </w:r>
      <w:r>
        <w:t xml:space="preserve">structure that drives the calibration–equalized-odds impossibility.</w:t>
      </w:r>
    </w:p>
    <w:p>
      <w:pPr>
        <w:pStyle w:val="BodyText"/>
      </w:pPr>
      <w:r>
        <w:t xml:space="preserve">On the ProPublica COMPAS dataset, the primary finding is a</w:t>
      </w:r>
      <w:r>
        <w:t xml:space="preserve"> </w:t>
      </w:r>
      <w:r>
        <w:t xml:space="preserve">neighbourhood-scale</w:t>
      </w:r>
      <w:r>
        <w:t xml:space="preserve"> </w:t>
      </w:r>
      <w:r>
        <w:rPr>
          <w:i/>
          <w:iCs/>
        </w:rPr>
        <w:t xml:space="preserve">curve</w:t>
      </w:r>
      <w:r>
        <w:t xml:space="preserve">: at every prespecified scale</w:t>
      </w:r>
      <w:r>
        <w:t xml:space="preserve"> </w:t>
      </w:r>
      <m:oMath>
        <m:r>
          <m:t>k</m:t>
        </m:r>
        <m:r>
          <m:rPr>
            <m:sty m:val="p"/>
          </m:rPr>
          <m:t>∈</m:t>
        </m:r>
        <m:r>
          <m:rPr>
            <m:sty m:val="p"/>
          </m:rPr>
          <m:t>{</m:t>
        </m:r>
        <m:r>
          <m:t>1</m:t>
        </m:r>
        <m:r>
          <m:rPr>
            <m:sty m:val="p"/>
          </m:rPr>
          <m:t>,</m:t>
        </m:r>
        <m:r>
          <m:t>5</m:t>
        </m:r>
        <m:r>
          <m:rPr>
            <m:sty m:val="p"/>
          </m:rPr>
          <m:t>,</m:t>
        </m:r>
        <m:r>
          <m:t>10</m:t>
        </m:r>
        <m:r>
          <m:rPr>
            <m:sty m:val="p"/>
          </m:rPr>
          <m:t>,</m:t>
        </m:r>
        <m:r>
          <m:t>20</m:t>
        </m:r>
        <m:r>
          <m:rPr>
            <m:sty m:val="p"/>
          </m:rPr>
          <m:t>,</m:t>
        </m:r>
        <m:r>
          <m:t>50</m:t>
        </m:r>
        <m:r>
          <m:rPr>
            <m:sty m:val="p"/>
          </m:rPr>
          <m:t>,</m:t>
        </m:r>
        <m:r>
          <m:t>100</m:t>
        </m:r>
        <m:r>
          <m:rPr>
            <m:sty m:val="p"/>
          </m:rPr>
          <m:t>}</m:t>
        </m:r>
      </m:oMath>
      <w:r>
        <w:t xml:space="preserve"> </w:t>
      </w:r>
      <w:r>
        <w:t xml:space="preserve">(where</w:t>
      </w:r>
      <w:r>
        <w:t xml:space="preserve"> </w:t>
      </w:r>
      <m:oMath>
        <m:r>
          <m:t>k</m:t>
        </m:r>
      </m:oMath>
      <w:r>
        <w:t xml:space="preserve"> </w:t>
      </w:r>
      <w:r>
        <w:t xml:space="preserve">is the number of nearest</w:t>
      </w:r>
      <w:r>
        <w:t xml:space="preserve"> </w:t>
      </w:r>
      <w:r>
        <w:t xml:space="preserve">neighbours of each group against which a defendant’s score is</w:t>
      </w:r>
      <w:r>
        <w:t xml:space="preserve"> </w:t>
      </w:r>
      <w:r>
        <w:t xml:space="preserve">compared),</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lies above 1, ranging from</w:t>
      </w:r>
      <w:r>
        <w:t xml:space="preserve"> </w:t>
      </w:r>
      <m:oMath>
        <m:r>
          <m:t>1.041</m:t>
        </m:r>
      </m:oMath>
      <w:r>
        <w:t xml:space="preserve"> </w:t>
      </w:r>
      <w:r>
        <w:t xml:space="preserve">to</w:t>
      </w:r>
      <w:r>
        <w:t xml:space="preserve"> </w:t>
      </w:r>
      <m:oMath>
        <m:r>
          <m:t>1.069</m:t>
        </m:r>
      </m:oMath>
      <w:r>
        <w:t xml:space="preserve"> </w:t>
      </w:r>
      <w:r>
        <w:t xml:space="preserve">with pointwise 95 % CIs excluding 1 at every</w:t>
      </w:r>
      <w:r>
        <w:t xml:space="preserve"> </w:t>
      </w:r>
      <w:r>
        <w:t xml:space="preserve">scale. At the illustrative scale</w:t>
      </w:r>
      <w:r>
        <w:t xml:space="preserve"> </w:t>
      </w:r>
      <m:oMath>
        <m:r>
          <m:t>k</m:t>
        </m:r>
        <m:r>
          <m:rPr>
            <m:sty m:val="p"/>
          </m:rPr>
          <m:t>=</m:t>
        </m:r>
        <m:r>
          <m:t>20</m:t>
        </m:r>
      </m:oMath>
      <w:r>
        <w:t xml:space="preserve">, used throughout for</w:t>
      </w:r>
      <w:r>
        <w:t xml:space="preserve"> </w:t>
      </w:r>
      <w:r>
        <w:t xml:space="preserve">detailed diagnostics,</w:t>
      </w:r>
      <w:r>
        <w:t xml:space="preserve"> </w:t>
      </w:r>
      <m:oMath>
        <m:r>
          <m:rPr>
            <m:sty m:val="p"/>
          </m:rPr>
          <m:t>L</m:t>
        </m:r>
        <m:r>
          <m:rPr>
            <m:sty m:val="p"/>
          </m:rPr>
          <m:t>B</m:t>
        </m:r>
        <m:r>
          <m:rPr>
            <m:sty m:val="p"/>
          </m:rPr>
          <m:t>I</m:t>
        </m:r>
        <m:r>
          <m:rPr>
            <m:sty m:val="p"/>
          </m:rPr>
          <m:t>(</m:t>
        </m:r>
        <m:r>
          <m:rPr>
            <m:nor/>
            <m:sty m:val="p"/>
          </m:rPr>
          <m:t>race</m:t>
        </m:r>
        <m:r>
          <m:rPr>
            <m:sty m:val="p"/>
          </m:rPr>
          <m:t>)</m:t>
        </m:r>
        <m:r>
          <m:rPr>
            <m:sty m:val="p"/>
          </m:rPr>
          <m:t>=</m:t>
        </m:r>
        <m:r>
          <m:t>1.049</m:t>
        </m:r>
      </m:oMath>
      <w:r>
        <w:t xml:space="preserve">: when two</w:t>
      </w:r>
      <w:r>
        <w:t xml:space="preserve"> </w:t>
      </w:r>
      <w:r>
        <w:t xml:space="preserve">defendants are matched on age, prior offences, juvenile record, and</w:t>
      </w:r>
      <w:r>
        <w:t xml:space="preserve"> </w:t>
      </w:r>
      <w:r>
        <w:t xml:space="preserve">charge degree, COMPAS scores diverge on average 5 % more across</w:t>
      </w:r>
      <w:r>
        <w:t xml:space="preserve"> </w:t>
      </w:r>
      <w:r>
        <w:t xml:space="preserve">race than within race. A ratio of this kind can be inflated</w:t>
      </w:r>
      <w:r>
        <w:t xml:space="preserve"> </w:t>
      </w:r>
      <w:r>
        <w:t xml:space="preserve">mechanically—cross-race neighbours might simply be farther away in</w:t>
      </w:r>
      <w:r>
        <w:t xml:space="preserve"> </w:t>
      </w:r>
      <w:r>
        <w:t xml:space="preserve">feature space than same-race neighbours—and on these data that</w:t>
      </w:r>
      <w:r>
        <w:t xml:space="preserve"> </w:t>
      </w:r>
      <w:r>
        <w:t xml:space="preserve">concern is partly borne out: we measure the matching gap directly,</w:t>
      </w:r>
      <w:r>
        <w:t xml:space="preserve"> </w:t>
      </w:r>
      <w:r>
        <w:t xml:space="preserve">show that matching-parity specifications attenuate the point estimate</w:t>
      </w:r>
      <w:r>
        <w:t xml:space="preserve"> </w:t>
      </w:r>
      <w:r>
        <w:t xml:space="preserve">to</w:t>
      </w:r>
      <w:r>
        <w:t xml:space="preserve"> </w:t>
      </w:r>
      <m:oMath>
        <m:r>
          <m:t>1.00</m:t>
        </m:r>
      </m:oMath>
      <w:r>
        <w:t xml:space="preserve">–</w:t>
      </w:r>
      <m:oMath>
        <m:r>
          <m:t>1.02</m:t>
        </m:r>
      </m:oMath>
      <w:r>
        <w:t xml:space="preserve"> </w:t>
      </w:r>
      <w:r>
        <w:t xml:space="preserve">(§4.5), and build the mechanical</w:t>
      </w:r>
      <w:r>
        <w:t xml:space="preserve"> </w:t>
      </w:r>
      <w:r>
        <w:t xml:space="preserve">component into the null of a conditional randomization test, which</w:t>
      </w:r>
      <w:r>
        <w:t xml:space="preserve"> </w:t>
      </w:r>
      <w:r>
        <w:t xml:space="preserve">nonetheless rejects race-independence decisively (</w:t>
      </w:r>
      <m:oMath>
        <m:r>
          <m:t>z</m:t>
        </m:r>
        <m:r>
          <m:rPr>
            <m:sty m:val="p"/>
          </m:rPr>
          <m:t>=</m:t>
        </m:r>
        <m:r>
          <m:t>4.9</m:t>
        </m:r>
      </m:oMath>
      <w:r>
        <w:t xml:space="preserve">, global</w:t>
      </w:r>
      <w:r>
        <w:t xml:space="preserve"> </w:t>
      </w:r>
      <w:r>
        <w:t xml:space="preserve">multiscale</w:t>
      </w:r>
      <w:r>
        <w:t xml:space="preserve"> </w:t>
      </w:r>
      <m:oMath>
        <m:r>
          <m:t>p</m:t>
        </m:r>
        <m:r>
          <m:rPr>
            <m:sty m:val="p"/>
          </m:rPr>
          <m:t>=</m:t>
        </m:r>
        <m:r>
          <m:t>0.001</m:t>
        </m:r>
      </m:oMath>
      <w:r>
        <w:t xml:space="preserve">; §4.6). The entire</w:t>
      </w:r>
      <w:r>
        <w:t xml:space="preserve"> </w:t>
      </w:r>
      <w:r>
        <w:t xml:space="preserve">pipeline—estimator and tests—is validated on semi-synthetic data</w:t>
      </w:r>
      <w:r>
        <w:t xml:space="preserve"> </w:t>
      </w:r>
      <w:r>
        <w:t xml:space="preserve">with known ground truth (§4.9).</w:t>
      </w:r>
    </w:p>
    <w:p>
      <w:pPr>
        <w:pStyle w:val="BodyText"/>
      </w:pPr>
      <w:r>
        <w:t xml:space="preserve">The remainder of this paper proceeds as follows. Section 2 reviews the COMPAS controversy and the existing</w:t>
      </w:r>
      <w:r>
        <w:t xml:space="preserve"> </w:t>
      </w:r>
      <w:r>
        <w:t xml:space="preserve">fairness-metric landscape. Section 3 defines LBI formally,</w:t>
      </w:r>
      <w:r>
        <w:t xml:space="preserve"> </w:t>
      </w:r>
      <w:r>
        <w:t xml:space="preserve">gives the matched-neighbourhood operational specification, and sets</w:t>
      </w:r>
      <w:r>
        <w:t xml:space="preserve"> </w:t>
      </w:r>
      <w:r>
        <w:t xml:space="preserve">out the inference machinery. Section 4 reports the</w:t>
      </w:r>
      <w:r>
        <w:t xml:space="preserve"> </w:t>
      </w:r>
      <w:r>
        <w:t xml:space="preserve">empirical analysis: filter, features, results, matching diagnostics,</w:t>
      </w:r>
      <w:r>
        <w:t xml:space="preserve"> </w:t>
      </w:r>
      <w:r>
        <w:t xml:space="preserve">robustness, and the synthetic validation. Section 5 compares LBI to the existing criteria, identifies</w:t>
      </w:r>
      <w:r>
        <w:t xml:space="preserve"> </w:t>
      </w:r>
      <w:r>
        <w:t xml:space="preserve">what it adds, and discusses limitations. Section 6</w:t>
      </w:r>
      <w:r>
        <w:t xml:space="preserve"> </w:t>
      </w:r>
      <w:r>
        <w:t xml:space="preserve">addresses regulatory and audit implications, including the doctrinal</w:t>
      </w:r>
      <w:r>
        <w:t xml:space="preserve"> </w:t>
      </w:r>
      <w:r>
        <w:t xml:space="preserve">context. Section 7 concludes.</w:t>
      </w:r>
    </w:p>
    <w:bookmarkEnd w:id="9"/>
    <w:bookmarkStart w:id="13" w:name="sec:background"/>
    <w:p>
      <w:pPr>
        <w:pStyle w:val="Heading1"/>
      </w:pPr>
      <w:r>
        <w:t xml:space="preserve">Background: the COMPAS Controversy and the Fairness Landscape</w:t>
      </w:r>
    </w:p>
    <w:bookmarkStart w:id="10" w:name="the-20162017-dispute"/>
    <w:p>
      <w:pPr>
        <w:pStyle w:val="Heading2"/>
      </w:pPr>
      <w:r>
        <w:t xml:space="preserve">The 2016–2017 dispute</w:t>
      </w:r>
    </w:p>
    <w:p>
      <w:pPr>
        <w:pStyle w:val="FirstParagraph"/>
      </w:pPr>
      <w:r>
        <w:t xml:space="preserve">COMPAS (Correctional Offender Management Profiling for Alternative</w:t>
      </w:r>
      <w:r>
        <w:t xml:space="preserve"> </w:t>
      </w:r>
      <w:r>
        <w:t xml:space="preserve">Sanctions), developed by Northpointe, scores individuals on a 1–10</w:t>
      </w:r>
      <w:r>
        <w:t xml:space="preserve"> </w:t>
      </w:r>
      <w:r>
        <w:t xml:space="preserve">decile scale of two-year recidivism risk. The algorithm is widely</w:t>
      </w:r>
      <w:r>
        <w:t xml:space="preserve"> </w:t>
      </w:r>
      <w:r>
        <w:t xml:space="preserve">deployed in U.S. pretrial detention decisions. ProPublica’s 2016</w:t>
      </w:r>
      <w:r>
        <w:t xml:space="preserve"> </w:t>
      </w:r>
      <w:r>
        <w:t xml:space="preserve">analysis (Angwin et al., 2016), working from public records in Broward</w:t>
      </w:r>
      <w:r>
        <w:t xml:space="preserve"> </w:t>
      </w:r>
      <w:r>
        <w:t xml:space="preserve">County, Florida, reported two findings: (i) among defendants who did</w:t>
      </w:r>
      <w:r>
        <w:t xml:space="preserve"> </w:t>
      </w:r>
      <w:r>
        <w:t xml:space="preserve">not reoffend, Black defendants were nearly twice as likely as</w:t>
      </w:r>
      <w:r>
        <w:t xml:space="preserve"> </w:t>
      </w:r>
      <w:r>
        <w:t xml:space="preserve">White defendants to have been classified as high-risk by COMPAS</w:t>
      </w:r>
      <w:r>
        <w:t xml:space="preserve"> </w:t>
      </w:r>
      <w:r>
        <w:t xml:space="preserve">(44.9 % vs. 23.5 %); and</w:t>
      </w:r>
      <w:r>
        <w:t xml:space="preserve"> </w:t>
      </w:r>
      <w:r>
        <w:t xml:space="preserve">(ii) the algorithm’s predictive accuracy was approximately equal</w:t>
      </w:r>
      <w:r>
        <w:t xml:space="preserve"> </w:t>
      </w:r>
      <w:r>
        <w:t xml:space="preserve">across races (about 62 % in both groups). The first finding is now</w:t>
      </w:r>
      <w:r>
        <w:t xml:space="preserve"> </w:t>
      </w:r>
      <w:r>
        <w:t xml:space="preserve">referred to as the</w:t>
      </w:r>
      <w:r>
        <w:t xml:space="preserve"> </w:t>
      </w:r>
      <w:r>
        <w:rPr>
          <w:i/>
          <w:iCs/>
        </w:rPr>
        <w:t xml:space="preserve">equalized-odds violation</w:t>
      </w:r>
      <w:r>
        <w:t xml:space="preserve">; ProPublica framed</w:t>
      </w:r>
      <w:r>
        <w:t xml:space="preserve"> </w:t>
      </w:r>
      <w:r>
        <w:t xml:space="preserve">it as evidence of racial bias.</w:t>
      </w:r>
    </w:p>
    <w:p>
      <w:pPr>
        <w:pStyle w:val="BodyText"/>
      </w:pPr>
      <w:r>
        <w:t xml:space="preserve">Northpointe’s response (Dieterich et al., 2016) disputed several of</w:t>
      </w:r>
      <w:r>
        <w:t xml:space="preserve"> </w:t>
      </w:r>
      <w:r>
        <w:t xml:space="preserve">ProPublica’s statistical choices, but the company rested its central</w:t>
      </w:r>
      <w:r>
        <w:t xml:space="preserve"> </w:t>
      </w:r>
      <w:r>
        <w:t xml:space="preserve">defense on a different criterion: it argued that the relevant fairness</w:t>
      </w:r>
      <w:r>
        <w:t xml:space="preserve"> </w:t>
      </w:r>
      <w:r>
        <w:t xml:space="preserve">criterion was</w:t>
      </w:r>
      <w:r>
        <w:t xml:space="preserve"> </w:t>
      </w:r>
      <w:r>
        <w:rPr>
          <w:i/>
          <w:iCs/>
        </w:rPr>
        <w:t xml:space="preserve">predictive parity</w:t>
      </w:r>
      <w:r>
        <w:t xml:space="preserve">: among defendants classified</w:t>
      </w:r>
      <w:r>
        <w:t xml:space="preserve"> </w:t>
      </w:r>
      <w:r>
        <w:t xml:space="preserve">high-risk, the empirical probability of recidivism should be the same</w:t>
      </w:r>
      <w:r>
        <w:t xml:space="preserve"> </w:t>
      </w:r>
      <w:r>
        <w:t xml:space="preserve">across racial groups. By that criterion COMPAS was approximately fair:</w:t>
      </w:r>
      <w:r>
        <w:t xml:space="preserve"> </w:t>
      </w:r>
      <w:r>
        <w:t xml:space="preserve">at the high-risk threshold, Black and White defendants had similar</w:t>
      </w:r>
      <w:r>
        <w:t xml:space="preserve"> </w:t>
      </w:r>
      <w:r>
        <w:t xml:space="preserve">two-year recidivism rates—a precision claim, not a demonstration of</w:t>
      </w:r>
      <w:r>
        <w:t xml:space="preserve"> </w:t>
      </w:r>
      <w:r>
        <w:t xml:space="preserve">per-score calibration. The dispute, as it played out in the popular and academic</w:t>
      </w:r>
      <w:r>
        <w:t xml:space="preserve"> </w:t>
      </w:r>
      <w:r>
        <w:t xml:space="preserve">press, was less about the data than about which property a fair</w:t>
      </w:r>
      <w:r>
        <w:t xml:space="preserve"> </w:t>
      </w:r>
      <w:r>
        <w:t xml:space="preserve">classifier should have.</w:t>
      </w:r>
    </w:p>
    <w:p>
      <w:pPr>
        <w:pStyle w:val="BodyText"/>
      </w:pPr>
      <w:r>
        <w:t xml:space="preserve">The technical resolution came rapidly.</w:t>
      </w:r>
      <w:r>
        <w:t xml:space="preserve"> </w:t>
      </w:r>
      <w:r>
        <w:t xml:space="preserve">Chouldechova (2017) proved that an instrument satisfying</w:t>
      </w:r>
      <w:r>
        <w:t xml:space="preserve"> </w:t>
      </w:r>
      <w:r>
        <w:t xml:space="preserve">predictive parity</w:t>
      </w:r>
      <w:r>
        <w:t xml:space="preserve"> </w:t>
      </w:r>
      <w:r>
        <w:rPr>
          <w:i/>
          <w:iCs/>
        </w:rPr>
        <w:t xml:space="preserve">cannot</w:t>
      </w:r>
      <w:r>
        <w:t xml:space="preserve"> </w:t>
      </w:r>
      <w:r>
        <w:t xml:space="preserve">simultaneously satisfy equalized</w:t>
      </w:r>
      <w:r>
        <w:t xml:space="preserve"> </w:t>
      </w:r>
      <w:r>
        <w:t xml:space="preserve">false-positive and false-negative rates, except in trivial cases.</w:t>
      </w:r>
      <w:r>
        <w:t xml:space="preserve"> </w:t>
      </w:r>
      <w:r>
        <w:t xml:space="preserve">Kleinberg et al. (2017) proved an analogous impossibility theorem for</w:t>
      </w:r>
      <w:r>
        <w:t xml:space="preserve"> </w:t>
      </w:r>
      <w:r>
        <w:t xml:space="preserve">calibration and balance. The two findings together established that</w:t>
      </w:r>
      <w:r>
        <w:t xml:space="preserve"> </w:t>
      </w:r>
      <w:r>
        <w:t xml:space="preserve">the COMPAS dispute was not resolvable by data alone: the choice</w:t>
      </w:r>
      <w:r>
        <w:t xml:space="preserve"> </w:t>
      </w:r>
      <w:r>
        <w:t xml:space="preserve">between Northpointe’s criterion and ProPublica’s criterion is a</w:t>
      </w:r>
      <w:r>
        <w:t xml:space="preserve"> </w:t>
      </w:r>
      <w:r>
        <w:t xml:space="preserve">normative choice about which kind of unfairness one prefers to permit.</w:t>
      </w:r>
    </w:p>
    <w:bookmarkEnd w:id="10"/>
    <w:bookmarkStart w:id="11" w:name="the-proliferation-of-fairness-criteria"/>
    <w:p>
      <w:pPr>
        <w:pStyle w:val="Heading2"/>
      </w:pPr>
      <w:r>
        <w:t xml:space="preserve">The proliferation of fairness criteria</w:t>
      </w:r>
    </w:p>
    <w:p>
      <w:pPr>
        <w:pStyle w:val="FirstParagraph"/>
      </w:pPr>
      <w:r>
        <w:t xml:space="preserve">The decade since has produced a long list of competing fairness</w:t>
      </w:r>
      <w:r>
        <w:t xml:space="preserve"> </w:t>
      </w:r>
      <w:r>
        <w:t xml:space="preserve">criteria. We summarize the principal ones to fix terminology.</w:t>
      </w:r>
    </w:p>
    <w:p>
      <w:pPr>
        <w:pStyle w:val="BodyText"/>
      </w:pPr>
      <w:r>
        <w:rPr>
          <w:b/>
          <w:bCs/>
        </w:rPr>
        <w:t xml:space="preserve">Demographic parity</w:t>
      </w:r>
      <w:r>
        <w:t xml:space="preserve"> </w:t>
      </w:r>
      <w:r>
        <w:t xml:space="preserve">(Feldman et al., 2015).</w:t>
      </w:r>
      <w:r>
        <w:t xml:space="preserve"> </w:t>
      </w:r>
      <m:oMath>
        <m:r>
          <m:rPr>
            <m:sty m:val="p"/>
          </m:rPr>
          <m:t>Pr</m:t>
        </m:r>
        <m:r>
          <m:rPr>
            <m:sty m:val="p"/>
          </m:rPr>
          <m:t>(</m:t>
        </m:r>
        <m:acc>
          <m:accPr>
            <m:chr m:val="̂"/>
          </m:accPr>
          <m:e>
            <m:r>
              <m:t>Y</m:t>
            </m:r>
          </m:e>
        </m:acc>
        <m:r>
          <m:rPr>
            <m:sty m:val="p"/>
          </m:rPr>
          <m:t>=</m:t>
        </m:r>
        <m:r>
          <m:t>1</m:t>
        </m:r>
        <m:r>
          <m:rPr>
            <m:sty m:val="p"/>
          </m:rPr>
          <m:t>∣</m:t>
        </m:r>
        <m:r>
          <m:t>A</m:t>
        </m:r>
        <m:r>
          <m:rPr>
            <m:sty m:val="p"/>
          </m:rPr>
          <m:t>=</m:t>
        </m:r>
        <m:r>
          <m:t>a</m:t>
        </m:r>
        <m:r>
          <m:rPr>
            <m:sty m:val="p"/>
          </m:rPr>
          <m:t>)</m:t>
        </m:r>
        <m:r>
          <m:rPr>
            <m:sty m:val="p"/>
          </m:rPr>
          <m:t>=</m:t>
        </m:r>
        <m:r>
          <m:rPr>
            <m:sty m:val="p"/>
          </m:rPr>
          <m:t>Pr</m:t>
        </m:r>
        <m:r>
          <m:rPr>
            <m:sty m:val="p"/>
          </m:rPr>
          <m:t>(</m:t>
        </m:r>
        <m:acc>
          <m:accPr>
            <m:chr m:val="̂"/>
          </m:accPr>
          <m:e>
            <m:r>
              <m:t>Y</m:t>
            </m:r>
          </m:e>
        </m:acc>
        <m:r>
          <m:rPr>
            <m:sty m:val="p"/>
          </m:rPr>
          <m:t>=</m:t>
        </m:r>
        <m:r>
          <m:t>1</m:t>
        </m:r>
        <m:r>
          <m:rPr>
            <m:sty m:val="p"/>
          </m:rPr>
          <m:t>∣</m:t>
        </m:r>
        <m:r>
          <m:t>A</m:t>
        </m:r>
        <m:r>
          <m:rPr>
            <m:sty m:val="p"/>
          </m:rPr>
          <m:t>=</m:t>
        </m:r>
        <m:r>
          <m:t>b</m:t>
        </m:r>
        <m:r>
          <m:rPr>
            <m:sty m:val="p"/>
          </m:rPr>
          <m:t>)</m:t>
        </m:r>
      </m:oMath>
      <w:r>
        <w:t xml:space="preserve"> </w:t>
      </w:r>
      <w:r>
        <w:t xml:space="preserve">for all</w:t>
      </w:r>
      <w:r>
        <w:t xml:space="preserve"> </w:t>
      </w:r>
      <w:r>
        <w:t xml:space="preserve">protected groups</w:t>
      </w:r>
      <w:r>
        <w:t xml:space="preserve"> </w:t>
      </w:r>
      <m:oMath>
        <m:r>
          <m:t>a</m:t>
        </m:r>
        <m:r>
          <m:rPr>
            <m:sty m:val="p"/>
          </m:rPr>
          <m:t>,</m:t>
        </m:r>
        <m:r>
          <m:t>b</m:t>
        </m:r>
      </m:oMath>
      <w:r>
        <w:t xml:space="preserve">. Requires equal positive-prediction rates; this</w:t>
      </w:r>
      <w:r>
        <w:t xml:space="preserve"> </w:t>
      </w:r>
      <w:r>
        <w:t xml:space="preserve">is generally in tension with using legitimate predictors that correlate</w:t>
      </w:r>
      <w:r>
        <w:t xml:space="preserve"> </w:t>
      </w:r>
      <w:r>
        <w:t xml:space="preserve">with</w:t>
      </w:r>
      <w:r>
        <w:t xml:space="preserve"> </w:t>
      </w:r>
      <m:oMath>
        <m:r>
          <m:t>A</m:t>
        </m:r>
      </m:oMath>
      <w:r>
        <w:t xml:space="preserve">, though such correlation can sometimes be offset by design</w:t>
      </w:r>
      <w:r>
        <w:t xml:space="preserve"> </w:t>
      </w:r>
      <w:r>
        <w:t xml:space="preserve">rather than by excluding the predictor. Demographic parity is related</w:t>
      </w:r>
      <w:r>
        <w:t xml:space="preserve"> </w:t>
      </w:r>
      <w:r>
        <w:t xml:space="preserve">to, but not identical with, the legal doctrine of</w:t>
      </w:r>
      <w:r>
        <w:t xml:space="preserve"> </w:t>
      </w:r>
      <w:r>
        <w:rPr>
          <w:i/>
          <w:iCs/>
        </w:rPr>
        <w:t xml:space="preserve">disparate</w:t>
      </w:r>
      <w:r>
        <w:rPr>
          <w:i/>
          <w:iCs/>
        </w:rPr>
        <w:t xml:space="preserve"> </w:t>
      </w:r>
      <w:r>
        <w:rPr>
          <w:i/>
          <w:iCs/>
        </w:rPr>
        <w:t xml:space="preserve">impact</w:t>
      </w:r>
      <w:r>
        <w:t xml:space="preserve">: the doctrine (under Title VII and its progeny) asks whether a</w:t>
      </w:r>
      <w:r>
        <w:t xml:space="preserve"> </w:t>
      </w:r>
      <w:r>
        <w:t xml:space="preserve">facially neutral practice disproportionately burdens a protected group</w:t>
      </w:r>
      <w:r>
        <w:t xml:space="preserve"> </w:t>
      </w:r>
      <w:r>
        <w:rPr>
          <w:i/>
          <w:iCs/>
        </w:rPr>
        <w:t xml:space="preserve">and</w:t>
      </w:r>
      <w:r>
        <w:t xml:space="preserve"> </w:t>
      </w:r>
      <w:r>
        <w:t xml:space="preserve">whether the practice is justified by business necessity,</w:t>
      </w:r>
      <w:r>
        <w:t xml:space="preserve"> </w:t>
      </w:r>
      <w:r>
        <w:t xml:space="preserve">a two-step inquiry that no single statistic settles</w:t>
      </w:r>
      <w:r>
        <w:t xml:space="preserve"> </w:t>
      </w:r>
      <w:r>
        <w:t xml:space="preserve">(Barocas and Selbst, 2016). The EEOC’s</w:t>
      </w:r>
      <w:r>
        <w:t xml:space="preserve"> </w:t>
      </w:r>
      <w:r>
        <w:t xml:space="preserve">“four-fifths rule”</w:t>
      </w:r>
      <w:r>
        <w:t xml:space="preserve"> </w:t>
      </w:r>
      <w:r>
        <w:t xml:space="preserve">is an</w:t>
      </w:r>
      <w:r>
        <w:t xml:space="preserve"> </w:t>
      </w:r>
      <w:r>
        <w:t xml:space="preserve">administrative enforcement heuristic from employment selection; it has</w:t>
      </w:r>
      <w:r>
        <w:t xml:space="preserve"> </w:t>
      </w:r>
      <w:r>
        <w:t xml:space="preserve">no doctrinal standing in criminal justice, and we use it in this paper</w:t>
      </w:r>
      <w:r>
        <w:t xml:space="preserve"> </w:t>
      </w:r>
      <w:r>
        <w:t xml:space="preserve">only as a descriptive yardstick familiar to readers.</w:t>
      </w:r>
    </w:p>
    <w:p>
      <w:pPr>
        <w:pStyle w:val="BodyText"/>
      </w:pPr>
      <w:r>
        <w:rPr>
          <w:b/>
          <w:bCs/>
        </w:rPr>
        <w:t xml:space="preserve">Equalized odds</w:t>
      </w:r>
      <w:r>
        <w:t xml:space="preserve"> </w:t>
      </w:r>
      <w:r>
        <w:t xml:space="preserve">(Hardt et al., 2016).</w:t>
      </w:r>
      <w:r>
        <w:t xml:space="preserve"> </w:t>
      </w:r>
      <m:oMath>
        <m:r>
          <m:rPr>
            <m:sty m:val="p"/>
          </m:rPr>
          <m:t>Pr</m:t>
        </m:r>
        <m:r>
          <m:rPr>
            <m:sty m:val="p"/>
          </m:rPr>
          <m:t>(</m:t>
        </m:r>
        <m:acc>
          <m:accPr>
            <m:chr m:val="̂"/>
          </m:accPr>
          <m:e>
            <m:r>
              <m:t>Y</m:t>
            </m:r>
          </m:e>
        </m:acc>
        <m:r>
          <m:rPr>
            <m:sty m:val="p"/>
          </m:rPr>
          <m:t>=</m:t>
        </m:r>
        <m:r>
          <m:t>1</m:t>
        </m:r>
        <m:r>
          <m:rPr>
            <m:sty m:val="p"/>
          </m:rPr>
          <m:t>∣</m:t>
        </m:r>
        <m:r>
          <m:t>Y</m:t>
        </m:r>
        <m:r>
          <m:rPr>
            <m:sty m:val="p"/>
          </m:rPr>
          <m:t>=</m:t>
        </m:r>
        <m:r>
          <m:t>y</m:t>
        </m:r>
        <m:r>
          <m:rPr>
            <m:sty m:val="p"/>
          </m:rPr>
          <m:t>,</m:t>
        </m:r>
        <m:r>
          <m:t>A</m:t>
        </m:r>
        <m:r>
          <m:rPr>
            <m:sty m:val="p"/>
          </m:rPr>
          <m:t>=</m:t>
        </m:r>
        <m:r>
          <m:t>a</m:t>
        </m:r>
        <m:r>
          <m:rPr>
            <m:sty m:val="p"/>
          </m:rPr>
          <m:t>)</m:t>
        </m:r>
        <m:r>
          <m:rPr>
            <m:sty m:val="p"/>
          </m:rPr>
          <m:t>=</m:t>
        </m:r>
        <m:r>
          <m:rPr>
            <m:sty m:val="p"/>
          </m:rPr>
          <m:t>Pr</m:t>
        </m:r>
        <m:r>
          <m:rPr>
            <m:sty m:val="p"/>
          </m:rPr>
          <m:t>(</m:t>
        </m:r>
        <m:acc>
          <m:accPr>
            <m:chr m:val="̂"/>
          </m:accPr>
          <m:e>
            <m:r>
              <m:t>Y</m:t>
            </m:r>
          </m:e>
        </m:acc>
        <m:r>
          <m:rPr>
            <m:sty m:val="p"/>
          </m:rPr>
          <m:t>=</m:t>
        </m:r>
        <m:r>
          <m:t>1</m:t>
        </m:r>
        <m:r>
          <m:rPr>
            <m:sty m:val="p"/>
          </m:rPr>
          <m:t>∣</m:t>
        </m:r>
        <m:r>
          <m:t>Y</m:t>
        </m:r>
        <m:r>
          <m:rPr>
            <m:sty m:val="p"/>
          </m:rPr>
          <m:t>=</m:t>
        </m:r>
        <m:r>
          <m:t>y</m:t>
        </m:r>
        <m:r>
          <m:rPr>
            <m:sty m:val="p"/>
          </m:rPr>
          <m:t>,</m:t>
        </m:r>
        <m:r>
          <m:t>A</m:t>
        </m:r>
        <m:r>
          <m:rPr>
            <m:sty m:val="p"/>
          </m:rPr>
          <m:t>=</m:t>
        </m:r>
        <m:r>
          <m:t>b</m:t>
        </m:r>
        <m:r>
          <m:rPr>
            <m:sty m:val="p"/>
          </m:rPr>
          <m:t>)</m:t>
        </m:r>
      </m:oMath>
      <w:r>
        <w:t xml:space="preserve"> </w:t>
      </w:r>
      <w:r>
        <w:t xml:space="preserve">for all</w:t>
      </w:r>
      <w:r>
        <w:t xml:space="preserve"> </w:t>
      </w:r>
      <m:oMath>
        <m:r>
          <m:t>y</m:t>
        </m:r>
      </m:oMath>
      <w:r>
        <w:t xml:space="preserve"> </w:t>
      </w:r>
      <w:r>
        <w:t xml:space="preserve">and all</w:t>
      </w:r>
      <w:r>
        <w:t xml:space="preserve"> </w:t>
      </w:r>
      <m:oMath>
        <m:r>
          <m:t>a</m:t>
        </m:r>
        <m:r>
          <m:rPr>
            <m:sty m:val="p"/>
          </m:rPr>
          <m:t>,</m:t>
        </m:r>
        <m:r>
          <m:t>b</m:t>
        </m:r>
      </m:oMath>
      <w:r>
        <w:t xml:space="preserve">. Requires equal true-positive and</w:t>
      </w:r>
      <w:r>
        <w:t xml:space="preserve"> </w:t>
      </w:r>
      <w:r>
        <w:t xml:space="preserve">false-positive rates conditional on the true outcome.</w:t>
      </w:r>
    </w:p>
    <w:p>
      <w:pPr>
        <w:pStyle w:val="BodyText"/>
      </w:pPr>
      <w:r>
        <w:rPr>
          <w:b/>
          <w:bCs/>
        </w:rPr>
        <w:t xml:space="preserve">Predictive parity and calibration</w:t>
      </w:r>
      <w:r>
        <w:t xml:space="preserve"> </w:t>
      </w:r>
      <w:r>
        <w:t xml:space="preserve">(Chouldechova, 2017).</w:t>
      </w:r>
      <w:r>
        <w:t xml:space="preserve"> </w:t>
      </w:r>
      <w:r>
        <w:t xml:space="preserve">These are distinct properties.</w:t>
      </w:r>
      <w:r>
        <w:t xml:space="preserve"> </w:t>
      </w:r>
      <w:r>
        <w:rPr>
          <w:i/>
          <w:iCs/>
        </w:rPr>
        <w:t xml:space="preserve">Calibration</w:t>
      </w:r>
      <w:r>
        <w:t xml:space="preserve"> </w:t>
      </w:r>
      <w:r>
        <w:t xml:space="preserve">is score-level:</w:t>
      </w:r>
      <w:r>
        <w:t xml:space="preserve"> </w:t>
      </w:r>
      <m:oMath>
        <m:r>
          <m:rPr>
            <m:sty m:val="p"/>
          </m:rPr>
          <m:t>Pr</m:t>
        </m:r>
        <m:r>
          <m:rPr>
            <m:sty m:val="p"/>
          </m:rPr>
          <m:t>(</m:t>
        </m:r>
        <m:r>
          <m:t>Y</m:t>
        </m:r>
        <m:r>
          <m:rPr>
            <m:sty m:val="p"/>
          </m:rPr>
          <m:t>=</m:t>
        </m:r>
        <m:r>
          <m:t>1</m:t>
        </m:r>
        <m:r>
          <m:rPr>
            <m:sty m:val="p"/>
          </m:rPr>
          <m:t>∣</m:t>
        </m:r>
        <m:r>
          <m:t>S</m:t>
        </m:r>
        <m:r>
          <m:rPr>
            <m:sty m:val="p"/>
          </m:rPr>
          <m:t>=</m:t>
        </m:r>
        <m:r>
          <m:t>s</m:t>
        </m:r>
        <m:r>
          <m:rPr>
            <m:sty m:val="p"/>
          </m:rPr>
          <m:t>,</m:t>
        </m:r>
        <m:r>
          <m:t>A</m:t>
        </m:r>
        <m:r>
          <m:rPr>
            <m:sty m:val="p"/>
          </m:rPr>
          <m:t>=</m:t>
        </m:r>
        <m:r>
          <m:t>a</m:t>
        </m:r>
        <m:r>
          <m:rPr>
            <m:sty m:val="p"/>
          </m:rPr>
          <m:t>)</m:t>
        </m:r>
        <m:r>
          <m:rPr>
            <m:sty m:val="p"/>
          </m:rPr>
          <m:t>=</m:t>
        </m:r>
        <m:r>
          <m:rPr>
            <m:sty m:val="p"/>
          </m:rPr>
          <m:t>Pr</m:t>
        </m:r>
        <m:r>
          <m:rPr>
            <m:sty m:val="p"/>
          </m:rPr>
          <m:t>(</m:t>
        </m:r>
        <m:r>
          <m:t>Y</m:t>
        </m:r>
        <m:r>
          <m:rPr>
            <m:sty m:val="p"/>
          </m:rPr>
          <m:t>=</m:t>
        </m:r>
        <m:r>
          <m:t>1</m:t>
        </m:r>
        <m:r>
          <m:rPr>
            <m:sty m:val="p"/>
          </m:rPr>
          <m:t>∣</m:t>
        </m:r>
        <m:r>
          <m:t>S</m:t>
        </m:r>
        <m:r>
          <m:rPr>
            <m:sty m:val="p"/>
          </m:rPr>
          <m:t>=</m:t>
        </m:r>
        <m:r>
          <m:t>s</m:t>
        </m:r>
        <m:r>
          <m:rPr>
            <m:sty m:val="p"/>
          </m:rPr>
          <m:t>,</m:t>
        </m:r>
        <m:r>
          <m:t>A</m:t>
        </m:r>
        <m:r>
          <m:rPr>
            <m:sty m:val="p"/>
          </m:rPr>
          <m:t>=</m:t>
        </m:r>
        <m:r>
          <m:t>b</m:t>
        </m:r>
        <m:r>
          <m:rPr>
            <m:sty m:val="p"/>
          </m:rPr>
          <m:t>)</m:t>
        </m:r>
      </m:oMath>
      <w:r>
        <w:t xml:space="preserve"> </w:t>
      </w:r>
      <w:r>
        <w:t xml:space="preserve">for all</w:t>
      </w:r>
      <w:r>
        <w:t xml:space="preserve"> </w:t>
      </w:r>
      <w:r>
        <w:t xml:space="preserve">scores</w:t>
      </w:r>
      <w:r>
        <w:t xml:space="preserve"> </w:t>
      </w:r>
      <m:oMath>
        <m:r>
          <m:t>s</m:t>
        </m:r>
      </m:oMath>
      <w:r>
        <w:t xml:space="preserve"> </w:t>
      </w:r>
      <w:r>
        <w:t xml:space="preserve">and groups</w:t>
      </w:r>
      <w:r>
        <w:t xml:space="preserve"> </w:t>
      </w:r>
      <m:oMath>
        <m:r>
          <m:t>a</m:t>
        </m:r>
        <m:r>
          <m:rPr>
            <m:sty m:val="p"/>
          </m:rPr>
          <m:t>,</m:t>
        </m:r>
        <m:r>
          <m:t>b</m:t>
        </m:r>
      </m:oMath>
      <w:r>
        <w:t xml:space="preserve"> </w:t>
      </w:r>
      <w:r>
        <w:t xml:space="preserve">(at a given score the observed outcome rate</w:t>
      </w:r>
      <w:r>
        <w:t xml:space="preserve"> </w:t>
      </w:r>
      <w:r>
        <w:t xml:space="preserve">is group-independent).</w:t>
      </w:r>
      <w:r>
        <w:t xml:space="preserve"> </w:t>
      </w:r>
      <w:r>
        <w:rPr>
          <w:i/>
          <w:iCs/>
        </w:rPr>
        <w:t xml:space="preserve">Predictive parity</w:t>
      </w:r>
      <w:r>
        <w:t xml:space="preserve"> </w:t>
      </w:r>
      <w:r>
        <w:t xml:space="preserve">is a</w:t>
      </w:r>
      <w:r>
        <w:t xml:space="preserve"> </w:t>
      </w:r>
      <w:r>
        <w:rPr>
          <w:i/>
          <w:iCs/>
        </w:rPr>
        <w:t xml:space="preserve">threshold</w:t>
      </w:r>
      <w:r>
        <w:t xml:space="preserve"> </w:t>
      </w:r>
      <w:r>
        <w:t xml:space="preserve">condition on precision: among those</w:t>
      </w:r>
      <w:r>
        <w:t xml:space="preserve"> </w:t>
      </w:r>
      <w:r>
        <w:rPr>
          <w:i/>
          <w:iCs/>
        </w:rPr>
        <w:t xml:space="preserve">classified</w:t>
      </w:r>
      <w:r>
        <w:t xml:space="preserve"> </w:t>
      </w:r>
      <w:r>
        <w:t xml:space="preserve">positive,</w:t>
      </w:r>
      <w:r>
        <w:t xml:space="preserve"> </w:t>
      </w:r>
      <m:oMath>
        <m:r>
          <m:rPr>
            <m:sty m:val="p"/>
          </m:rPr>
          <m:t>Pr</m:t>
        </m:r>
        <m:r>
          <m:rPr>
            <m:sty m:val="p"/>
          </m:rPr>
          <m:t>(</m:t>
        </m:r>
        <m:r>
          <m:t>Y</m:t>
        </m:r>
        <m:r>
          <m:rPr>
            <m:sty m:val="p"/>
          </m:rPr>
          <m:t>=</m:t>
        </m:r>
        <m:r>
          <m:t>1</m:t>
        </m:r>
        <m:r>
          <m:rPr>
            <m:sty m:val="p"/>
          </m:rPr>
          <m:t>∣</m:t>
        </m:r>
        <m:acc>
          <m:accPr>
            <m:chr m:val="̂"/>
          </m:accPr>
          <m:e>
            <m:r>
              <m:t>Y</m:t>
            </m:r>
          </m:e>
        </m:acc>
        <m:r>
          <m:rPr>
            <m:sty m:val="p"/>
          </m:rPr>
          <m:t>=</m:t>
        </m:r>
        <m:r>
          <m:t>1</m:t>
        </m:r>
        <m:r>
          <m:rPr>
            <m:sty m:val="p"/>
          </m:rPr>
          <m:t>,</m:t>
        </m:r>
        <m:r>
          <m:t>A</m:t>
        </m:r>
        <m:r>
          <m:rPr>
            <m:sty m:val="p"/>
          </m:rPr>
          <m:t>=</m:t>
        </m:r>
        <m:r>
          <m:t>a</m:t>
        </m:r>
        <m:r>
          <m:rPr>
            <m:sty m:val="p"/>
          </m:rPr>
          <m:t>)</m:t>
        </m:r>
        <m:r>
          <m:rPr>
            <m:sty m:val="p"/>
          </m:rPr>
          <m:t>=</m:t>
        </m:r>
        <m:r>
          <m:rPr>
            <m:sty m:val="p"/>
          </m:rPr>
          <m:t>Pr</m:t>
        </m:r>
        <m:r>
          <m:rPr>
            <m:sty m:val="p"/>
          </m:rPr>
          <m:t>(</m:t>
        </m:r>
        <m:r>
          <m:t>Y</m:t>
        </m:r>
        <m:r>
          <m:rPr>
            <m:sty m:val="p"/>
          </m:rPr>
          <m:t>=</m:t>
        </m:r>
        <m:r>
          <m:t>1</m:t>
        </m:r>
        <m:r>
          <m:rPr>
            <m:sty m:val="p"/>
          </m:rPr>
          <m:t>∣</m:t>
        </m:r>
        <m:acc>
          <m:accPr>
            <m:chr m:val="̂"/>
          </m:accPr>
          <m:e>
            <m:r>
              <m:t>Y</m:t>
            </m:r>
          </m:e>
        </m:acc>
        <m:r>
          <m:rPr>
            <m:sty m:val="p"/>
          </m:rPr>
          <m:t>=</m:t>
        </m:r>
        <m:r>
          <m:t>1</m:t>
        </m:r>
        <m:r>
          <m:rPr>
            <m:sty m:val="p"/>
          </m:rPr>
          <m:t>,</m:t>
        </m:r>
        <m:r>
          <m:t>A</m:t>
        </m:r>
        <m:r>
          <m:rPr>
            <m:sty m:val="p"/>
          </m:rPr>
          <m:t>=</m:t>
        </m:r>
        <m:r>
          <m:t>b</m:t>
        </m:r>
        <m:r>
          <m:rPr>
            <m:sty m:val="p"/>
          </m:rPr>
          <m:t>)</m:t>
        </m:r>
      </m:oMath>
      <w:r>
        <w:t xml:space="preserve">.</w:t>
      </w:r>
      <w:r>
        <w:t xml:space="preserve"> </w:t>
      </w:r>
      <w:r>
        <w:t xml:space="preserve">Northpointe’s defence was predictive parity at the high-risk threshold,</w:t>
      </w:r>
      <w:r>
        <w:t xml:space="preserve"> </w:t>
      </w:r>
      <w:r>
        <w:t xml:space="preserve">not full per-score calibration.</w:t>
      </w:r>
    </w:p>
    <w:p>
      <w:pPr>
        <w:pStyle w:val="BodyText"/>
      </w:pPr>
      <w:r>
        <w:rPr>
          <w:b/>
          <w:bCs/>
        </w:rPr>
        <w:t xml:space="preserve">Counterfactual fairness</w:t>
      </w:r>
      <w:r>
        <w:t xml:space="preserve"> </w:t>
      </w:r>
      <w:r>
        <w:t xml:space="preserve">(Kusner et al., 2017). The</w:t>
      </w:r>
      <w:r>
        <w:t xml:space="preserve"> </w:t>
      </w:r>
      <w:r>
        <w:t xml:space="preserve">prediction</w:t>
      </w:r>
      <w:r>
        <w:t xml:space="preserve"> </w:t>
      </w:r>
      <m:oMath>
        <m:acc>
          <m:accPr>
            <m:chr m:val="̂"/>
          </m:accPr>
          <m:e>
            <m:r>
              <m:t>Y</m:t>
            </m:r>
          </m:e>
        </m:acc>
        <m:r>
          <m:rPr>
            <m:sty m:val="p"/>
          </m:rPr>
          <m:t>(</m:t>
        </m:r>
        <m:r>
          <m:t>X</m:t>
        </m:r>
        <m:r>
          <m:rPr>
            <m:sty m:val="p"/>
          </m:rPr>
          <m:t>,</m:t>
        </m:r>
        <m:r>
          <m:t>A</m:t>
        </m:r>
        <m:r>
          <m:rPr>
            <m:sty m:val="p"/>
          </m:rPr>
          <m:t>)</m:t>
        </m:r>
      </m:oMath>
      <w:r>
        <w:t xml:space="preserve"> </w:t>
      </w:r>
      <w:r>
        <w:t xml:space="preserve">should equal the counterfactual prediction</w:t>
      </w:r>
      <w:r>
        <w:t xml:space="preserve"> </w:t>
      </w:r>
      <m:oMath>
        <m:acc>
          <m:accPr>
            <m:chr m:val="̂"/>
          </m:accPr>
          <m:e>
            <m:r>
              <m:t>Y</m:t>
            </m:r>
          </m:e>
        </m:acc>
        <m:r>
          <m:rPr>
            <m:sty m:val="p"/>
          </m:rPr>
          <m:t>(</m:t>
        </m:r>
        <m:sSub>
          <m:e>
            <m:r>
              <m:t>X</m:t>
            </m:r>
          </m:e>
          <m:sub>
            <m:r>
              <m:t>A</m:t>
            </m:r>
            <m:box>
              <m:boxPr>
                <m:opEmu m:val="on"/>
              </m:boxPr>
              <m:e>
                <m:r>
                  <m:rPr>
                    <m:sty m:val="p"/>
                  </m:rPr>
                  <m:t>:=</m:t>
                </m:r>
              </m:e>
            </m:box>
            <m:sSup>
              <m:e>
                <m:r>
                  <m:t>a</m:t>
                </m:r>
              </m:e>
              <m:sup>
                <m:r>
                  <m:rPr>
                    <m:sty m:val="p"/>
                  </m:rPr>
                  <m:t>′</m:t>
                </m:r>
              </m:sup>
            </m:sSup>
          </m:sub>
        </m:sSub>
        <m:r>
          <m:rPr>
            <m:sty m:val="p"/>
          </m:rPr>
          <m:t>,</m:t>
        </m:r>
        <m:sSup>
          <m:e>
            <m:r>
              <m:t>a</m:t>
            </m:r>
          </m:e>
          <m:sup>
            <m:r>
              <m:rPr>
                <m:sty m:val="p"/>
              </m:rPr>
              <m:t>′</m:t>
            </m:r>
          </m:sup>
        </m:sSup>
        <m:r>
          <m:rPr>
            <m:sty m:val="p"/>
          </m:rPr>
          <m:t>)</m:t>
        </m:r>
      </m:oMath>
      <w:r>
        <w:t xml:space="preserve"> </w:t>
      </w:r>
      <w:r>
        <w:t xml:space="preserve">for any protected attribute</w:t>
      </w:r>
      <w:r>
        <w:t xml:space="preserve"> </w:t>
      </w:r>
      <m:oMath>
        <m:sSup>
          <m:e>
            <m:r>
              <m:t>a</m:t>
            </m:r>
          </m:e>
          <m:sup>
            <m:r>
              <m:rPr>
                <m:sty m:val="p"/>
              </m:rPr>
              <m:t>′</m:t>
            </m:r>
          </m:sup>
        </m:sSup>
      </m:oMath>
      <w:r>
        <w:t xml:space="preserve">. Requires</w:t>
      </w:r>
      <w:r>
        <w:t xml:space="preserve"> </w:t>
      </w:r>
      <w:r>
        <w:t xml:space="preserve">a causal model.</w:t>
      </w:r>
    </w:p>
    <w:p>
      <w:pPr>
        <w:pStyle w:val="BodyText"/>
      </w:pPr>
      <w:r>
        <w:rPr>
          <w:b/>
          <w:bCs/>
        </w:rPr>
        <w:t xml:space="preserve">Individual fairness</w:t>
      </w:r>
      <w:r>
        <w:t xml:space="preserve"> </w:t>
      </w:r>
      <w:r>
        <w:t xml:space="preserve">(Dwork et al., 2012). Similar</w:t>
      </w:r>
      <w:r>
        <w:t xml:space="preserve"> </w:t>
      </w:r>
      <w:r>
        <w:t xml:space="preserve">individuals should receive similar predictions: a Lipschitz condition</w:t>
      </w:r>
      <w:r>
        <w:t xml:space="preserve"> </w:t>
      </w:r>
      <w:r>
        <w:t xml:space="preserve">on the prediction map with respect to a task-appropriate metric. The</w:t>
      </w:r>
      <w:r>
        <w:t xml:space="preserve"> </w:t>
      </w:r>
      <w:r>
        <w:t xml:space="preserve">similarity metric is left to be specified.</w:t>
      </w:r>
    </w:p>
    <w:p>
      <w:pPr>
        <w:pStyle w:val="BodyText"/>
      </w:pPr>
      <w:r>
        <w:t xml:space="preserve">The first three criteria are</w:t>
      </w:r>
      <w:r>
        <w:t xml:space="preserve"> </w:t>
      </w:r>
      <w:r>
        <w:rPr>
          <w:i/>
          <w:iCs/>
        </w:rPr>
        <w:t xml:space="preserve">population-level</w:t>
      </w:r>
      <w:r>
        <w:t xml:space="preserve">: they constrain</w:t>
      </w:r>
      <w:r>
        <w:t xml:space="preserve"> </w:t>
      </w:r>
      <w:r>
        <w:t xml:space="preserve">aggregate statistics on a population. The fourth requires a causal</w:t>
      </w:r>
      <w:r>
        <w:t xml:space="preserve"> </w:t>
      </w:r>
      <w:r>
        <w:t xml:space="preserve">model that may not be available. The fifth is general and</w:t>
      </w:r>
      <w:r>
        <w:t xml:space="preserve"> </w:t>
      </w:r>
      <w:r>
        <w:t xml:space="preserve">philosophically attractive but undertheorized—which metric? The</w:t>
      </w:r>
      <w:r>
        <w:t xml:space="preserve"> </w:t>
      </w:r>
      <w:r>
        <w:t xml:space="preserve">Legal Bond Index draws on the individual-fairness tradition without</w:t>
      </w:r>
      <w:r>
        <w:t xml:space="preserve"> </w:t>
      </w:r>
      <w:r>
        <w:t xml:space="preserve">implementing it: it adopts a concrete matching metric (the Mahalanobis</w:t>
      </w:r>
      <w:r>
        <w:t xml:space="preserve"> </w:t>
      </w:r>
      <w:r>
        <w:t xml:space="preserve">distance on legitimate predictors) and a concrete operational</w:t>
      </w:r>
      <w:r>
        <w:t xml:space="preserve"> </w:t>
      </w:r>
      <w:r>
        <w:t xml:space="preserve">specification (matched-pair</w:t>
      </w:r>
      <w:r>
        <w:t xml:space="preserve"> </w:t>
      </w:r>
      <m:oMath>
        <m:r>
          <m:t>k</m:t>
        </m:r>
      </m:oMath>
      <w:r>
        <w:t xml:space="preserve">-NN average), turning the</w:t>
      </w:r>
      <w:r>
        <w:t xml:space="preserve"> </w:t>
      </w:r>
      <w:r>
        <w:t xml:space="preserve">like-cases-alike desideratum into a measurable quantity with a</w:t>
      </w:r>
      <w:r>
        <w:t xml:space="preserve"> </w:t>
      </w:r>
      <w:r>
        <w:t xml:space="preserve">confidence interval—a diagnostic inspired by the framework, not a</w:t>
      </w:r>
      <w:r>
        <w:t xml:space="preserve"> </w:t>
      </w:r>
      <w:r>
        <w:t xml:space="preserve">certification of its property (§5.2).</w:t>
      </w:r>
    </w:p>
    <w:bookmarkEnd w:id="11"/>
    <w:bookmarkStart w:id="12" w:name="what-population-level-metrics-miss"/>
    <w:p>
      <w:pPr>
        <w:pStyle w:val="Heading2"/>
      </w:pPr>
      <w:r>
        <w:t xml:space="preserve">What population-level metrics miss</w:t>
      </w:r>
    </w:p>
    <w:p>
      <w:pPr>
        <w:pStyle w:val="FirstParagraph"/>
      </w:pPr>
      <w:r>
        <w:t xml:space="preserve">The Chouldechova–Kleinberg impossibility is a result about</w:t>
      </w:r>
      <w:r>
        <w:t xml:space="preserve"> </w:t>
      </w:r>
      <w:r>
        <w:rPr>
          <w:i/>
          <w:iCs/>
        </w:rPr>
        <w:t xml:space="preserve">populations</w:t>
      </w:r>
      <w:r>
        <w:t xml:space="preserve">. With unequal base rates, no scoring rule can</w:t>
      </w:r>
      <w:r>
        <w:t xml:space="preserve"> </w:t>
      </w:r>
      <w:r>
        <w:t xml:space="preserve">simultaneously equalize calibration and false-positive rates across</w:t>
      </w:r>
      <w:r>
        <w:t xml:space="preserve"> </w:t>
      </w:r>
      <w:r>
        <w:t xml:space="preserve">groups. This is mathematics; one cannot escape it by being clever.</w:t>
      </w:r>
    </w:p>
    <w:p>
      <w:pPr>
        <w:pStyle w:val="BodyText"/>
      </w:pPr>
      <w:r>
        <w:t xml:space="preserve">But the impossibility result is silent about</w:t>
      </w:r>
      <w:r>
        <w:t xml:space="preserve"> </w:t>
      </w:r>
      <w:r>
        <w:rPr>
          <w:i/>
          <w:iCs/>
        </w:rPr>
        <w:t xml:space="preserve">case-level</w:t>
      </w:r>
      <w:r>
        <w:t xml:space="preserve"> </w:t>
      </w:r>
      <w:r>
        <w:t xml:space="preserve">properties. Consider the following question: take two defendants who</w:t>
      </w:r>
      <w:r>
        <w:t xml:space="preserve"> </w:t>
      </w:r>
      <w:r>
        <w:t xml:space="preserve">agree on legitimate predictors (age, priors, juvenile record, charge</w:t>
      </w:r>
      <w:r>
        <w:t xml:space="preserve"> </w:t>
      </w:r>
      <w:r>
        <w:t xml:space="preserve">degree), differing only on race. Does the algorithm assign them</w:t>
      </w:r>
      <w:r>
        <w:t xml:space="preserve"> </w:t>
      </w:r>
      <w:r>
        <w:t xml:space="preserve">similar scores? This is a question about</w:t>
      </w:r>
      <w:r>
        <w:t xml:space="preserve"> </w:t>
      </w:r>
      <w:r>
        <w:rPr>
          <w:i/>
          <w:iCs/>
        </w:rPr>
        <w:t xml:space="preserve">matched pairs</w:t>
      </w:r>
      <w:r>
        <w:t xml:space="preserve">, not</w:t>
      </w:r>
      <w:r>
        <w:t xml:space="preserve"> </w:t>
      </w:r>
      <w:r>
        <w:t xml:space="preserve">about populations. The Chouldechova–Kleinberg theorem does not</w:t>
      </w:r>
      <w:r>
        <w:t xml:space="preserve"> </w:t>
      </w:r>
      <w:r>
        <w:t xml:space="preserve">constrain the answer; nothing in the impossibility result prevents</w:t>
      </w:r>
      <w:r>
        <w:t xml:space="preserve"> </w:t>
      </w:r>
      <w:r>
        <w:t xml:space="preserve">an algorithm from being case-level fair. To the extent the matching features capture the legally relevant grounds</w:t>
      </w:r>
      <w:r>
        <w:t xml:space="preserve"> </w:t>
      </w:r>
      <w:r>
        <w:t xml:space="preserve">of similarity, an algorithm that scores legitimately-matched defendants</w:t>
      </w:r>
      <w:r>
        <w:t xml:space="preserve"> </w:t>
      </w:r>
      <w:r>
        <w:t xml:space="preserve">alike is case-level fair, and one that systematically scores them</w:t>
      </w:r>
      <w:r>
        <w:t xml:space="preserve"> </w:t>
      </w:r>
      <w:r>
        <w:t xml:space="preserve">differently by race exhibits a case-level disparity that the</w:t>
      </w:r>
      <w:r>
        <w:t xml:space="preserve"> </w:t>
      </w:r>
      <w:r>
        <w:t xml:space="preserve">population-level metrics do not reveal. That qualification is essential:</w:t>
      </w:r>
      <w:r>
        <w:t xml:space="preserve"> </w:t>
      </w:r>
      <w:r>
        <w:t xml:space="preserve">because the match is on a selected, possibly incomplete set of observed</w:t>
      </w:r>
      <w:r>
        <w:t xml:space="preserve"> </w:t>
      </w:r>
      <w:r>
        <w:t xml:space="preserve">features, a disparity among matched pairs is a diagnostic signal</w:t>
      </w:r>
      <w:r>
        <w:t xml:space="preserve"> </w:t>
      </w:r>
      <w:r>
        <w:t xml:space="preserve">requiring further investigation, not by itself proof of legal unfairness</w:t>
      </w:r>
      <w:r>
        <w:t xml:space="preserve"> </w:t>
      </w:r>
      <w:r>
        <w:t xml:space="preserve">(§5, §4.8).</w:t>
      </w:r>
    </w:p>
    <w:p>
      <w:pPr>
        <w:pStyle w:val="BodyText"/>
      </w:pPr>
      <w:r>
        <w:t xml:space="preserve">The Legal Bond Index is a quantitative diagnostic aimed at this</w:t>
      </w:r>
      <w:r>
        <w:t xml:space="preserve"> </w:t>
      </w:r>
      <w:r>
        <w:t xml:space="preserve">matched-comparison question. To be precise about what it delivers: LBI</w:t>
      </w:r>
      <w:r>
        <w:t xml:space="preserve"> </w:t>
      </w:r>
      <w:r>
        <w:t xml:space="preserve">is computed from local, case-level comparisons and then aggregated, so</w:t>
      </w:r>
      <w:r>
        <w:t xml:space="preserve"> </w:t>
      </w:r>
      <w:r>
        <w:t xml:space="preserve">the reported index is a population-level summary of matched-neighbourhood</w:t>
      </w:r>
      <w:r>
        <w:t xml:space="preserve"> </w:t>
      </w:r>
      <w:r>
        <w:t xml:space="preserve">contrasts, not a per-case verdict; and because no defendant’s protected</w:t>
      </w:r>
      <w:r>
        <w:t xml:space="preserve"> </w:t>
      </w:r>
      <w:r>
        <w:t xml:space="preserve">attribute is counterfactually altered—different people are</w:t>
      </w:r>
      <w:r>
        <w:t xml:space="preserve"> </w:t>
      </w:r>
      <w:r>
        <w:t xml:space="preserve">compared—an elevated LBI establishes that</w:t>
      </w:r>
      <w:r>
        <w:t xml:space="preserve"> </w:t>
      </w:r>
      <w:r>
        <w:rPr>
          <w:i/>
          <w:iCs/>
        </w:rPr>
        <w:t xml:space="preserve">cross-group score</w:t>
      </w:r>
      <w:r>
        <w:rPr>
          <w:i/>
          <w:iCs/>
        </w:rPr>
        <w:t xml:space="preserve"> </w:t>
      </w:r>
      <w:r>
        <w:rPr>
          <w:i/>
          <w:iCs/>
        </w:rPr>
        <w:t xml:space="preserve">divergence exceeds within-group score divergence among neighbours</w:t>
      </w:r>
      <w:r>
        <w:rPr>
          <w:i/>
          <w:iCs/>
        </w:rPr>
        <w:t xml:space="preserve"> </w:t>
      </w:r>
      <w:r>
        <w:rPr>
          <w:i/>
          <w:iCs/>
        </w:rPr>
        <w:t xml:space="preserve">selected on the specified observed features</w:t>
      </w:r>
      <w:r>
        <w:t xml:space="preserve">, not that the algorithm</w:t>
      </w:r>
      <w:r>
        <w:t xml:space="preserve"> </w:t>
      </w:r>
      <w:r>
        <w:t xml:space="preserve">“uses race.”</w:t>
      </w:r>
      <w:r>
        <w:t xml:space="preserve"> </w:t>
      </w:r>
      <w:r>
        <w:t xml:space="preserve">It does not adjudicate the Chouldechova–Kleinberg</w:t>
      </w:r>
      <w:r>
        <w:t xml:space="preserve"> </w:t>
      </w:r>
      <w:r>
        <w:t xml:space="preserve">dispute; it provides a quantitative answer to a question the dispute</w:t>
      </w:r>
      <w:r>
        <w:t xml:space="preserve"> </w:t>
      </w:r>
      <w:r>
        <w:t xml:space="preserve">does not address.</w:t>
      </w:r>
    </w:p>
    <w:bookmarkEnd w:id="12"/>
    <w:bookmarkEnd w:id="13"/>
    <w:bookmarkStart w:id="18" w:name="sec:lbi"/>
    <w:p>
      <w:pPr>
        <w:pStyle w:val="Heading1"/>
      </w:pPr>
      <w:r>
        <w:t xml:space="preserve">The Legal Bond Index</w:t>
      </w:r>
    </w:p>
    <w:bookmarkStart w:id="15" w:name="definition"/>
    <w:p>
      <w:pPr>
        <w:pStyle w:val="Heading2"/>
      </w:pPr>
      <w:r>
        <w:t xml:space="preserve">Definition</w:t>
      </w:r>
    </w:p>
    <w:p>
      <w:pPr>
        <w:pStyle w:val="FirstParagraph"/>
      </w:pPr>
      <w:r>
        <w:t xml:space="preserve">Let</w:t>
      </w:r>
      <w:r>
        <w:t xml:space="preserve"> </w:t>
      </w:r>
      <m:oMath>
        <m:r>
          <m:t>V</m:t>
        </m:r>
      </m:oMath>
      <w:r>
        <w:t xml:space="preserve"> </w:t>
      </w:r>
      <w:r>
        <w:t xml:space="preserve">be the set of individuals (defendants, applicants, claimants)</w:t>
      </w:r>
      <w:r>
        <w:t xml:space="preserve"> </w:t>
      </w:r>
      <w:r>
        <w:t xml:space="preserve">to whom an algorithm is applied. Each individual</w:t>
      </w:r>
      <w:r>
        <w:t xml:space="preserve"> </w:t>
      </w:r>
      <m:oMath>
        <m:r>
          <m:t>i</m:t>
        </m:r>
        <m:r>
          <m:rPr>
            <m:sty m:val="p"/>
          </m:rPr>
          <m:t>∈</m:t>
        </m:r>
        <m:r>
          <m:t>V</m:t>
        </m:r>
      </m:oMath>
      <w:r>
        <w:t xml:space="preserve"> </w:t>
      </w:r>
      <w:r>
        <w:t xml:space="preserve">has a</w:t>
      </w:r>
      <w:r>
        <w:t xml:space="preserve"> </w:t>
      </w:r>
      <w:r>
        <w:t xml:space="preserve">legitimate-predictor vector</w:t>
      </w:r>
      <w:r>
        <w:t xml:space="preserve"> </w:t>
      </w:r>
      <m:oMath>
        <m:sSub>
          <m:e>
            <m:r>
              <m:rPr>
                <m:sty m:val="b"/>
              </m:rPr>
              <m:t>x</m:t>
            </m:r>
          </m:e>
          <m:sub>
            <m:r>
              <m:t>i</m:t>
            </m:r>
          </m:sub>
        </m:sSub>
        <m:r>
          <m:rPr>
            <m:sty m:val="p"/>
          </m:rPr>
          <m:t>∈</m:t>
        </m:r>
        <m:sSup>
          <m:e>
            <m:r>
              <m:rPr>
                <m:scr m:val="double-struck"/>
                <m:sty m:val="p"/>
              </m:rPr>
              <m:t>R</m:t>
            </m:r>
          </m:e>
          <m:sup>
            <m:r>
              <m:t>d</m:t>
            </m:r>
          </m:sup>
        </m:sSup>
      </m:oMath>
      <w:r>
        <w:t xml:space="preserve"> </w:t>
      </w:r>
      <w:r>
        <w:t xml:space="preserve">and a</w:t>
      </w:r>
      <w:r>
        <w:t xml:space="preserve"> </w:t>
      </w:r>
      <w:r>
        <w:t xml:space="preserve">protected attribute</w:t>
      </w:r>
      <w:r>
        <w:t xml:space="preserve"> </w:t>
      </w:r>
      <m:oMath>
        <m:sSub>
          <m:e>
            <m:r>
              <m:t>g</m:t>
            </m:r>
          </m:e>
          <m:sub>
            <m:r>
              <m:t>i</m:t>
            </m:r>
          </m:sub>
        </m:sSub>
        <m:r>
          <m:rPr>
            <m:sty m:val="p"/>
          </m:rPr>
          <m:t>∈</m:t>
        </m:r>
        <m:r>
          <m:rPr>
            <m:sty m:val="p"/>
          </m:rPr>
          <m:t>{</m:t>
        </m:r>
        <m:r>
          <m:t>0</m:t>
        </m:r>
        <m:r>
          <m:rPr>
            <m:sty m:val="p"/>
          </m:rPr>
          <m:t>,</m:t>
        </m:r>
        <m:r>
          <m:t>1</m:t>
        </m:r>
        <m:r>
          <m:rPr>
            <m:sty m:val="p"/>
          </m:rPr>
          <m:t>}</m:t>
        </m:r>
      </m:oMath>
      <w:r>
        <w:t xml:space="preserve"> </w:t>
      </w:r>
      <w:r>
        <w:t xml:space="preserve">(we treat the binary case</w:t>
      </w:r>
      <w:r>
        <w:t xml:space="preserve"> </w:t>
      </w:r>
      <w:r>
        <w:t xml:space="preserve">throughout and discuss the multi-class extension in</w:t>
      </w:r>
      <w:r>
        <w:t xml:space="preserve"> </w:t>
      </w:r>
      <w:r>
        <w:t xml:space="preserve">Section 5). The algorithm assigns a score</w:t>
      </w:r>
      <w:r>
        <w:t xml:space="preserve"> </w:t>
      </w:r>
      <m:oMath>
        <m:r>
          <m:t>f</m:t>
        </m:r>
        <m:r>
          <m:rPr>
            <m:sty m:val="p"/>
          </m:rPr>
          <m:t>(</m:t>
        </m:r>
        <m:r>
          <m:t>i</m:t>
        </m:r>
        <m:r>
          <m:rPr>
            <m:sty m:val="p"/>
          </m:rPr>
          <m:t>)</m:t>
        </m:r>
        <m:r>
          <m:rPr>
            <m:sty m:val="p"/>
          </m:rPr>
          <m:t>∈</m:t>
        </m:r>
        <m:r>
          <m:rPr>
            <m:scr m:val="double-struck"/>
            <m:sty m:val="p"/>
          </m:rPr>
          <m:t>R</m:t>
        </m:r>
      </m:oMath>
      <w:r>
        <w:t xml:space="preserve">. We equip</w:t>
      </w:r>
      <w:r>
        <w:t xml:space="preserve"> </w:t>
      </w:r>
      <m:oMath>
        <m:sSup>
          <m:e>
            <m:r>
              <m:rPr>
                <m:scr m:val="double-struck"/>
                <m:sty m:val="p"/>
              </m:rPr>
              <m:t>R</m:t>
            </m:r>
          </m:e>
          <m:sup>
            <m:r>
              <m:t>d</m:t>
            </m:r>
          </m:sup>
        </m:sSup>
      </m:oMath>
      <w:r>
        <w:t xml:space="preserve"> </w:t>
      </w:r>
      <w:r>
        <w:t xml:space="preserve">with the Mahalanobis</w:t>
      </w:r>
      <w:r>
        <w:t xml:space="preserve"> </w:t>
      </w:r>
      <w:r>
        <w:t xml:space="preserve">metric</w:t>
      </w:r>
    </w:p>
    <w:p>
      <w:pPr>
        <w:pStyle w:val="BodyText"/>
      </w:pPr>
      <m:oMathPara>
        <m:oMathParaPr>
          <m:jc m:val="center"/>
        </m:oMathParaPr>
        <m:oMath>
          <m:sSub>
            <m:e>
              <m:r>
                <m:t>d</m:t>
              </m:r>
            </m:e>
            <m:sub>
              <m:r>
                <m:t>M</m:t>
              </m:r>
            </m:sub>
          </m:sSub>
          <m:r>
            <m:rPr>
              <m:sty m:val="p"/>
            </m:rPr>
            <m:t>(</m:t>
          </m:r>
          <m:sSub>
            <m:e>
              <m:r>
                <m:rPr>
                  <m:sty m:val="b"/>
                </m:rPr>
                <m:t>x</m:t>
              </m:r>
            </m:e>
            <m:sub>
              <m:r>
                <m:t>i</m:t>
              </m:r>
            </m:sub>
          </m:sSub>
          <m:r>
            <m:rPr>
              <m:sty m:val="p"/>
            </m:rPr>
            <m:t>,</m:t>
          </m:r>
          <m:sSub>
            <m:e>
              <m:r>
                <m:rPr>
                  <m:sty m:val="b"/>
                </m:rPr>
                <m:t>x</m:t>
              </m:r>
            </m:e>
            <m:sub>
              <m:r>
                <m:t>j</m:t>
              </m:r>
            </m:sub>
          </m:sSub>
          <m:r>
            <m:rPr>
              <m:sty m:val="p"/>
            </m:rPr>
            <m:t>)</m:t>
          </m:r>
          <m:r>
            <m:t> </m:t>
          </m:r>
          <m:r>
            <m:rPr>
              <m:sty m:val="p"/>
            </m:rPr>
            <m:t>=</m:t>
          </m:r>
          <m:r>
            <m:t> </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rPr>
                      <m:sty m:val="p"/>
                    </m:rPr>
                    <m:t>⊤</m:t>
                  </m:r>
                </m:sup>
              </m:sSup>
              <m:sSup>
                <m:e>
                  <m:r>
                    <m:rPr>
                      <m:sty m:val="p"/>
                    </m:rPr>
                    <m:t>Σ</m:t>
                  </m:r>
                </m:e>
                <m:sup>
                  <m:r>
                    <m:rPr>
                      <m:sty m:val="p"/>
                    </m:rPr>
                    <m:t>−</m:t>
                  </m:r>
                  <m:r>
                    <m:t>1</m:t>
                  </m:r>
                </m:sup>
              </m:sSup>
              <m:r>
                <m:rPr>
                  <m:sty m:val="p"/>
                </m:rPr>
                <m:t>(</m:t>
              </m:r>
              <m:sSub>
                <m:e>
                  <m:r>
                    <m:rPr>
                      <m:sty m:val="b"/>
                    </m:rPr>
                    <m:t>x</m:t>
                  </m:r>
                </m:e>
                <m:sub>
                  <m:r>
                    <m:t>i</m:t>
                  </m:r>
                </m:sub>
              </m:sSub>
              <m:r>
                <m:rPr>
                  <m:sty m:val="p"/>
                </m:rPr>
                <m:t>−</m:t>
              </m:r>
              <m:sSub>
                <m:e>
                  <m:r>
                    <m:rPr>
                      <m:sty m:val="b"/>
                    </m:rPr>
                    <m:t>x</m:t>
                  </m:r>
                </m:e>
                <m:sub>
                  <m:r>
                    <m:t>j</m:t>
                  </m:r>
                </m:sub>
              </m:sSub>
              <m:r>
                <m:rPr>
                  <m:sty m:val="p"/>
                </m:rPr>
                <m:t>)</m:t>
              </m:r>
            </m:e>
          </m:rad>
          <m:r>
            <m:rPr>
              <m:sty m:val="p"/>
            </m:rPr>
            <m:t>,</m:t>
          </m:r>
        </m:oMath>
      </m:oMathPara>
    </w:p>
    <w:p>
      <w:pPr>
        <w:pStyle w:val="FirstParagraph"/>
      </w:pPr>
      <w:r>
        <w:t xml:space="preserve">where</w:t>
      </w:r>
      <w:r>
        <w:t xml:space="preserve"> </w:t>
      </w:r>
      <m:oMath>
        <m:r>
          <m:rPr>
            <m:sty m:val="p"/>
          </m:rPr>
          <m:t>Σ</m:t>
        </m:r>
      </m:oMath>
      <w:r>
        <w:t xml:space="preserve"> </w:t>
      </w:r>
      <w:r>
        <w:t xml:space="preserve">is the empirical covariance of</w:t>
      </w:r>
      <w:r>
        <w:t xml:space="preserve"> </w:t>
      </w:r>
      <m:oMath>
        <m:r>
          <m:rPr>
            <m:sty m:val="b"/>
          </m:rPr>
          <m:t>x</m:t>
        </m:r>
      </m:oMath>
      <w:r>
        <w:t xml:space="preserve"> </w:t>
      </w:r>
      <w:r>
        <w:t xml:space="preserve">over the</w:t>
      </w:r>
      <w:r>
        <w:t xml:space="preserve"> </w:t>
      </w:r>
      <w:r>
        <w:t xml:space="preserve">population. The Mahalanobis metric is the natural choice when</w:t>
      </w:r>
      <w:r>
        <w:t xml:space="preserve"> </w:t>
      </w:r>
      <w:r>
        <w:t xml:space="preserve">legitimate predictors are correlated (age and prior offences typically</w:t>
      </w:r>
      <w:r>
        <w:t xml:space="preserve"> </w:t>
      </w:r>
      <w:r>
        <w:t xml:space="preserve">are) because it accounts for the joint distribution rather than</w:t>
      </w:r>
      <w:r>
        <w:t xml:space="preserve"> </w:t>
      </w:r>
      <w:r>
        <w:t xml:space="preserve">treating each axis independently. Under standardized features,</w:t>
      </w:r>
      <w:r>
        <w:t xml:space="preserve"> </w:t>
      </w:r>
      <m:oMath>
        <m:sSub>
          <m:e>
            <m:r>
              <m:t>d</m:t>
            </m:r>
          </m:e>
          <m:sub>
            <m:r>
              <m:t>M</m:t>
            </m:r>
          </m:sub>
        </m:sSub>
      </m:oMath>
      <w:r>
        <w:t xml:space="preserve"> </w:t>
      </w:r>
      <w:r>
        <w:t xml:space="preserve">reduces to Euclidean distance on the de-correlated representation</w:t>
      </w:r>
      <w:r>
        <w:t xml:space="preserve"> </w:t>
      </w:r>
      <w:r>
        <w:t xml:space="preserve">(Mahalanobis, 1936).</w:t>
      </w:r>
    </w:p>
    <w:bookmarkStart w:id="14" w:name="def:lbi"/>
    <w:p>
      <w:pPr>
        <w:pStyle w:val="BodyText"/>
      </w:pPr>
      <w:r>
        <w:rPr>
          <w:b/>
          <w:bCs/>
        </w:rPr>
        <w:t xml:space="preserve">Definition 1</w:t>
      </w:r>
      <w:r>
        <w:t xml:space="preserve"> </w:t>
      </w:r>
      <w:r>
        <w:t xml:space="preserve">(Legal Bond Index, LBI).</w:t>
      </w:r>
      <w:r>
        <w:t xml:space="preserve"> </w:t>
      </w:r>
      <w:r>
        <w:t xml:space="preserve"> </w:t>
      </w:r>
      <w:r>
        <w:rPr>
          <w:i/>
          <w:iCs/>
        </w:rPr>
        <w:t xml:space="preserve">At neighbourhood scale</w:t>
      </w:r>
      <w:r>
        <w:rPr>
          <w:i/>
          <w:iCs/>
        </w:rPr>
        <w:t xml:space="preserve"> </w:t>
      </w:r>
      <m:oMath>
        <m:r>
          <m:t>k</m:t>
        </m:r>
        <m:r>
          <m:rPr>
            <m:sty m:val="p"/>
          </m:rPr>
          <m:t>≥</m:t>
        </m:r>
        <m:r>
          <m:t>1</m:t>
        </m:r>
      </m:oMath>
      <w:r>
        <w:rPr>
          <w:i/>
          <w:iCs/>
        </w:rPr>
        <w:t xml:space="preserve">, the Legal Bond Index of an</w:t>
      </w:r>
      <w:r>
        <w:rPr>
          <w:i/>
          <w:iCs/>
        </w:rPr>
        <w:t xml:space="preserve"> </w:t>
      </w:r>
      <w:r>
        <w:rPr>
          <w:i/>
          <w:iCs/>
        </w:rPr>
        <w:t xml:space="preserve">algorithm</w:t>
      </w:r>
      <w:r>
        <w:rPr>
          <w:i/>
          <w:iCs/>
        </w:rPr>
        <w:t xml:space="preserve"> </w:t>
      </w:r>
      <m:oMath>
        <m:r>
          <m:t>f</m:t>
        </m:r>
      </m:oMath>
      <w:r>
        <w:rPr>
          <w:i/>
          <w:iCs/>
        </w:rPr>
        <w:t xml:space="preserve"> </w:t>
      </w:r>
      <w:r>
        <w:rPr>
          <w:i/>
          <w:iCs/>
        </w:rPr>
        <w:t xml:space="preserve">with respect to protected attribute</w:t>
      </w:r>
      <w:r>
        <w:rPr>
          <w:i/>
          <w:iCs/>
        </w:rPr>
        <w:t xml:space="preserve"> </w:t>
      </w:r>
      <m:oMath>
        <m:r>
          <m:t>g</m:t>
        </m:r>
      </m:oMath>
      <w:r>
        <w:rPr>
          <w:i/>
          <w:iCs/>
        </w:rPr>
        <w:t xml:space="preserve"> </w:t>
      </w:r>
      <w:r>
        <w:rPr>
          <w:i/>
          <w:iCs/>
        </w:rPr>
        <w:t xml:space="preserve">is</w:t>
      </w:r>
    </w:p>
    <w:p>
      <w:pPr>
        <w:pStyle w:val="BodyText"/>
      </w:pPr>
      <m:oMathPara>
        <m:oMathParaPr>
          <m:jc m:val="center"/>
        </m:oMathParaPr>
        <m:oMath>
          <m:sSub>
            <m:e>
              <m:r>
                <m:rPr>
                  <m:sty m:val="p"/>
                </m:rPr>
                <m:t>L</m:t>
              </m:r>
              <m:r>
                <m:rPr>
                  <m:sty m:val="p"/>
                </m:rPr>
                <m:t>B</m:t>
              </m:r>
              <m:r>
                <m:rPr>
                  <m:sty m:val="p"/>
                </m:rPr>
                <m:t>I</m:t>
              </m:r>
            </m:e>
            <m:sub>
              <m:r>
                <m:t>k</m:t>
              </m:r>
            </m:sub>
          </m:sSub>
          <m:r>
            <m:rPr>
              <m:sty m:val="p"/>
            </m:rPr>
            <m:t>(</m:t>
          </m:r>
          <m:r>
            <m:t>f</m:t>
          </m:r>
          <m:r>
            <m:rPr>
              <m:sty m:val="p"/>
            </m:rPr>
            <m:t>,</m:t>
          </m:r>
          <m:r>
            <m:t>g</m:t>
          </m:r>
          <m:r>
            <m:rPr>
              <m:sty m:val="p"/>
            </m:rPr>
            <m:t>)</m:t>
          </m:r>
          <m:r>
            <m:t> </m:t>
          </m:r>
          <m:r>
            <m:rPr>
              <m:sty m:val="p"/>
            </m:rPr>
            <m:t>=</m:t>
          </m:r>
          <m:r>
            <m:t> </m:t>
          </m:r>
          <m:f>
            <m:fPr>
              <m:type m:val="bar"/>
            </m:fPr>
            <m:num>
              <m:sSub>
                <m:e>
                  <m:r>
                    <m:rPr>
                      <m:scr m:val="double-struck"/>
                      <m:sty m:val="p"/>
                    </m:rPr>
                    <m:t>E</m:t>
                  </m:r>
                </m:e>
                <m:sub>
                  <m:r>
                    <m:t>i</m:t>
                  </m:r>
                </m:sub>
              </m:sSub>
              <m:d>
                <m:dPr>
                  <m:begChr m:val="["/>
                  <m:sepChr m:val=""/>
                  <m:endChr m:val="]"/>
                  <m:grow/>
                </m:dPr>
                <m:e>
                  <m:r>
                    <m:t> </m:t>
                  </m:r>
                  <m:sSub>
                    <m:e>
                      <m:r>
                        <m:rPr>
                          <m:nor/>
                          <m:sty m:val="p"/>
                        </m:rPr>
                        <m:t>mean</m:t>
                      </m:r>
                    </m:e>
                    <m:sub>
                      <m:r>
                        <m:t>j</m:t>
                      </m:r>
                      <m:r>
                        <m:rPr>
                          <m:sty m:val="p"/>
                        </m:rPr>
                        <m:t>∈</m:t>
                      </m:r>
                      <m:sSub>
                        <m:e>
                          <m:r>
                            <m:t>N</m:t>
                          </m:r>
                        </m:e>
                        <m:sub>
                          <m:r>
                            <m:t>k</m:t>
                          </m:r>
                        </m:sub>
                      </m:sSub>
                      <m:r>
                        <m:rPr>
                          <m:sty m:val="p"/>
                        </m:rPr>
                        <m:t>(</m:t>
                      </m:r>
                      <m:r>
                        <m:t>i</m:t>
                      </m:r>
                      <m:r>
                        <m:rPr>
                          <m:sty m:val="p"/>
                        </m:rPr>
                        <m:t>,</m:t>
                      </m:r>
                      <m:r>
                        <m:t> </m:t>
                      </m:r>
                      <m:r>
                        <m:rPr>
                          <m:sty m:val="p"/>
                        </m:rPr>
                        <m:t>¬</m:t>
                      </m:r>
                      <m:sSub>
                        <m:e>
                          <m:r>
                            <m:t>g</m:t>
                          </m:r>
                        </m:e>
                        <m:sub>
                          <m:r>
                            <m:t>i</m:t>
                          </m:r>
                        </m:sub>
                      </m:sSub>
                      <m:r>
                        <m:rPr>
                          <m:sty m:val="p"/>
                        </m:rPr>
                        <m:t>)</m:t>
                      </m:r>
                    </m:sub>
                  </m:sSub>
                  <m:r>
                    <m:t> </m:t>
                  </m:r>
                  <m:r>
                    <m:rPr>
                      <m:sty m:val="p"/>
                    </m:rPr>
                    <m:t>|</m:t>
                  </m:r>
                  <m:r>
                    <m:t>f</m:t>
                  </m:r>
                  <m:r>
                    <m:rPr>
                      <m:sty m:val="p"/>
                    </m:rPr>
                    <m:t>(</m:t>
                  </m:r>
                  <m:r>
                    <m:t>i</m:t>
                  </m:r>
                  <m:r>
                    <m:rPr>
                      <m:sty m:val="p"/>
                    </m:rPr>
                    <m:t>)</m:t>
                  </m:r>
                  <m:r>
                    <m:rPr>
                      <m:sty m:val="p"/>
                    </m:rPr>
                    <m:t>−</m:t>
                  </m:r>
                  <m:r>
                    <m:t>f</m:t>
                  </m:r>
                  <m:r>
                    <m:rPr>
                      <m:sty m:val="p"/>
                    </m:rPr>
                    <m:t>(</m:t>
                  </m:r>
                  <m:r>
                    <m:t>j</m:t>
                  </m:r>
                  <m:r>
                    <m:rPr>
                      <m:sty m:val="p"/>
                    </m:rPr>
                    <m:t>)</m:t>
                  </m:r>
                  <m:r>
                    <m:rPr>
                      <m:sty m:val="p"/>
                    </m:rPr>
                    <m:t>|</m:t>
                  </m:r>
                  <m:r>
                    <m:t> </m:t>
                  </m:r>
                </m:e>
              </m:d>
            </m:num>
            <m:den>
              <m:sSub>
                <m:e>
                  <m:r>
                    <m:rPr>
                      <m:scr m:val="double-struck"/>
                      <m:sty m:val="p"/>
                    </m:rPr>
                    <m:t>E</m:t>
                  </m:r>
                </m:e>
                <m:sub>
                  <m:r>
                    <m:t>i</m:t>
                  </m:r>
                </m:sub>
              </m:sSub>
              <m:d>
                <m:dPr>
                  <m:begChr m:val="["/>
                  <m:sepChr m:val=""/>
                  <m:endChr m:val="]"/>
                  <m:grow/>
                </m:dPr>
                <m:e>
                  <m:r>
                    <m:t> </m:t>
                  </m:r>
                  <m:sSub>
                    <m:e>
                      <m:r>
                        <m:rPr>
                          <m:nor/>
                          <m:sty m:val="p"/>
                        </m:rPr>
                        <m:t>mean</m:t>
                      </m:r>
                    </m:e>
                    <m:sub>
                      <m:r>
                        <m:t>j</m:t>
                      </m:r>
                      <m:r>
                        <m:rPr>
                          <m:sty m:val="p"/>
                        </m:rPr>
                        <m:t>∈</m:t>
                      </m:r>
                      <m:sSub>
                        <m:e>
                          <m:r>
                            <m:t>N</m:t>
                          </m:r>
                        </m:e>
                        <m:sub>
                          <m:r>
                            <m:t>k</m:t>
                          </m:r>
                        </m:sub>
                      </m:sSub>
                      <m:r>
                        <m:rPr>
                          <m:sty m:val="p"/>
                        </m:rPr>
                        <m:t>(</m:t>
                      </m:r>
                      <m:r>
                        <m:t>i</m:t>
                      </m:r>
                      <m:r>
                        <m:rPr>
                          <m:sty m:val="p"/>
                        </m:rPr>
                        <m:t>,</m:t>
                      </m:r>
                      <m:r>
                        <m:t> </m:t>
                      </m:r>
                      <m:sSub>
                        <m:e>
                          <m:r>
                            <m:t>g</m:t>
                          </m:r>
                        </m:e>
                        <m:sub>
                          <m:r>
                            <m:t>i</m:t>
                          </m:r>
                        </m:sub>
                      </m:sSub>
                      <m:r>
                        <m:rPr>
                          <m:sty m:val="p"/>
                        </m:rPr>
                        <m:t>)</m:t>
                      </m:r>
                    </m:sub>
                  </m:sSub>
                  <m:r>
                    <m:t> </m:t>
                  </m:r>
                  <m:r>
                    <m:rPr>
                      <m:sty m:val="p"/>
                    </m:rPr>
                    <m:t>|</m:t>
                  </m:r>
                  <m:r>
                    <m:t>f</m:t>
                  </m:r>
                  <m:r>
                    <m:rPr>
                      <m:sty m:val="p"/>
                    </m:rPr>
                    <m:t>(</m:t>
                  </m:r>
                  <m:r>
                    <m:t>i</m:t>
                  </m:r>
                  <m:r>
                    <m:rPr>
                      <m:sty m:val="p"/>
                    </m:rPr>
                    <m:t>)</m:t>
                  </m:r>
                  <m:r>
                    <m:rPr>
                      <m:sty m:val="p"/>
                    </m:rPr>
                    <m:t>−</m:t>
                  </m:r>
                  <m:r>
                    <m:t>f</m:t>
                  </m:r>
                  <m:r>
                    <m:rPr>
                      <m:sty m:val="p"/>
                    </m:rPr>
                    <m:t>(</m:t>
                  </m:r>
                  <m:r>
                    <m:t>j</m:t>
                  </m:r>
                  <m:r>
                    <m:rPr>
                      <m:sty m:val="p"/>
                    </m:rPr>
                    <m:t>)</m:t>
                  </m:r>
                  <m:r>
                    <m:rPr>
                      <m:sty m:val="p"/>
                    </m:rPr>
                    <m:t>|</m:t>
                  </m:r>
                  <m:r>
                    <m:t> </m:t>
                  </m:r>
                </m:e>
              </m:d>
            </m:den>
          </m:f>
          <m:r>
            <m:rPr>
              <m:sty m:val="p"/>
            </m:rPr>
            <m:t>,</m:t>
          </m:r>
        </m:oMath>
      </m:oMathPara>
    </w:p>
    <w:p>
      <w:pPr>
        <w:pStyle w:val="FirstParagraph"/>
      </w:pPr>
      <w:r>
        <w:rPr>
          <w:i/>
          <w:iCs/>
        </w:rPr>
        <w:t xml:space="preserve">where</w:t>
      </w:r>
      <w:r>
        <w:rPr>
          <w:i/>
          <w:iCs/>
        </w:rPr>
        <w:t xml:space="preserve"> </w:t>
      </w:r>
      <m:oMath>
        <m:sSub>
          <m:e>
            <m:r>
              <m:t>N</m:t>
            </m:r>
          </m:e>
          <m:sub>
            <m:r>
              <m:t>k</m:t>
            </m:r>
          </m:sub>
        </m:sSub>
        <m:r>
          <m:rPr>
            <m:sty m:val="p"/>
          </m:rPr>
          <m:t>(</m:t>
        </m:r>
        <m:r>
          <m:t>i</m:t>
        </m:r>
        <m:r>
          <m:rPr>
            <m:sty m:val="p"/>
          </m:rPr>
          <m:t>,</m:t>
        </m:r>
        <m:r>
          <m:t>c</m:t>
        </m:r>
        <m:r>
          <m:rPr>
            <m:sty m:val="p"/>
          </m:rPr>
          <m:t>)</m:t>
        </m:r>
      </m:oMath>
      <w:r>
        <w:rPr>
          <w:i/>
          <w:iCs/>
        </w:rPr>
        <w:t xml:space="preserve"> </w:t>
      </w:r>
      <w:r>
        <w:rPr>
          <w:i/>
          <w:iCs/>
        </w:rPr>
        <w:t xml:space="preserve">is the set of the</w:t>
      </w:r>
      <w:r>
        <w:rPr>
          <w:i/>
          <w:iCs/>
        </w:rPr>
        <w:t xml:space="preserve"> </w:t>
      </w:r>
      <m:oMath>
        <m:r>
          <m:t>k</m:t>
        </m:r>
      </m:oMath>
      <w:r>
        <w:rPr>
          <w:i/>
          <w:iCs/>
        </w:rPr>
        <w:t xml:space="preserve"> </w:t>
      </w:r>
      <w:r>
        <w:rPr>
          <w:i/>
          <w:iCs/>
        </w:rPr>
        <w:t xml:space="preserve">nearest neighbours</w:t>
      </w:r>
      <w:r>
        <w:rPr>
          <w:i/>
          <w:iCs/>
        </w:rPr>
        <w:t xml:space="preserve"> </w:t>
      </w:r>
      <m:oMath>
        <m:r>
          <m:t>j</m:t>
        </m:r>
        <m:r>
          <m:rPr>
            <m:sty m:val="p"/>
          </m:rPr>
          <m:t>≠</m:t>
        </m:r>
        <m:r>
          <m:t>i</m:t>
        </m:r>
      </m:oMath>
      <w:r>
        <w:rPr>
          <w:i/>
          <w:iCs/>
        </w:rPr>
        <w:t xml:space="preserve"> </w:t>
      </w:r>
      <w:r>
        <w:rPr>
          <w:i/>
          <w:iCs/>
        </w:rPr>
        <w:t xml:space="preserve">to individual</w:t>
      </w:r>
      <w:r>
        <w:rPr>
          <w:i/>
          <w:iCs/>
        </w:rPr>
        <w:t xml:space="preserve"> </w:t>
      </w:r>
      <m:oMath>
        <m:r>
          <m:t>i</m:t>
        </m:r>
      </m:oMath>
      <w:r>
        <w:rPr>
          <w:i/>
          <w:iCs/>
        </w:rPr>
        <w:t xml:space="preserve"> </w:t>
      </w:r>
      <w:r>
        <w:rPr>
          <w:i/>
          <w:iCs/>
        </w:rPr>
        <w:t xml:space="preserve">in</w:t>
      </w:r>
      <w:r>
        <w:rPr>
          <w:i/>
          <w:iCs/>
        </w:rPr>
        <w:t xml:space="preserve"> </w:t>
      </w:r>
      <m:oMath>
        <m:r>
          <m:rPr>
            <m:sty m:val="p"/>
          </m:rPr>
          <m:t>(</m:t>
        </m:r>
        <m:r>
          <m:t>V</m:t>
        </m:r>
        <m:r>
          <m:rPr>
            <m:sty m:val="p"/>
          </m:rPr>
          <m:t>,</m:t>
        </m:r>
        <m:sSub>
          <m:e>
            <m:r>
              <m:t>d</m:t>
            </m:r>
          </m:e>
          <m:sub>
            <m:r>
              <m:t>M</m:t>
            </m:r>
          </m:sub>
        </m:sSub>
        <m:r>
          <m:rPr>
            <m:sty m:val="p"/>
          </m:rPr>
          <m:t>)</m:t>
        </m:r>
      </m:oMath>
      <w:r>
        <w:rPr>
          <w:i/>
          <w:iCs/>
        </w:rPr>
        <w:t xml:space="preserve"> </w:t>
      </w:r>
      <w:r>
        <w:rPr>
          <w:i/>
          <w:iCs/>
        </w:rPr>
        <w:t xml:space="preserve">with</w:t>
      </w:r>
      <w:r>
        <w:rPr>
          <w:i/>
          <w:iCs/>
        </w:rPr>
        <w:t xml:space="preserve"> </w:t>
      </w:r>
      <m:oMath>
        <m:sSub>
          <m:e>
            <m:r>
              <m:t>g</m:t>
            </m:r>
          </m:e>
          <m:sub>
            <m:r>
              <m:t>j</m:t>
            </m:r>
          </m:sub>
        </m:sSub>
        <m:r>
          <m:rPr>
            <m:sty m:val="p"/>
          </m:rPr>
          <m:t>=</m:t>
        </m:r>
        <m:r>
          <m:t>c</m:t>
        </m:r>
      </m:oMath>
      <w:r>
        <w:rPr>
          <w:i/>
          <w:iCs/>
        </w:rPr>
        <w:t xml:space="preserve"> </w:t>
      </w:r>
      <w:r>
        <w:rPr>
          <w:i/>
          <w:iCs/>
        </w:rPr>
        <w:t xml:space="preserve">(writing</w:t>
      </w:r>
      <w:r>
        <w:rPr>
          <w:i/>
          <w:iCs/>
        </w:rPr>
        <w:t xml:space="preserve"> </w:t>
      </w:r>
      <m:oMath>
        <m:r>
          <m:rPr>
            <m:sty m:val="p"/>
          </m:rPr>
          <m:t>¬</m:t>
        </m:r>
        <m:sSub>
          <m:e>
            <m:r>
              <m:t>g</m:t>
            </m:r>
          </m:e>
          <m:sub>
            <m:r>
              <m:t>i</m:t>
            </m:r>
          </m:sub>
        </m:sSub>
        <m:r>
          <m:rPr>
            <m:sty m:val="p"/>
          </m:rPr>
          <m:t>=</m:t>
        </m:r>
        <m:r>
          <m:t>1</m:t>
        </m:r>
        <m:r>
          <m:rPr>
            <m:sty m:val="p"/>
          </m:rPr>
          <m:t>−</m:t>
        </m:r>
        <m:sSub>
          <m:e>
            <m:r>
              <m:t>g</m:t>
            </m:r>
          </m:e>
          <m:sub>
            <m:r>
              <m:t>i</m:t>
            </m:r>
          </m:sub>
        </m:sSub>
      </m:oMath>
      <w:r>
        <w:rPr>
          <w:i/>
          <w:iCs/>
        </w:rPr>
        <w:t xml:space="preserve">), and</w:t>
      </w:r>
      <w:r>
        <w:rPr>
          <w:i/>
          <w:iCs/>
        </w:rPr>
        <w:t xml:space="preserve"> </w:t>
      </w:r>
      <m:oMath>
        <m:sSub>
          <m:e>
            <m:r>
              <m:rPr>
                <m:scr m:val="double-struck"/>
                <m:sty m:val="p"/>
              </m:rPr>
              <m:t>E</m:t>
            </m:r>
          </m:e>
          <m:sub>
            <m:r>
              <m:t>i</m:t>
            </m:r>
          </m:sub>
        </m:sSub>
      </m:oMath>
      <w:r>
        <w:rPr>
          <w:i/>
          <w:iCs/>
        </w:rPr>
        <w:t xml:space="preserve"> </w:t>
      </w:r>
      <w:r>
        <w:rPr>
          <w:i/>
          <w:iCs/>
        </w:rPr>
        <w:t xml:space="preserve">is the empirical mean over</w:t>
      </w:r>
      <w:r>
        <w:rPr>
          <w:i/>
          <w:iCs/>
        </w:rPr>
        <w:t xml:space="preserve"> </w:t>
      </w:r>
      <w:r>
        <w:rPr>
          <w:i/>
          <w:iCs/>
        </w:rPr>
        <w:t xml:space="preserve">individuals.</w:t>
      </w:r>
    </w:p>
    <w:bookmarkEnd w:id="14"/>
    <w:p>
      <w:pPr>
        <w:pStyle w:val="BodyText"/>
      </w:pPr>
      <w:r>
        <w:t xml:space="preserve">The parameter</w:t>
      </w:r>
      <w:r>
        <w:t xml:space="preserve"> </w:t>
      </w:r>
      <m:oMath>
        <m:r>
          <m:t>k</m:t>
        </m:r>
      </m:oMath>
      <w:r>
        <w:t xml:space="preserve">—the</w:t>
      </w:r>
      <w:r>
        <w:t xml:space="preserve"> </w:t>
      </w:r>
      <w:r>
        <w:rPr>
          <w:i/>
          <w:iCs/>
        </w:rPr>
        <w:t xml:space="preserve">neighbourhood scale</w:t>
      </w:r>
      <w:r>
        <w:t xml:space="preserve">—is the number of</w:t>
      </w:r>
      <w:r>
        <w:t xml:space="preserve"> </w:t>
      </w:r>
      <w:r>
        <w:t xml:space="preserve">nearest neighbours of each group against which each defendant’s score</w:t>
      </w:r>
      <w:r>
        <w:t xml:space="preserve"> </w:t>
      </w:r>
      <w:r>
        <w:t xml:space="preserve">is compared: at</w:t>
      </w:r>
      <w:r>
        <w:t xml:space="preserve"> </w:t>
      </w:r>
      <m:oMath>
        <m:r>
          <m:t>k</m:t>
        </m:r>
        <m:r>
          <m:rPr>
            <m:sty m:val="p"/>
          </m:rPr>
          <m:t>=</m:t>
        </m:r>
        <m:r>
          <m:t>1</m:t>
        </m:r>
      </m:oMath>
      <w:r>
        <w:t xml:space="preserve"> </w:t>
      </w:r>
      <w:r>
        <w:t xml:space="preserve">each defendant is compared with their single</w:t>
      </w:r>
      <w:r>
        <w:t xml:space="preserve"> </w:t>
      </w:r>
      <w:r>
        <w:t xml:space="preserve">closest same-group and closest opposite-group neighbour; at</w:t>
      </w:r>
      <w:r>
        <w:t xml:space="preserve"> </w:t>
      </w:r>
      <m:oMath>
        <m:r>
          <m:t>k</m:t>
        </m:r>
        <m:r>
          <m:rPr>
            <m:sty m:val="p"/>
          </m:rPr>
          <m:t>=</m:t>
        </m:r>
        <m:r>
          <m:t>100</m:t>
        </m:r>
      </m:oMath>
      <w:r>
        <w:t xml:space="preserve"> </w:t>
      </w:r>
      <w:r>
        <w:t xml:space="preserve">with their hundred closest of each. Small</w:t>
      </w:r>
      <w:r>
        <w:t xml:space="preserve"> </w:t>
      </w:r>
      <m:oMath>
        <m:r>
          <m:t>k</m:t>
        </m:r>
      </m:oMath>
      <w:r>
        <w:t xml:space="preserve"> </w:t>
      </w:r>
      <w:r>
        <w:t xml:space="preserve">probes tight matches</w:t>
      </w:r>
      <w:r>
        <w:t xml:space="preserve"> </w:t>
      </w:r>
      <w:r>
        <w:t xml:space="preserve">(with more sampling noise); large</w:t>
      </w:r>
      <w:r>
        <w:t xml:space="preserve"> </w:t>
      </w:r>
      <m:oMath>
        <m:r>
          <m:t>k</m:t>
        </m:r>
      </m:oMath>
      <w:r>
        <w:t xml:space="preserve"> </w:t>
      </w:r>
      <w:r>
        <w:t xml:space="preserve">trades match tightness for</w:t>
      </w:r>
      <w:r>
        <w:t xml:space="preserve"> </w:t>
      </w:r>
      <w:r>
        <w:t xml:space="preserve">stability. Because no single scale is privileged a priori, we treat</w:t>
      </w:r>
      <w:r>
        <w:t xml:space="preserve"> </w:t>
      </w:r>
      <w:r>
        <w:t xml:space="preserve">the full curve</w:t>
      </w:r>
      <w:r>
        <w:t xml:space="preserve"> </w:t>
      </w:r>
      <m:oMath>
        <m:r>
          <m:t>k</m:t>
        </m:r>
        <m:r>
          <m:rPr>
            <m:sty m:val="p"/>
          </m:rPr>
          <m:t>↦</m:t>
        </m:r>
        <m:sSub>
          <m:e>
            <m:r>
              <m:rPr>
                <m:sty m:val="p"/>
              </m:rPr>
              <m:t>L</m:t>
            </m:r>
            <m:r>
              <m:rPr>
                <m:sty m:val="p"/>
              </m:rPr>
              <m:t>B</m:t>
            </m:r>
            <m:r>
              <m:rPr>
                <m:sty m:val="p"/>
              </m:rPr>
              <m:t>I</m:t>
            </m:r>
          </m:e>
          <m:sub>
            <m:r>
              <m:t>k</m:t>
            </m:r>
          </m:sub>
        </m:sSub>
      </m:oMath>
      <w:r>
        <w:t xml:space="preserve"> </w:t>
      </w:r>
      <w:r>
        <w:t xml:space="preserve">over prespecified scales as</w:t>
      </w:r>
      <w:r>
        <w:t xml:space="preserve"> </w:t>
      </w:r>
      <w:r>
        <w:t xml:space="preserve">the primary object of inference, and use</w:t>
      </w:r>
      <w:r>
        <w:t xml:space="preserve"> </w:t>
      </w:r>
      <m:oMath>
        <m:r>
          <m:t>k</m:t>
        </m:r>
        <m:r>
          <m:rPr>
            <m:sty m:val="p"/>
          </m:rPr>
          <m:t>=</m:t>
        </m:r>
        <m:r>
          <m:t>20</m:t>
        </m:r>
      </m:oMath>
      <w:r>
        <w:t xml:space="preserve"> </w:t>
      </w:r>
      <w:r>
        <w:t xml:space="preserve">as an illustrative</w:t>
      </w:r>
      <w:r>
        <w:t xml:space="preserve"> </w:t>
      </w:r>
      <w:r>
        <w:t xml:space="preserve">scale for detailed diagnostics.</w:t>
      </w:r>
    </w:p>
    <w:p>
      <w:pPr>
        <w:pStyle w:val="BodyText"/>
      </w:pPr>
      <w:r>
        <w:rPr>
          <w:b/>
          <w:bCs/>
        </w:rPr>
        <w:t xml:space="preserve">Interpretation.</w:t>
      </w:r>
      <w:r>
        <w:t xml:space="preserve"> </w:t>
      </w:r>
      <w:r>
        <w:t xml:space="preserve">The numerator is the average score</w:t>
      </w:r>
      <w:r>
        <w:t xml:space="preserve"> </w:t>
      </w:r>
      <w:r>
        <w:t xml:space="preserve">difference between an individual and their</w:t>
      </w:r>
      <w:r>
        <w:t xml:space="preserve"> </w:t>
      </w:r>
      <m:oMath>
        <m:r>
          <m:t>k</m:t>
        </m:r>
      </m:oMath>
      <w:r>
        <w:t xml:space="preserve"> </w:t>
      </w:r>
      <w:r>
        <w:t xml:space="preserve">nearest neighbours of</w:t>
      </w:r>
      <w:r>
        <w:t xml:space="preserve"> </w:t>
      </w:r>
      <w:r>
        <w:t xml:space="preserve">the</w:t>
      </w:r>
      <w:r>
        <w:t xml:space="preserve"> </w:t>
      </w:r>
      <w:r>
        <w:rPr>
          <w:i/>
          <w:iCs/>
        </w:rPr>
        <w:t xml:space="preserve">opposite</w:t>
      </w:r>
      <w:r>
        <w:t xml:space="preserve"> </w:t>
      </w:r>
      <w:r>
        <w:t xml:space="preserve">protected group. The denominator is the average</w:t>
      </w:r>
      <w:r>
        <w:t xml:space="preserve"> </w:t>
      </w:r>
      <w:r>
        <w:t xml:space="preserve">score difference between an individual and their</w:t>
      </w:r>
      <w:r>
        <w:t xml:space="preserve"> </w:t>
      </w:r>
      <m:oMath>
        <m:r>
          <m:t>k</m:t>
        </m:r>
      </m:oMath>
      <w:r>
        <w:t xml:space="preserve"> </w:t>
      </w:r>
      <w:r>
        <w:t xml:space="preserve">nearest neighbours</w:t>
      </w:r>
      <w:r>
        <w:t xml:space="preserve"> </w:t>
      </w:r>
      <w:r>
        <w:t xml:space="preserve">of the</w:t>
      </w:r>
      <w:r>
        <w:t xml:space="preserve"> </w:t>
      </w:r>
      <w:r>
        <w:rPr>
          <w:i/>
          <w:iCs/>
        </w:rPr>
        <w:t xml:space="preserve">same</w:t>
      </w:r>
      <w:r>
        <w:t xml:space="preserve"> </w:t>
      </w:r>
      <w:r>
        <w:t xml:space="preserve">protected group. The ratio measures cross-group</w:t>
      </w:r>
      <w:r>
        <w:t xml:space="preserve"> </w:t>
      </w:r>
      <w:r>
        <w:t xml:space="preserve">score divergence relative to within-group score divergence among</w:t>
      </w:r>
      <w:r>
        <w:t xml:space="preserve"> </w:t>
      </w:r>
      <w:r>
        <w:t xml:space="preserve">neighbours matched on the specified legitimate features:</w:t>
      </w:r>
    </w:p>
    <w:p>
      <w:pPr>
        <w:numPr>
          <w:ilvl w:val="0"/>
          <w:numId w:val="1001"/>
        </w:numPr>
      </w:pPr>
      <m:oMath>
        <m:sSub>
          <m:e>
            <m:r>
              <m:rPr>
                <m:sty m:val="p"/>
              </m:rPr>
              <m:t>L</m:t>
            </m:r>
            <m:r>
              <m:rPr>
                <m:sty m:val="p"/>
              </m:rPr>
              <m:t>B</m:t>
            </m:r>
            <m:r>
              <m:rPr>
                <m:sty m:val="p"/>
              </m:rPr>
              <m:t>I</m:t>
            </m:r>
          </m:e>
          <m:sub>
            <m:r>
              <m:t>k</m:t>
            </m:r>
          </m:sub>
        </m:sSub>
        <m:r>
          <m:rPr>
            <m:sty m:val="p"/>
          </m:rPr>
          <m:t>=</m:t>
        </m:r>
        <m:r>
          <m:t>1</m:t>
        </m:r>
      </m:oMath>
      <w:r>
        <w:t xml:space="preserve">: no excess divergence. Scores diverge no</w:t>
      </w:r>
      <w:r>
        <w:t xml:space="preserve"> </w:t>
      </w:r>
      <w:r>
        <w:t xml:space="preserve">more across the protected attribute than within it, at the same</w:t>
      </w:r>
      <w:r>
        <w:t xml:space="preserve"> </w:t>
      </w:r>
      <w:r>
        <w:t xml:space="preserve">neighbourhood scale on the same matching features.</w:t>
      </w:r>
    </w:p>
    <w:p>
      <w:pPr>
        <w:numPr>
          <w:ilvl w:val="0"/>
          <w:numId w:val="1001"/>
        </w:numPr>
      </w:pPr>
      <m:oMath>
        <m:sSub>
          <m:e>
            <m:r>
              <m:rPr>
                <m:sty m:val="p"/>
              </m:rPr>
              <m:t>L</m:t>
            </m:r>
            <m:r>
              <m:rPr>
                <m:sty m:val="p"/>
              </m:rPr>
              <m:t>B</m:t>
            </m:r>
            <m:r>
              <m:rPr>
                <m:sty m:val="p"/>
              </m:rPr>
              <m:t>I</m:t>
            </m:r>
          </m:e>
          <m:sub>
            <m:r>
              <m:t>k</m:t>
            </m:r>
          </m:sub>
        </m:sSub>
        <m:r>
          <m:rPr>
            <m:sty m:val="p"/>
          </m:rPr>
          <m:t>&gt;</m:t>
        </m:r>
        <m:r>
          <m:t>1</m:t>
        </m:r>
      </m:oMath>
      <w:r>
        <w:t xml:space="preserve">: excess divergence. Defendants’ scores</w:t>
      </w:r>
      <w:r>
        <w:t xml:space="preserve"> </w:t>
      </w:r>
      <w:r>
        <w:t xml:space="preserve">diverge more from legitimately-similar neighbours of the other group</w:t>
      </w:r>
      <w:r>
        <w:t xml:space="preserve"> </w:t>
      </w:r>
      <w:r>
        <w:t xml:space="preserve">than from equally similar neighbours of their own group. This is a</w:t>
      </w:r>
      <w:r>
        <w:t xml:space="preserve"> </w:t>
      </w:r>
      <w:r>
        <w:t xml:space="preserve">disparity among comparably-matched cases—a signal to be</w:t>
      </w:r>
      <w:r>
        <w:t xml:space="preserve"> </w:t>
      </w:r>
      <w:r>
        <w:t xml:space="preserve">investigated. By itself it does not establish that the algorithm uses</w:t>
      </w:r>
      <w:r>
        <w:t xml:space="preserve"> </w:t>
      </w:r>
      <w:r>
        <w:t xml:space="preserve">the protected attribute: no attribute is counterfactually flipped,</w:t>
      </w:r>
      <w:r>
        <w:t xml:space="preserve"> </w:t>
      </w:r>
      <w:r>
        <w:t xml:space="preserve">and the excess can also arise from residual differences the matching</w:t>
      </w:r>
      <w:r>
        <w:t xml:space="preserve"> </w:t>
      </w:r>
      <w:r>
        <w:t xml:space="preserve">features do not capture (§4.5,</w:t>
      </w:r>
      <w:r>
        <w:t xml:space="preserve"> </w:t>
      </w:r>
      <w:r>
        <w:t xml:space="preserve">§4.9).</w:t>
      </w:r>
    </w:p>
    <w:p>
      <w:pPr>
        <w:numPr>
          <w:ilvl w:val="0"/>
          <w:numId w:val="1001"/>
        </w:numPr>
      </w:pPr>
      <m:oMath>
        <m:sSub>
          <m:e>
            <m:r>
              <m:rPr>
                <m:sty m:val="p"/>
              </m:rPr>
              <m:t>L</m:t>
            </m:r>
            <m:r>
              <m:rPr>
                <m:sty m:val="p"/>
              </m:rPr>
              <m:t>B</m:t>
            </m:r>
            <m:r>
              <m:rPr>
                <m:sty m:val="p"/>
              </m:rPr>
              <m:t>I</m:t>
            </m:r>
          </m:e>
          <m:sub>
            <m:r>
              <m:t>k</m:t>
            </m:r>
          </m:sub>
        </m:sSub>
        <m:r>
          <m:rPr>
            <m:sty m:val="p"/>
          </m:rPr>
          <m:t>&lt;</m:t>
        </m:r>
        <m:r>
          <m:t>1</m:t>
        </m:r>
      </m:oMath>
      <w:r>
        <w:t xml:space="preserve">: deficit divergence. Scores diverge less</w:t>
      </w:r>
      <w:r>
        <w:t xml:space="preserve"> </w:t>
      </w:r>
      <w:r>
        <w:t xml:space="preserve">across the protected attribute than within it. This is unusual; it</w:t>
      </w:r>
      <w:r>
        <w:t xml:space="preserve"> </w:t>
      </w:r>
      <w:r>
        <w:t xml:space="preserve">would suggest score variation is compressed across groups relative to</w:t>
      </w:r>
      <w:r>
        <w:t xml:space="preserve"> </w:t>
      </w:r>
      <w:r>
        <w:t xml:space="preserve">the within-group noise floor.</w:t>
      </w:r>
    </w:p>
    <w:bookmarkEnd w:id="15"/>
    <w:bookmarkStart w:id="16" w:name="why-a-ratio-why-k-nn-and-why-mahalanobis"/>
    <w:p>
      <w:pPr>
        <w:pStyle w:val="Heading2"/>
      </w:pPr>
      <w:r>
        <w:t xml:space="preserve">Why a ratio, why</w:t>
      </w:r>
      <w:r>
        <w:t xml:space="preserve"> </w:t>
      </w:r>
      <m:oMath>
        <m:r>
          <m:t>k</m:t>
        </m:r>
      </m:oMath>
      <w:r>
        <w:t xml:space="preserve">-NN, and why Mahalanobis</w:t>
      </w:r>
    </w:p>
    <w:p>
      <w:pPr>
        <w:pStyle w:val="FirstParagraph"/>
      </w:pPr>
      <w:r>
        <w:t xml:space="preserve">Each of the three choices in Definition 1 is deliberate.</w:t>
      </w:r>
    </w:p>
    <w:p>
      <w:pPr>
        <w:pStyle w:val="BodyText"/>
      </w:pPr>
      <w:r>
        <w:rPr>
          <w:b/>
          <w:bCs/>
        </w:rPr>
        <w:t xml:space="preserve">Ratio vs. raw difference.</w:t>
      </w:r>
      <w:r>
        <w:t xml:space="preserve"> </w:t>
      </w:r>
      <w:r>
        <w:t xml:space="preserve">The denominator of</w:t>
      </w:r>
      <w:r>
        <w:t xml:space="preserve"> </w:t>
      </w:r>
      <w:r>
        <w:t xml:space="preserve">the LBI ratio (Definition 1) provides a within-group baseline against which the</w:t>
      </w:r>
      <w:r>
        <w:t xml:space="preserve"> </w:t>
      </w:r>
      <w:r>
        <w:t xml:space="preserve">cross-group score gap is normalized. Without this baseline, an</w:t>
      </w:r>
      <w:r>
        <w:t xml:space="preserve"> </w:t>
      </w:r>
      <w:r>
        <w:t xml:space="preserve">algorithm operating on a population with naturally large legitimate</w:t>
      </w:r>
      <w:r>
        <w:t xml:space="preserve"> </w:t>
      </w:r>
      <w:r>
        <w:t xml:space="preserve">variation would appear</w:t>
      </w:r>
      <w:r>
        <w:t xml:space="preserve"> </w:t>
      </w:r>
      <w:r>
        <w:t xml:space="preserve">“unfair”</w:t>
      </w:r>
      <w:r>
        <w:t xml:space="preserve"> </w:t>
      </w:r>
      <w:r>
        <w:t xml:space="preserve">simply because all neighbourhoods</w:t>
      </w:r>
      <w:r>
        <w:t xml:space="preserve"> </w:t>
      </w:r>
      <w:r>
        <w:t xml:space="preserve">have large score gaps. The ratio quotients out the algorithm’s overall</w:t>
      </w:r>
      <w:r>
        <w:t xml:space="preserve"> </w:t>
      </w:r>
      <w:r>
        <w:t xml:space="preserve">sensitivity to the</w:t>
      </w:r>
      <w:r>
        <w:t xml:space="preserve"> </w:t>
      </w:r>
      <w:r>
        <w:rPr>
          <w:i/>
          <w:iCs/>
        </w:rPr>
        <w:t xml:space="preserve">selected</w:t>
      </w:r>
      <w:r>
        <w:t xml:space="preserve"> </w:t>
      </w:r>
      <w:r>
        <w:t xml:space="preserve">legitimate predictors, contextualizing</w:t>
      </w:r>
      <w:r>
        <w:t xml:space="preserve"> </w:t>
      </w:r>
      <w:r>
        <w:t xml:space="preserve">the cross-group gap against ordinary within-group variation. It does not</w:t>
      </w:r>
      <w:r>
        <w:t xml:space="preserve"> </w:t>
      </w:r>
      <w:r>
        <w:t xml:space="preserve">by itself isolate the</w:t>
      </w:r>
      <w:r>
        <w:t xml:space="preserve"> </w:t>
      </w:r>
      <w:r>
        <w:rPr>
          <w:i/>
          <w:iCs/>
        </w:rPr>
        <w:t xml:space="preserve">marginal causal</w:t>
      </w:r>
      <w:r>
        <w:t xml:space="preserve"> </w:t>
      </w:r>
      <w:r>
        <w:t xml:space="preserve">contribution of the</w:t>
      </w:r>
      <w:r>
        <w:t xml:space="preserve"> </w:t>
      </w:r>
      <w:r>
        <w:t xml:space="preserve">protected attribute: that reading holds only to the extent that the</w:t>
      </w:r>
      <w:r>
        <w:t xml:space="preserve"> </w:t>
      </w:r>
      <w:r>
        <w:t xml:space="preserve">matching features are a sufficiently complete and legally defensible</w:t>
      </w:r>
      <w:r>
        <w:t xml:space="preserve"> </w:t>
      </w:r>
      <w:r>
        <w:t xml:space="preserve">account of relevant similarity (§5,</w:t>
      </w:r>
      <w:r>
        <w:t xml:space="preserve"> </w:t>
      </w:r>
      <w:r>
        <w:t xml:space="preserve">§4.8).</w:t>
      </w:r>
    </w:p>
    <w:p>
      <w:pPr>
        <w:pStyle w:val="BodyText"/>
      </w:pPr>
      <m:oMath>
        <m:r>
          <m:t>k</m:t>
        </m:r>
      </m:oMath>
      <w:r>
        <w:rPr>
          <w:b/>
          <w:bCs/>
        </w:rPr>
        <w:t xml:space="preserve">-NN matched-pair vs. regression.</w:t>
      </w:r>
      <w:r>
        <w:t xml:space="preserve"> </w:t>
      </w:r>
      <w:r>
        <w:t xml:space="preserve">A regression of</w:t>
      </w:r>
      <w:r>
        <w:t xml:space="preserve"> </w:t>
      </w:r>
      <m:oMath>
        <m:r>
          <m:t>f</m:t>
        </m:r>
      </m:oMath>
      <w:r>
        <w:t xml:space="preserve"> </w:t>
      </w:r>
      <w:r>
        <w:t xml:space="preserve">on</w:t>
      </w:r>
      <w:r>
        <w:t xml:space="preserve"> </w:t>
      </w:r>
      <w:r>
        <w:t xml:space="preserve">legitimate predictors and protected attributes can extract a</w:t>
      </w:r>
      <w:r>
        <w:t xml:space="preserve"> </w:t>
      </w:r>
      <w:r>
        <w:t xml:space="preserve">coefficient on the protected attribute. But that coefficient depends</w:t>
      </w:r>
      <w:r>
        <w:t xml:space="preserve"> </w:t>
      </w:r>
      <w:r>
        <w:t xml:space="preserve">on the functional form assumed (linear, polynomial, with</w:t>
      </w:r>
      <w:r>
        <w:t xml:space="preserve"> </w:t>
      </w:r>
      <w:r>
        <w:t xml:space="preserve">interactions) and on the choice of regularization. The</w:t>
      </w:r>
      <w:r>
        <w:t xml:space="preserve"> </w:t>
      </w:r>
      <m:oMath>
        <m:r>
          <m:t>k</m:t>
        </m:r>
      </m:oMath>
      <w:r>
        <w:t xml:space="preserve">-NN matched-pair</w:t>
      </w:r>
      <w:r>
        <w:t xml:space="preserve"> </w:t>
      </w:r>
      <w:r>
        <w:t xml:space="preserve">approach is non-parametric: it makes no functional-form assumption</w:t>
      </w:r>
      <w:r>
        <w:t xml:space="preserve"> </w:t>
      </w:r>
      <w:r>
        <w:t xml:space="preserve">about how</w:t>
      </w:r>
      <w:r>
        <w:t xml:space="preserve"> </w:t>
      </w:r>
      <m:oMath>
        <m:r>
          <m:t>f</m:t>
        </m:r>
      </m:oMath>
      <w:r>
        <w:t xml:space="preserve"> </w:t>
      </w:r>
      <w:r>
        <w:t xml:space="preserve">depends on its inputs. It is not, however, assumption-free:</w:t>
      </w:r>
      <w:r>
        <w:t xml:space="preserve"> </w:t>
      </w:r>
      <w:r>
        <w:t xml:space="preserve">the assumptions are</w:t>
      </w:r>
      <w:r>
        <w:t xml:space="preserve"> </w:t>
      </w:r>
      <w:r>
        <w:rPr>
          <w:i/>
          <w:iCs/>
        </w:rPr>
        <w:t xml:space="preserve">shifted</w:t>
      </w:r>
      <w:r>
        <w:t xml:space="preserve"> </w:t>
      </w:r>
      <w:r>
        <w:t xml:space="preserve">to the choice of matching features,</w:t>
      </w:r>
      <w:r>
        <w:t xml:space="preserve"> </w:t>
      </w:r>
      <w:r>
        <w:t xml:space="preserve">the distance metric, the feature scaling, and</w:t>
      </w:r>
      <w:r>
        <w:t xml:space="preserve"> </w:t>
      </w:r>
      <m:oMath>
        <m:r>
          <m:t>k</m:t>
        </m:r>
      </m:oMath>
      <w:r>
        <w:t xml:space="preserve">, which jointly</w:t>
      </w:r>
      <w:r>
        <w:t xml:space="preserve"> </w:t>
      </w:r>
      <w:r>
        <w:t xml:space="preserve">determine which cases count as</w:t>
      </w:r>
      <w:r>
        <w:t xml:space="preserve"> </w:t>
      </w:r>
      <w:r>
        <w:t xml:space="preserve">“similar.”</w:t>
      </w:r>
      <w:r>
        <w:t xml:space="preserve"> </w:t>
      </w:r>
      <w:r>
        <w:t xml:space="preserve">It also produces a</w:t>
      </w:r>
      <w:r>
        <w:t xml:space="preserve"> </w:t>
      </w:r>
      <w:r>
        <w:t xml:space="preserve">neighbourhood-scale curve</w:t>
      </w:r>
      <w:r>
        <w:t xml:space="preserve"> </w:t>
      </w:r>
      <m:oMath>
        <m:sSub>
          <m:e>
            <m:r>
              <m:rPr>
                <m:sty m:val="p"/>
              </m:rPr>
              <m:t>L</m:t>
            </m:r>
            <m:r>
              <m:rPr>
                <m:sty m:val="p"/>
              </m:rPr>
              <m:t>B</m:t>
            </m:r>
            <m:r>
              <m:rPr>
                <m:sty m:val="p"/>
              </m:rPr>
              <m:t>I</m:t>
            </m:r>
          </m:e>
          <m:sub>
            <m:r>
              <m:t>k</m:t>
            </m:r>
          </m:sub>
        </m:sSub>
      </m:oMath>
      <w:r>
        <w:t xml:space="preserve"> </w:t>
      </w:r>
      <w:r>
        <w:t xml:space="preserve">for</w:t>
      </w:r>
      <w:r>
        <w:t xml:space="preserve"> </w:t>
      </w:r>
      <m:oMath>
        <m:r>
          <m:t>k</m:t>
        </m:r>
        <m:r>
          <m:rPr>
            <m:sty m:val="p"/>
          </m:rPr>
          <m:t>∈</m:t>
        </m:r>
        <m:r>
          <m:rPr>
            <m:sty m:val="p"/>
          </m:rPr>
          <m:t>[</m:t>
        </m:r>
        <m:r>
          <m:t>1</m:t>
        </m:r>
        <m:r>
          <m:rPr>
            <m:sty m:val="p"/>
          </m:rPr>
          <m:t>,</m:t>
        </m:r>
        <m:r>
          <m:t>100</m:t>
        </m:r>
        <m:r>
          <m:rPr>
            <m:sty m:val="p"/>
          </m:rPr>
          <m:t>]</m:t>
        </m:r>
      </m:oMath>
      <w:r>
        <w:t xml:space="preserve">, which</w:t>
      </w:r>
      <w:r>
        <w:t xml:space="preserve"> </w:t>
      </w:r>
      <w:r>
        <w:t xml:space="preserve">exposes whether the effect is local (small</w:t>
      </w:r>
      <w:r>
        <w:t xml:space="preserve"> </w:t>
      </w:r>
      <m:oMath>
        <m:r>
          <m:t>k</m:t>
        </m:r>
      </m:oMath>
      <w:r>
        <w:t xml:space="preserve">) or global (large</w:t>
      </w:r>
      <w:r>
        <w:t xml:space="preserve"> </w:t>
      </w:r>
      <m:oMath>
        <m:r>
          <m:t>k</m:t>
        </m:r>
      </m:oMath>
      <w:r>
        <w:t xml:space="preserve">).</w:t>
      </w:r>
      <w:r>
        <w:t xml:space="preserve"> </w:t>
      </w:r>
      <w:r>
        <w:t xml:space="preserve">For COMPAS we find the effect is approximately scale-invariant. This is</w:t>
      </w:r>
      <w:r>
        <w:t xml:space="preserve"> </w:t>
      </w:r>
      <w:r>
        <w:t xml:space="preserve">suggestive that the pattern is not a small-</w:t>
      </w:r>
      <m:oMath>
        <m:r>
          <m:t>k</m:t>
        </m:r>
      </m:oMath>
      <w:r>
        <w:t xml:space="preserve"> </w:t>
      </w:r>
      <w:r>
        <w:t xml:space="preserve">artefact, but we read it</w:t>
      </w:r>
      <w:r>
        <w:t xml:space="preserve"> </w:t>
      </w:r>
      <w:r>
        <w:t xml:space="preserve">cautiously: persistent scale-invariance is equally consistent with a</w:t>
      </w:r>
      <w:r>
        <w:t xml:space="preserve"> </w:t>
      </w:r>
      <w:r>
        <w:t xml:space="preserve">persistent omitted-variable imbalance as with a genuine case-level</w:t>
      </w:r>
      <w:r>
        <w:t xml:space="preserve"> </w:t>
      </w:r>
      <w:r>
        <w:t xml:space="preserve">effect.</w:t>
      </w:r>
    </w:p>
    <w:p>
      <w:pPr>
        <w:pStyle w:val="BodyText"/>
      </w:pPr>
      <w:r>
        <w:rPr>
          <w:b/>
          <w:bCs/>
        </w:rPr>
        <w:t xml:space="preserve">Mahalanobis vs. Euclidean.</w:t>
      </w:r>
      <w:r>
        <w:t xml:space="preserve"> </w:t>
      </w:r>
      <w:r>
        <w:t xml:space="preserve">Legitimate predictors are</w:t>
      </w:r>
      <w:r>
        <w:t xml:space="preserve"> </w:t>
      </w:r>
      <w:r>
        <w:t xml:space="preserve">correlated (older defendants have more priors, etc.). Euclidean</w:t>
      </w:r>
      <w:r>
        <w:t xml:space="preserve"> </w:t>
      </w:r>
      <w:r>
        <w:t xml:space="preserve">distance overcounts the contribution of correlated axes; Mahalanobis</w:t>
      </w:r>
      <w:r>
        <w:t xml:space="preserve"> </w:t>
      </w:r>
      <w:r>
        <w:t xml:space="preserve">de-correlates by construction (Mahalanobis, 1936). Equivalently,</w:t>
      </w:r>
      <w:r>
        <w:t xml:space="preserve"> </w:t>
      </w:r>
      <w:r>
        <w:t xml:space="preserve">Mahalanobis distance is Euclidean distance on the whitened</w:t>
      </w:r>
      <w:r>
        <w:t xml:space="preserve"> </w:t>
      </w:r>
      <w:r>
        <w:t xml:space="preserve">(principal-component, variance-equalized) representation: each</w:t>
      </w:r>
      <w:r>
        <w:t xml:space="preserve"> </w:t>
      </w:r>
      <w:r>
        <w:t xml:space="preserve">principal direction is divided by its standard deviation, so</w:t>
      </w:r>
      <w:r>
        <w:t xml:space="preserve"> </w:t>
      </w:r>
      <w:r>
        <w:t xml:space="preserve">high-variance leading directions—which dominate raw Euclidean</w:t>
      </w:r>
      <w:r>
        <w:t xml:space="preserve"> </w:t>
      </w:r>
      <w:r>
        <w:t xml:space="preserve">distance—are</w:t>
      </w:r>
      <w:r>
        <w:t xml:space="preserve"> </w:t>
      </w:r>
      <w:r>
        <w:rPr>
          <w:i/>
          <w:iCs/>
        </w:rPr>
        <w:t xml:space="preserve">downweighted</w:t>
      </w:r>
      <w:r>
        <w:t xml:space="preserve"> </w:t>
      </w:r>
      <w:r>
        <w:t xml:space="preserve">to the common scale, and</w:t>
      </w:r>
      <w:r>
        <w:t xml:space="preserve"> </w:t>
      </w:r>
      <w:r>
        <w:t xml:space="preserve">disagreement is priced equally per standard deviation along every</w:t>
      </w:r>
      <w:r>
        <w:t xml:space="preserve"> </w:t>
      </w:r>
      <w:r>
        <w:t xml:space="preserve">de-correlated direction. Section 4.8 shows the</w:t>
      </w:r>
      <w:r>
        <w:t xml:space="preserve"> </w:t>
      </w:r>
      <w:r>
        <w:t xml:space="preserve">results are not specific to this choice.</w:t>
      </w:r>
    </w:p>
    <w:bookmarkEnd w:id="16"/>
    <w:bookmarkStart w:id="17" w:name="sec:inference"/>
    <w:p>
      <w:pPr>
        <w:pStyle w:val="Heading2"/>
      </w:pPr>
      <w:r>
        <w:t xml:space="preserve">Inference: confidence intervals and randomization tests</w:t>
      </w:r>
    </w:p>
    <w:p>
      <w:pPr>
        <w:pStyle w:val="FirstParagraph"/>
      </w:pPr>
      <w:r>
        <w:rPr>
          <w:b/>
          <w:bCs/>
        </w:rPr>
        <w:t xml:space="preserve">Confidence intervals.</w:t>
      </w:r>
      <w:r>
        <w:t xml:space="preserve"> </w:t>
      </w:r>
      <w:r>
        <w:t xml:space="preserve">LBI is a ratio of means of</w:t>
      </w:r>
      <w:r>
        <w:t xml:space="preserve"> </w:t>
      </w:r>
      <w:r>
        <w:t xml:space="preserve">per-defendant quantities that are not independent across defendants:</w:t>
      </w:r>
      <w:r>
        <w:t xml:space="preserve"> </w:t>
      </w:r>
      <w:r>
        <w:t xml:space="preserve">the same individual appears as a neighbour in many other individuals’</w:t>
      </w:r>
      <w:r>
        <w:t xml:space="preserve"> </w:t>
      </w:r>
      <w:r>
        <w:t xml:space="preserve">comparison sets, so a bootstrap that merely resamples the</w:t>
      </w:r>
      <w:r>
        <w:t xml:space="preserve"> </w:t>
      </w:r>
      <w:r>
        <w:t xml:space="preserve">per-defendant gaps (holding the neighbourhoods fixed) understates the</w:t>
      </w:r>
      <w:r>
        <w:t xml:space="preserve"> </w:t>
      </w:r>
      <w:r>
        <w:t xml:space="preserve">resampling variability of the whole construction. We therefore report</w:t>
      </w:r>
      <w:r>
        <w:t xml:space="preserve"> </w:t>
      </w:r>
      <w:r>
        <w:t xml:space="preserve">percentile-bootstrap confidence intervals in which the neighbourhoods</w:t>
      </w:r>
      <w:r>
        <w:t xml:space="preserve"> </w:t>
      </w:r>
      <w:r>
        <w:t xml:space="preserve">are</w:t>
      </w:r>
      <w:r>
        <w:t xml:space="preserve"> </w:t>
      </w:r>
      <w:r>
        <w:rPr>
          <w:i/>
          <w:iCs/>
        </w:rPr>
        <w:t xml:space="preserve">re-formed inside every replicate</w:t>
      </w:r>
      <w:r>
        <w:t xml:space="preserve">: each of 1</w:t>
      </w:r>
      <w:r>
        <w:t xml:space="preserve">,</w:t>
      </w:r>
      <w:r>
        <w:t xml:space="preserve">000</w:t>
      </w:r>
      <w:r>
        <w:t xml:space="preserve"> </w:t>
      </w:r>
      <w:r>
        <w:t xml:space="preserve">replicates resamples</w:t>
      </w:r>
      <w:r>
        <w:t xml:space="preserve"> </w:t>
      </w:r>
      <m:oMath>
        <m:r>
          <m:t>n</m:t>
        </m:r>
      </m:oMath>
      <w:r>
        <w:t xml:space="preserve"> </w:t>
      </w:r>
      <w:r>
        <w:t xml:space="preserve">defendants with replacement, recomputes every</w:t>
      </w:r>
      <w:r>
        <w:t xml:space="preserve"> </w:t>
      </w:r>
      <w:r>
        <w:t xml:space="preserve">retained defendant’s</w:t>
      </w:r>
      <w:r>
        <w:t xml:space="preserve"> </w:t>
      </w:r>
      <m:oMath>
        <m:r>
          <m:t>k</m:t>
        </m:r>
      </m:oMath>
      <w:r>
        <w:t xml:space="preserve"> </w:t>
      </w:r>
      <w:r>
        <w:t xml:space="preserve">nearest same-group and opposite-group</w:t>
      </w:r>
      <w:r>
        <w:t xml:space="preserve"> </w:t>
      </w:r>
      <w:r>
        <w:t xml:space="preserve">neighbours</w:t>
      </w:r>
      <w:r>
        <w:t xml:space="preserve"> </w:t>
      </w:r>
      <w:r>
        <w:rPr>
          <w:i/>
          <w:iCs/>
        </w:rPr>
        <w:t xml:space="preserve">within the resampled set</w:t>
      </w:r>
      <w:r>
        <w:t xml:space="preserve">, and recomputes the index.</w:t>
      </w:r>
      <w:r>
        <w:t xml:space="preserve"> </w:t>
      </w:r>
      <w:r>
        <w:t xml:space="preserve">All confidence intervals reported across neighbourhood scales are</w:t>
      </w:r>
      <w:r>
        <w:t xml:space="preserve"> </w:t>
      </w:r>
      <w:r>
        <w:rPr>
          <w:i/>
          <w:iCs/>
        </w:rPr>
        <w:t xml:space="preserve">pointwise</w:t>
      </w:r>
      <w:r>
        <w:t xml:space="preserve"> </w:t>
      </w:r>
      <w:r>
        <w:t xml:space="preserve">(per-</w:t>
      </w:r>
      <m:oMath>
        <m:r>
          <m:t>k</m:t>
        </m:r>
      </m:oMath>
      <w:r>
        <w:t xml:space="preserve">), not simultaneous; the multiscale</w:t>
      </w:r>
      <w:r>
        <w:t xml:space="preserve"> </w:t>
      </w:r>
      <w:r>
        <w:t xml:space="preserve">significance claim rests on the global randomization test below, not</w:t>
      </w:r>
      <w:r>
        <w:t xml:space="preserve"> </w:t>
      </w:r>
      <w:r>
        <w:t xml:space="preserve">on reading six intervals at once.</w:t>
      </w:r>
    </w:p>
    <w:p>
      <w:pPr>
        <w:pStyle w:val="BodyText"/>
      </w:pPr>
      <w:r>
        <w:rPr>
          <w:b/>
          <w:bCs/>
        </w:rPr>
        <w:t xml:space="preserve">Randomization tests.</w:t>
      </w:r>
      <w:r>
        <w:t xml:space="preserve"> </w:t>
      </w:r>
      <w:r>
        <w:t xml:space="preserve">The natural null device is to permute</w:t>
      </w:r>
      <w:r>
        <w:t xml:space="preserve"> </w:t>
      </w:r>
      <w:r>
        <w:t xml:space="preserve">the protected-attribute labels and recompute LBI; the permutation</w:t>
      </w:r>
      <w:r>
        <w:t xml:space="preserve"> </w:t>
      </w:r>
      <w:r>
        <w:t xml:space="preserve">distribution supplies an empirical null and the one-sided</w:t>
      </w:r>
      <w:r>
        <w:t xml:space="preserve"> </w:t>
      </w:r>
      <m:oMath>
        <m:r>
          <m:t>p</m:t>
        </m:r>
      </m:oMath>
      <w:r>
        <w:t xml:space="preserve">-value is</w:t>
      </w:r>
      <w:r>
        <w:t xml:space="preserve"> </w:t>
      </w:r>
      <w:r>
        <w:t xml:space="preserve">the fraction of null draws at or above the observed value. Plain</w:t>
      </w:r>
      <w:r>
        <w:t xml:space="preserve"> </w:t>
      </w:r>
      <w:r>
        <w:t xml:space="preserve">permutation, however, tests the null that the labels are independent</w:t>
      </w:r>
      <w:r>
        <w:t xml:space="preserve"> </w:t>
      </w:r>
      <w:r>
        <w:t xml:space="preserve">of</w:t>
      </w:r>
      <w:r>
        <w:t xml:space="preserve"> </w:t>
      </w:r>
      <w:r>
        <w:rPr>
          <w:i/>
          <w:iCs/>
        </w:rPr>
        <w:t xml:space="preserve">everything</w:t>
      </w:r>
      <w:r>
        <w:t xml:space="preserve">—scores and legitimate features alike. Permuting</w:t>
      </w:r>
      <w:r>
        <w:t xml:space="preserve"> </w:t>
      </w:r>
      <w:r>
        <w:t xml:space="preserve">race destroys the actual dependence between race and the legitimate</w:t>
      </w:r>
      <w:r>
        <w:t xml:space="preserve"> </w:t>
      </w:r>
      <w:r>
        <w:t xml:space="preserve">predictors, and it is precisely that dependence which could, in</w:t>
      </w:r>
      <w:r>
        <w:t xml:space="preserve"> </w:t>
      </w:r>
      <w:r>
        <w:t xml:space="preserve">principle, let a race-blind score produce</w:t>
      </w:r>
      <w:r>
        <w:t xml:space="preserve"> </w:t>
      </w:r>
      <m:oMath>
        <m:r>
          <m:rPr>
            <m:sty m:val="p"/>
          </m:rPr>
          <m:t>L</m:t>
        </m:r>
        <m:r>
          <m:rPr>
            <m:sty m:val="p"/>
          </m:rPr>
          <m:t>B</m:t>
        </m:r>
        <m:r>
          <m:rPr>
            <m:sty m:val="p"/>
          </m:rPr>
          <m:t>I</m:t>
        </m:r>
        <m:r>
          <m:rPr>
            <m:sty m:val="p"/>
          </m:rPr>
          <m:t>≠</m:t>
        </m:r>
        <m:r>
          <m:t>1</m:t>
        </m:r>
      </m:oMath>
      <w:r>
        <w:t xml:space="preserve"> </w:t>
      </w:r>
      <w:r>
        <w:t xml:space="preserve">through differential matching quality. We therefore report three</w:t>
      </w:r>
      <w:r>
        <w:t xml:space="preserve"> </w:t>
      </w:r>
      <w:r>
        <w:t xml:space="preserve">progressively stricter null constructions, all computed on the full</w:t>
      </w:r>
      <w:r>
        <w:t xml:space="preserve"> </w:t>
      </w:r>
      <w:r>
        <w:t xml:space="preserve">sample (</w:t>
      </w:r>
      <m:oMath>
        <m:r>
          <m:t>n</m:t>
        </m:r>
        <m:r>
          <m:rPr>
            <m:sty m:val="p"/>
          </m:rPr>
          <m:t>=</m:t>
        </m:r>
        <m:r>
          <m:t>5</m:t>
        </m:r>
        <m:r>
          <m:rPr>
            <m:sty m:val="p"/>
          </m:rPr>
          <m:t>,</m:t>
        </m:r>
        <m:r>
          <m:t>278</m:t>
        </m:r>
      </m:oMath>
      <w:r>
        <w:t xml:space="preserve">) for both the observed and the null statistics,</w:t>
      </w:r>
      <w:r>
        <w:t xml:space="preserve"> </w:t>
      </w:r>
      <w:r>
        <w:t xml:space="preserve">with 1</w:t>
      </w:r>
      <w:r>
        <w:t xml:space="preserve">,</w:t>
      </w:r>
      <w:r>
        <w:t xml:space="preserve">000 draws each:</w:t>
      </w:r>
    </w:p>
    <w:p>
      <w:pPr>
        <w:numPr>
          <w:ilvl w:val="0"/>
          <w:numId w:val="1002"/>
        </w:numPr>
      </w:pPr>
      <w:r>
        <w:rPr>
          <w:i/>
          <w:iCs/>
        </w:rPr>
        <w:t xml:space="preserve">Plain permutation</w:t>
      </w:r>
      <w:r>
        <w:t xml:space="preserve"> </w:t>
      </w:r>
      <w:r>
        <w:t xml:space="preserve">of the race labels (the conventional</w:t>
      </w:r>
      <w:r>
        <w:t xml:space="preserve"> </w:t>
      </w:r>
      <w:r>
        <w:t xml:space="preserve">test, reported for continuity);</w:t>
      </w:r>
    </w:p>
    <w:p>
      <w:pPr>
        <w:numPr>
          <w:ilvl w:val="0"/>
          <w:numId w:val="1002"/>
        </w:numPr>
      </w:pPr>
      <w:r>
        <w:rPr>
          <w:i/>
          <w:iCs/>
        </w:rPr>
        <w:t xml:space="preserve">Stratified permutation</w:t>
      </w:r>
      <w:r>
        <w:t xml:space="preserve"> </w:t>
      </w:r>
      <w:r>
        <w:t xml:space="preserve">within deciles of the estimated</w:t>
      </w:r>
      <w:r>
        <w:t xml:space="preserve"> </w:t>
      </w:r>
      <w:r>
        <w:t xml:space="preserve">propensity score</w:t>
      </w:r>
      <w:r>
        <w:t xml:space="preserve"> </w:t>
      </w:r>
      <m:oMath>
        <m:acc>
          <m:accPr>
            <m:chr m:val="̂"/>
          </m:accPr>
          <m:e>
            <m:r>
              <m:t>P</m:t>
            </m:r>
          </m:e>
        </m:acc>
        <m:r>
          <m:rPr>
            <m:sty m:val="p"/>
          </m:rPr>
          <m:t>(</m:t>
        </m:r>
        <m:r>
          <m:rPr>
            <m:nor/>
            <m:sty m:val="p"/>
          </m:rPr>
          <m:t>race</m:t>
        </m:r>
        <m:r>
          <m:rPr>
            <m:sty m:val="p"/>
          </m:rPr>
          <m:t>∣</m:t>
        </m:r>
        <m:r>
          <m:rPr>
            <m:sty m:val="b"/>
          </m:rPr>
          <m:t>x</m:t>
        </m:r>
        <m:r>
          <m:rPr>
            <m:sty m:val="p"/>
          </m:rPr>
          <m:t>)</m:t>
        </m:r>
      </m:oMath>
      <w:r>
        <w:t xml:space="preserve">, which</w:t>
      </w:r>
      <w:r>
        <w:t xml:space="preserve"> </w:t>
      </w:r>
      <w:r>
        <w:t xml:space="preserve">preserves the coarse race–feature dependence; and</w:t>
      </w:r>
    </w:p>
    <w:p>
      <w:pPr>
        <w:numPr>
          <w:ilvl w:val="0"/>
          <w:numId w:val="1002"/>
        </w:numPr>
      </w:pPr>
      <w:r>
        <w:t xml:space="preserve">A</w:t>
      </w:r>
      <w:r>
        <w:t xml:space="preserve"> </w:t>
      </w:r>
      <w:r>
        <w:rPr>
          <w:i/>
          <w:iCs/>
        </w:rPr>
        <w:t xml:space="preserve">conditional randomization test</w:t>
      </w:r>
      <w:r>
        <w:t xml:space="preserve"> </w:t>
      </w:r>
      <w:r>
        <w:t xml:space="preserve">(CRT): race labels are</w:t>
      </w:r>
      <w:r>
        <w:t xml:space="preserve"> </w:t>
      </w:r>
      <w:r>
        <w:t xml:space="preserve">redrawn independently from</w:t>
      </w:r>
      <w:r>
        <w:t xml:space="preserve"> </w:t>
      </w:r>
      <m:oMath>
        <m:acc>
          <m:accPr>
            <m:chr m:val="̂"/>
          </m:accPr>
          <m:e>
            <m:r>
              <m:t>P</m:t>
            </m:r>
          </m:e>
        </m:acc>
        <m:r>
          <m:rPr>
            <m:sty m:val="p"/>
          </m:rPr>
          <m:t>(</m:t>
        </m:r>
        <m:r>
          <m:rPr>
            <m:nor/>
            <m:sty m:val="p"/>
          </m:rPr>
          <m:t>race</m:t>
        </m:r>
        <m:r>
          <m:rPr>
            <m:sty m:val="p"/>
          </m:rPr>
          <m:t>∣</m:t>
        </m:r>
        <m:sSub>
          <m:e>
            <m:r>
              <m:rPr>
                <m:sty m:val="b"/>
              </m:rPr>
              <m:t>x</m:t>
            </m:r>
          </m:e>
          <m:sub>
            <m:r>
              <m:t>i</m:t>
            </m:r>
          </m:sub>
        </m:sSub>
        <m:r>
          <m:rPr>
            <m:sty m:val="p"/>
          </m:rPr>
          <m:t>)</m:t>
        </m:r>
      </m:oMath>
      <w:r>
        <w:t xml:space="preserve"> </w:t>
      </w:r>
      <w:r>
        <w:t xml:space="preserve">estimated by logistic regression, preserving the race–feature</w:t>
      </w:r>
      <w:r>
        <w:t xml:space="preserve"> </w:t>
      </w:r>
      <w:r>
        <w:t xml:space="preserve">dependence that permutation destroys. Under this null, any</w:t>
      </w:r>
      <w:r>
        <w:t xml:space="preserve"> </w:t>
      </w:r>
      <w:r>
        <w:t xml:space="preserve">mechanical contribution of race-correlated feature geometry to the</w:t>
      </w:r>
      <w:r>
        <w:t xml:space="preserve"> </w:t>
      </w:r>
      <w:r>
        <w:t xml:space="preserve">index is present in the null draws as well.</w:t>
      </w:r>
    </w:p>
    <w:p>
      <w:pPr>
        <w:pStyle w:val="FirstParagraph"/>
      </w:pPr>
      <w:r>
        <w:t xml:space="preserve">For the multiscale claim we use a global max-</w:t>
      </w:r>
      <m:oMath>
        <m:r>
          <m:t>z</m:t>
        </m:r>
      </m:oMath>
      <w:r>
        <w:t xml:space="preserve"> </w:t>
      </w:r>
      <w:r>
        <w:t xml:space="preserve">statistic: each</w:t>
      </w:r>
      <w:r>
        <w:t xml:space="preserve"> </w:t>
      </w:r>
      <w:r>
        <w:t xml:space="preserve">scale’s LBI is standardized against its own null mean and standard</w:t>
      </w:r>
      <w:r>
        <w:t xml:space="preserve"> </w:t>
      </w:r>
      <w:r>
        <w:t xml:space="preserve">deviation, and the test statistic is the maximum standardized value</w:t>
      </w:r>
      <w:r>
        <w:t xml:space="preserve"> </w:t>
      </w:r>
      <w:r>
        <w:t xml:space="preserve">over the prespecified scales</w:t>
      </w:r>
      <w:r>
        <w:t xml:space="preserve"> </w:t>
      </w:r>
      <m:oMath>
        <m:r>
          <m:t>k</m:t>
        </m:r>
        <m:r>
          <m:rPr>
            <m:sty m:val="p"/>
          </m:rPr>
          <m:t>∈</m:t>
        </m:r>
        <m:r>
          <m:rPr>
            <m:sty m:val="p"/>
          </m:rPr>
          <m:t>{</m:t>
        </m:r>
        <m:r>
          <m:t>1</m:t>
        </m:r>
        <m:r>
          <m:rPr>
            <m:sty m:val="p"/>
          </m:rPr>
          <m:t>,</m:t>
        </m:r>
        <m:r>
          <m:t>5</m:t>
        </m:r>
        <m:r>
          <m:rPr>
            <m:sty m:val="p"/>
          </m:rPr>
          <m:t>,</m:t>
        </m:r>
        <m:r>
          <m:t>10</m:t>
        </m:r>
        <m:r>
          <m:rPr>
            <m:sty m:val="p"/>
          </m:rPr>
          <m:t>,</m:t>
        </m:r>
        <m:r>
          <m:t>20</m:t>
        </m:r>
        <m:r>
          <m:rPr>
            <m:sty m:val="p"/>
          </m:rPr>
          <m:t>,</m:t>
        </m:r>
        <m:r>
          <m:t>50</m:t>
        </m:r>
        <m:r>
          <m:rPr>
            <m:sty m:val="p"/>
          </m:rPr>
          <m:t>,</m:t>
        </m:r>
        <m:r>
          <m:t>100</m:t>
        </m:r>
        <m:r>
          <m:rPr>
            <m:sty m:val="p"/>
          </m:rPr>
          <m:t>}</m:t>
        </m:r>
      </m:oMath>
      <w:r>
        <w:t xml:space="preserve">; the</w:t>
      </w:r>
      <w:r>
        <w:t xml:space="preserve"> </w:t>
      </w:r>
      <w:r>
        <w:t xml:space="preserve">global</w:t>
      </w:r>
      <w:r>
        <w:t xml:space="preserve"> </w:t>
      </w:r>
      <m:oMath>
        <m:r>
          <m:t>p</m:t>
        </m:r>
      </m:oMath>
      <w:r>
        <w:t xml:space="preserve">-value compares the observed maximum with the null</w:t>
      </w:r>
      <w:r>
        <w:t xml:space="preserve"> </w:t>
      </w:r>
      <w:r>
        <w:t xml:space="preserve">distribution of the same maximum. This controls for selection across</w:t>
      </w:r>
      <w:r>
        <w:t xml:space="preserve"> </w:t>
      </w:r>
      <w:r>
        <w:t xml:space="preserve">scales rather than attaching the significance claim to any single</w:t>
      </w:r>
      <w:r>
        <w:t xml:space="preserve"> </w:t>
      </w:r>
      <m:oMath>
        <m:r>
          <m:t>k</m:t>
        </m:r>
      </m:oMath>
      <w:r>
        <w:t xml:space="preserve">.</w:t>
      </w:r>
    </w:p>
    <w:p>
      <w:pPr>
        <w:pStyle w:val="BodyText"/>
      </w:pPr>
      <w:r>
        <w:t xml:space="preserve">Randomization tests probe the label-independence null; they cannot by</w:t>
      </w:r>
      <w:r>
        <w:t xml:space="preserve"> </w:t>
      </w:r>
      <w:r>
        <w:t xml:space="preserve">themselves rule out that cross-race neighbours are systematically</w:t>
      </w:r>
      <w:r>
        <w:t xml:space="preserve"> </w:t>
      </w:r>
      <w:r>
        <w:t xml:space="preserve">worse-matched than same-race neighbours under the</w:t>
      </w:r>
      <w:r>
        <w:t xml:space="preserve"> </w:t>
      </w:r>
      <w:r>
        <w:rPr>
          <w:i/>
          <w:iCs/>
        </w:rPr>
        <w:t xml:space="preserve">actual</w:t>
      </w:r>
      <w:r>
        <w:t xml:space="preserve"> </w:t>
      </w:r>
      <w:r>
        <w:t xml:space="preserve">labels. The direct response to that concern is empirical, and we</w:t>
      </w:r>
      <w:r>
        <w:t xml:space="preserve"> </w:t>
      </w:r>
      <w:r>
        <w:t xml:space="preserve">treat it as a first-class part of the method: §4.5</w:t>
      </w:r>
      <w:r>
        <w:t xml:space="preserve"> </w:t>
      </w:r>
      <w:r>
        <w:t xml:space="preserve">measures the matching-quality gap explicitly and re-estimates LBI</w:t>
      </w:r>
      <w:r>
        <w:t xml:space="preserve"> </w:t>
      </w:r>
      <w:r>
        <w:t xml:space="preserve">under distance-matched, caliper-restricted, and exact-matched</w:t>
      </w:r>
      <w:r>
        <w:t xml:space="preserve"> </w:t>
      </w:r>
      <w:r>
        <w:t xml:space="preserve">specifications, and §4.9 calibrates the entire</w:t>
      </w:r>
      <w:r>
        <w:t xml:space="preserve"> </w:t>
      </w:r>
      <w:r>
        <w:t xml:space="preserve">pipeline—estimator plus tests—on semi-synthetic data with known</w:t>
      </w:r>
      <w:r>
        <w:t xml:space="preserve"> </w:t>
      </w:r>
      <w:r>
        <w:t xml:space="preserve">ground truth, including race-blind scores on the real,</w:t>
      </w:r>
      <w:r>
        <w:t xml:space="preserve"> </w:t>
      </w:r>
      <w:r>
        <w:t xml:space="preserve">race-correlated feature distributions.</w:t>
      </w:r>
    </w:p>
    <w:bookmarkEnd w:id="17"/>
    <w:bookmarkEnd w:id="18"/>
    <w:bookmarkStart w:id="59" w:name="sec:empirical"/>
    <w:p>
      <w:pPr>
        <w:pStyle w:val="Heading1"/>
      </w:pPr>
      <w:r>
        <w:t xml:space="preserve">Empirical Analysis: LBI on COMPAS</w:t>
      </w:r>
    </w:p>
    <w:p>
      <w:pPr>
        <w:pStyle w:val="FirstParagraph"/>
      </w:pPr>
      <w:r>
        <w:t xml:space="preserve">We compute LBI on the ProPublica COMPAS dataset and compare it</w:t>
      </w:r>
      <w:r>
        <w:t xml:space="preserve"> </w:t>
      </w:r>
      <w:r>
        <w:t xml:space="preserve">against the standard fairness metrics that shaped the 2016–2017</w:t>
      </w:r>
      <w:r>
        <w:t xml:space="preserve"> </w:t>
      </w:r>
      <w:r>
        <w:t xml:space="preserve">debate.</w:t>
      </w:r>
    </w:p>
    <w:bookmarkStart w:id="19" w:name="data-and-filter"/>
    <w:p>
      <w:pPr>
        <w:pStyle w:val="Heading2"/>
      </w:pPr>
      <w:r>
        <w:t xml:space="preserve">Data and filter</w:t>
      </w:r>
    </w:p>
    <w:p>
      <w:pPr>
        <w:pStyle w:val="FirstParagraph"/>
      </w:pPr>
      <w:r>
        <w:t xml:space="preserve">We use ProPublica’s published file</w:t>
      </w:r>
      <w:r>
        <w:t xml:space="preserve"> </w:t>
      </w:r>
      <w:r>
        <w:rPr>
          <w:rStyle w:val="VerbatimChar"/>
        </w:rPr>
        <w:t xml:space="preserve">compas-scores-two-years.csv</w:t>
      </w:r>
      <w:r>
        <w:t xml:space="preserve">, retrieved on June 11, 2026 from</w:t>
      </w:r>
      <w:r>
        <w:t xml:space="preserve"> </w:t>
      </w:r>
      <w:r>
        <w:t xml:space="preserve">the public GitHub repository</w:t>
      </w:r>
      <w:r>
        <w:t xml:space="preserve"> </w:t>
      </w:r>
      <w:r>
        <w:rPr>
          <w:rStyle w:val="VerbatimChar"/>
        </w:rPr>
        <w:t xml:space="preserve">propublica/compas-analysis</w:t>
      </w:r>
      <w:r>
        <w:t xml:space="preserve">. The</w:t>
      </w:r>
      <w:r>
        <w:t xml:space="preserve"> </w:t>
      </w:r>
      <w:r>
        <w:t xml:space="preserve">dataset contains 7,214 records of defendants screened by COMPAS in</w:t>
      </w:r>
      <w:r>
        <w:t xml:space="preserve"> </w:t>
      </w:r>
      <w:r>
        <w:t xml:space="preserve">Broward County, Florida.</w:t>
      </w:r>
    </w:p>
    <w:p>
      <w:pPr>
        <w:pStyle w:val="BodyText"/>
      </w:pPr>
      <w:r>
        <w:t xml:space="preserve">We apply ProPublica’s canonical analytical filter to obtain the</w:t>
      </w:r>
      <w:r>
        <w:t xml:space="preserve"> </w:t>
      </w:r>
      <w:r>
        <w:t xml:space="preserve">6,172-record analysis subset: screening date within 30 days of arrest,</w:t>
      </w:r>
      <w:r>
        <w:t xml:space="preserve"> </w:t>
      </w:r>
      <w:r>
        <w:t xml:space="preserve">recidivism record present, charge degree not</w:t>
      </w:r>
      <w:r>
        <w:t xml:space="preserve"> </w:t>
      </w:r>
      <w:r>
        <w:t xml:space="preserve">“Ordinary,”</w:t>
      </w:r>
      <w:r>
        <w:t xml:space="preserve"> </w:t>
      </w:r>
      <w:r>
        <w:t xml:space="preserve">and COMPAS</w:t>
      </w:r>
      <w:r>
        <w:t xml:space="preserve"> </w:t>
      </w:r>
      <w:r>
        <w:t xml:space="preserve">score text valid. Restricting further to African-American and</w:t>
      </w:r>
      <w:r>
        <w:t xml:space="preserve"> </w:t>
      </w:r>
      <w:r>
        <w:t xml:space="preserve">Caucasian defendants (the two race categories that drove the public</w:t>
      </w:r>
      <w:r>
        <w:t xml:space="preserve"> </w:t>
      </w:r>
      <w:r>
        <w:t xml:space="preserve">controversy and the subsequent technical literature) yields</w:t>
      </w:r>
      <w:r>
        <w:t xml:space="preserve"> </w:t>
      </w:r>
      <m:oMath>
        <m:r>
          <m:t>n</m:t>
        </m:r>
        <m:r>
          <m:rPr>
            <m:sty m:val="p"/>
          </m:rPr>
          <m:t>=</m:t>
        </m:r>
        <m:r>
          <m:t>5</m:t>
        </m:r>
        <m:r>
          <m:rPr>
            <m:sty m:val="p"/>
          </m:rPr>
          <m:t>,</m:t>
        </m:r>
        <m:r>
          <m:t>278</m:t>
        </m:r>
      </m:oMath>
      <w:r>
        <w:t xml:space="preserve"> </w:t>
      </w:r>
      <w:r>
        <w:t xml:space="preserve">defendants, of whom 3,175 (60.2 %) are African-American</w:t>
      </w:r>
      <w:r>
        <w:t xml:space="preserve"> </w:t>
      </w:r>
      <w:r>
        <w:t xml:space="preserve">and 2,103 (39.8 %) are Caucasian.</w:t>
      </w:r>
    </w:p>
    <w:p>
      <w:pPr>
        <w:pStyle w:val="BodyText"/>
      </w:pPr>
      <w:r>
        <w:t xml:space="preserve">Two definitions used throughout.</w:t>
      </w:r>
      <w:r>
        <w:t xml:space="preserve"> </w:t>
      </w:r>
      <w:r>
        <w:rPr>
          <w:i/>
          <w:iCs/>
        </w:rPr>
        <w:t xml:space="preserve">Score</w:t>
      </w:r>
      <w:r>
        <w:t xml:space="preserve">: the COMPAS</w:t>
      </w:r>
      <w:r>
        <w:t xml:space="preserve"> </w:t>
      </w:r>
      <w:r>
        <w:rPr>
          <w:i/>
          <w:iCs/>
        </w:rPr>
        <w:t xml:space="preserve">general recidivism</w:t>
      </w:r>
      <w:r>
        <w:t xml:space="preserve"> </w:t>
      </w:r>
      <w:r>
        <w:t xml:space="preserve">decile (</w:t>
      </w:r>
      <w:r>
        <w:rPr>
          <w:rStyle w:val="VerbatimChar"/>
        </w:rPr>
        <w:t xml:space="preserve">decile_score</w:t>
      </w:r>
      <w:r>
        <w:t xml:space="preserve">, 1–10), not</w:t>
      </w:r>
      <w:r>
        <w:t xml:space="preserve"> </w:t>
      </w:r>
      <w:r>
        <w:t xml:space="preserve">the separate violent-recidivism scale. COMPAS deciles map to three</w:t>
      </w:r>
      <w:r>
        <w:t xml:space="preserve"> </w:t>
      </w:r>
      <w:r>
        <w:t xml:space="preserve">published risk categories: 1–4</w:t>
      </w:r>
      <w:r>
        <w:t xml:space="preserve"> </w:t>
      </w:r>
      <w:r>
        <w:t xml:space="preserve">“low,”</w:t>
      </w:r>
      <w:r>
        <w:t xml:space="preserve"> </w:t>
      </w:r>
      <w:r>
        <w:t xml:space="preserve">5–7</w:t>
      </w:r>
      <w:r>
        <w:t xml:space="preserve"> </w:t>
      </w:r>
      <w:r>
        <w:t xml:space="preserve">“medium,”</w:t>
      </w:r>
      <w:r>
        <w:t xml:space="preserve"> </w:t>
      </w:r>
      <w:r>
        <w:t xml:space="preserve">8–10</w:t>
      </w:r>
      <w:r>
        <w:t xml:space="preserve"> </w:t>
      </w:r>
      <w:r>
        <w:t xml:space="preserve">“high.”</w:t>
      </w:r>
      <w:r>
        <w:t xml:space="preserve"> </w:t>
      </w:r>
      <w:r>
        <w:rPr>
          <w:i/>
          <w:iCs/>
        </w:rPr>
        <w:t xml:space="preserve">Recidivism</w:t>
      </w:r>
      <w:r>
        <w:t xml:space="preserve">: ProPublica’s two-year indicator</w:t>
      </w:r>
      <w:r>
        <w:t xml:space="preserve"> </w:t>
      </w:r>
      <w:r>
        <w:t xml:space="preserve">(</w:t>
      </w:r>
      <w:r>
        <w:rPr>
          <w:rStyle w:val="VerbatimChar"/>
        </w:rPr>
        <w:t xml:space="preserve">two_year_recid</w:t>
      </w:r>
      <w:r>
        <w:t xml:space="preserve">)—a new criminal offence resulting in a jail</w:t>
      </w:r>
      <w:r>
        <w:t xml:space="preserve"> </w:t>
      </w:r>
      <w:r>
        <w:t xml:space="preserve">booking within two years of the COMPAS screening date, excluding</w:t>
      </w:r>
      <w:r>
        <w:t xml:space="preserve"> </w:t>
      </w:r>
      <w:r>
        <w:t xml:space="preserve">traffic offences and municipal-ordinance violations; it is an</w:t>
      </w:r>
      <w:r>
        <w:t xml:space="preserve"> </w:t>
      </w:r>
      <w:r>
        <w:t xml:space="preserve">arrest-based outcome, not a conviction-based one, a limitation of</w:t>
      </w:r>
      <w:r>
        <w:t xml:space="preserve"> </w:t>
      </w:r>
      <w:r>
        <w:t xml:space="preserve">the source data that applies to every study built on this file. The</w:t>
      </w:r>
      <w:r>
        <w:t xml:space="preserve"> </w:t>
      </w:r>
      <w:r>
        <w:t xml:space="preserve">six matching features contain no missing values in the filtered</w:t>
      </w:r>
      <w:r>
        <w:t xml:space="preserve"> </w:t>
      </w:r>
      <w:r>
        <w:t xml:space="preserve">subset.</w:t>
      </w:r>
    </w:p>
    <w:bookmarkEnd w:id="19"/>
    <w:bookmarkStart w:id="20" w:name="legitimate-feature-space"/>
    <w:p>
      <w:pPr>
        <w:pStyle w:val="Heading2"/>
      </w:pPr>
      <w:r>
        <w:t xml:space="preserve">Legitimate-feature space</w:t>
      </w:r>
    </w:p>
    <w:p>
      <w:pPr>
        <w:pStyle w:val="FirstParagraph"/>
      </w:pPr>
      <w:r>
        <w:t xml:space="preserve">We adopt six legitimate predictors documented by Northpointe and</w:t>
      </w:r>
      <w:r>
        <w:t xml:space="preserve"> </w:t>
      </w:r>
      <w:r>
        <w:t xml:space="preserve">engaged by courts as inputs to pretrial risk assessment (see</w:t>
      </w:r>
      <w:r>
        <w:t xml:space="preserve"> </w:t>
      </w:r>
      <w:r>
        <w:rPr>
          <w:i/>
          <w:iCs/>
        </w:rPr>
        <w:t xml:space="preserve">State v. Loomis</w:t>
      </w:r>
      <w:r>
        <w:t xml:space="preserve">, 881 N.W.2d 749 (Wis. 2016), which upheld</w:t>
      </w:r>
      <w:r>
        <w:t xml:space="preserve"> </w:t>
      </w:r>
      <w:r>
        <w:t xml:space="preserve">sentencing use of COMPAS—whose inputs include criminal-history and</w:t>
      </w:r>
      <w:r>
        <w:t xml:space="preserve"> </w:t>
      </w:r>
      <w:r>
        <w:t xml:space="preserve">age factors—while cautioning on its use):</w:t>
      </w:r>
      <w:r>
        <w:t xml:space="preserve"> </w:t>
      </w:r>
      <w:r>
        <w:t xml:space="preserve">age</w:t>
      </w:r>
      <w:r>
        <w:t xml:space="preserve">,</w:t>
      </w:r>
      <w:r>
        <w:t xml:space="preserve"> </w:t>
      </w:r>
      <w:r>
        <w:t xml:space="preserve">priors_count</w:t>
      </w:r>
      <w:r>
        <w:t xml:space="preserve">,</w:t>
      </w:r>
      <w:r>
        <w:t xml:space="preserve"> </w:t>
      </w:r>
      <w:r>
        <w:t xml:space="preserve">juv_fel_count</w:t>
      </w:r>
      <w:r>
        <w:t xml:space="preserve">,</w:t>
      </w:r>
      <w:r>
        <w:t xml:space="preserve"> </w:t>
      </w:r>
      <w:r>
        <w:t xml:space="preserve">juv_misd_count</w:t>
      </w:r>
      <w:r>
        <w:t xml:space="preserve">,</w:t>
      </w:r>
      <w:r>
        <w:t xml:space="preserve"> </w:t>
      </w:r>
      <w:r>
        <w:t xml:space="preserve">juv_other_count</w:t>
      </w:r>
      <w:r>
        <w:t xml:space="preserve">, and an</w:t>
      </w:r>
      <w:r>
        <w:t xml:space="preserve"> </w:t>
      </w:r>
      <w:r>
        <w:t xml:space="preserve">indicator for whether the current charge is a felony</w:t>
      </w:r>
      <w:r>
        <w:t xml:space="preserve"> </w:t>
      </w:r>
      <w:r>
        <w:t xml:space="preserve">(</w:t>
      </w:r>
      <m:oMath>
        <m:r>
          <m:rPr>
            <m:scr m:val="sans-serif"/>
            <m:sty m:val="p"/>
          </m:rPr>
          <m:t>c</m:t>
        </m:r>
        <m:r>
          <m:rPr>
            <m:scr m:val="sans-serif"/>
            <m:sty m:val="p"/>
          </m:rPr>
          <m:t>_</m:t>
        </m:r>
        <m:r>
          <m:rPr>
            <m:scr m:val="sans-serif"/>
            <m:sty m:val="p"/>
          </m:rPr>
          <m:t>c</m:t>
        </m:r>
        <m:r>
          <m:rPr>
            <m:scr m:val="sans-serif"/>
            <m:sty m:val="p"/>
          </m:rPr>
          <m:t>h</m:t>
        </m:r>
        <m:r>
          <m:rPr>
            <m:scr m:val="sans-serif"/>
            <m:sty m:val="p"/>
          </m:rPr>
          <m:t>a</m:t>
        </m:r>
        <m:r>
          <m:rPr>
            <m:scr m:val="sans-serif"/>
            <m:sty m:val="p"/>
          </m:rPr>
          <m:t>r</m:t>
        </m:r>
        <m:r>
          <m:rPr>
            <m:scr m:val="sans-serif"/>
            <m:sty m:val="p"/>
          </m:rPr>
          <m:t>g</m:t>
        </m:r>
        <m:r>
          <m:rPr>
            <m:scr m:val="sans-serif"/>
            <m:sty m:val="p"/>
          </m:rPr>
          <m:t>e</m:t>
        </m:r>
        <m:r>
          <m:rPr>
            <m:scr m:val="sans-serif"/>
            <m:sty m:val="p"/>
          </m:rPr>
          <m:t>_</m:t>
        </m:r>
        <m:r>
          <m:rPr>
            <m:scr m:val="sans-serif"/>
            <m:sty m:val="p"/>
          </m:rPr>
          <m:t>F</m:t>
        </m:r>
      </m:oMath>
      <w:r>
        <w:t xml:space="preserve">). We standardize each feature</w:t>
      </w:r>
      <w:r>
        <w:t xml:space="preserve"> </w:t>
      </w:r>
      <w:r>
        <w:t xml:space="preserve">(mean-zero, unit-variance) before computing the Mahalanobis metric.</w:t>
      </w:r>
      <w:r>
        <w:t xml:space="preserve"> </w:t>
      </w:r>
      <w:r>
        <w:t xml:space="preserve">Although these predictors all count prior conduct, they do not</w:t>
      </w:r>
      <w:r>
        <w:t xml:space="preserve"> </w:t>
      </w:r>
      <w:r>
        <w:t xml:space="preserve">double-count it: the three juvenile counts are mutually exclusive charge</w:t>
      </w:r>
      <w:r>
        <w:t xml:space="preserve"> </w:t>
      </w:r>
      <w:r>
        <w:t xml:space="preserve">classes (felony, misdemeanour, other), and</w:t>
      </w:r>
      <w:r>
        <w:t xml:space="preserve"> </w:t>
      </w:r>
      <w:r>
        <w:t xml:space="preserve">priors_count</w:t>
      </w:r>
      <w:r>
        <w:t xml:space="preserve"> </w:t>
      </w:r>
      <w:r>
        <w:t xml:space="preserve">records</w:t>
      </w:r>
      <w:r>
        <w:t xml:space="preserve"> </w:t>
      </w:r>
      <w:r>
        <w:t xml:space="preserve">adult priors, so the four</w:t>
      </w:r>
      <w:r>
        <w:t xml:space="preserve"> </w:t>
      </w:r>
      <w:r>
        <w:rPr>
          <w:i/>
          <w:iCs/>
        </w:rPr>
        <w:t xml:space="preserve">partition</w:t>
      </w:r>
      <w:r>
        <w:t xml:space="preserve"> </w:t>
      </w:r>
      <w:r>
        <w:t xml:space="preserve">rather than duplicate a</w:t>
      </w:r>
      <w:r>
        <w:t xml:space="preserve"> </w:t>
      </w:r>
      <w:r>
        <w:t xml:space="preserve">defendant’s record. The empirical covariance matrix accordingly has</w:t>
      </w:r>
      <w:r>
        <w:t xml:space="preserve"> </w:t>
      </w:r>
      <w:r>
        <w:t xml:space="preserve">condition number</w:t>
      </w:r>
      <w:r>
        <w:t xml:space="preserve"> </w:t>
      </w:r>
      <m:oMath>
        <m:r>
          <m:t>2.65</m:t>
        </m:r>
      </m:oMath>
      <w:r>
        <w:t xml:space="preserve">, confirming no severe multicollinearity; the</w:t>
      </w:r>
      <w:r>
        <w:t xml:space="preserve"> </w:t>
      </w:r>
      <w:r>
        <w:t xml:space="preserve">Mahalanobis metric additionally de-correlates whatever residual</w:t>
      </w:r>
      <w:r>
        <w:t xml:space="preserve"> </w:t>
      </w:r>
      <w:r>
        <w:t xml:space="preserve">dependence remains. The COMPAS score is the published decile risk</w:t>
      </w:r>
      <w:r>
        <w:t xml:space="preserve"> </w:t>
      </w:r>
      <w:r>
        <w:t xml:space="preserve">(</w:t>
      </w:r>
      <m:oMath>
        <m:r>
          <m:t>1</m:t>
        </m:r>
      </m:oMath>
      <w:r>
        <w:t xml:space="preserve">–</w:t>
      </w:r>
      <m:oMath>
        <m:r>
          <m:t>10</m:t>
        </m:r>
      </m:oMath>
      <w:r>
        <w:t xml:space="preserve">).</w:t>
      </w:r>
    </w:p>
    <w:bookmarkEnd w:id="20"/>
    <w:bookmarkStart w:id="22" w:name="X0407e87553f7276207769a019c46d3e6ac64336"/>
    <w:p>
      <w:pPr>
        <w:pStyle w:val="Heading2"/>
      </w:pPr>
      <w:r>
        <w:t xml:space="preserve">Standard fairness metrics: confirming the prior literature</w:t>
      </w:r>
    </w:p>
    <w:p>
      <w:pPr>
        <w:pStyle w:val="FirstParagraph"/>
      </w:pPr>
      <w:r>
        <w:t xml:space="preserve">We first reproduce the 2016–2017 controversy by computing standard</w:t>
      </w:r>
      <w:r>
        <w:t xml:space="preserve"> </w:t>
      </w:r>
      <w:r>
        <w:t xml:space="preserve">metrics on the filtered subset. Table 1 reports</w:t>
      </w:r>
      <w:r>
        <w:t xml:space="preserve"> </w:t>
      </w:r>
      <w:r>
        <w:t xml:space="preserve">the headline numbers.</w:t>
      </w:r>
    </w:p>
    <w:bookmarkStart w:id="21" w:name="tab:standard"/>
    <w:p>
      <w:pPr>
        <w:pStyle w:val="TableCaption"/>
      </w:pPr>
      <w:r>
        <w:t xml:space="preserve">Table 1: Standard fairness metrics on the COMPAS Black/White subset</w:t>
      </w:r>
      <w:r>
        <w:t xml:space="preserve"> </w:t>
      </w:r>
      <w:r>
        <w:t xml:space="preserve">(</w:t>
      </w:r>
      <m:oMath>
        <m:r>
          <m:t>n</m:t>
        </m:r>
        <m:r>
          <m:rPr>
            <m:sty m:val="p"/>
          </m:rPr>
          <m:t>=</m:t>
        </m:r>
        <m:r>
          <m:t>5</m:t>
        </m:r>
        <m:r>
          <m:rPr>
            <m:sty m:val="p"/>
          </m:rPr>
          <m:t>,</m:t>
        </m:r>
        <m:r>
          <m:t>278</m:t>
        </m:r>
      </m:oMath>
      <w:r>
        <w:t xml:space="preserve">). Binary threshold: decile</w:t>
      </w:r>
      <w:r>
        <w:t xml:space="preserve"> </w:t>
      </w:r>
      <m:oMath>
        <m:r>
          <m:rPr>
            <m:sty m:val="p"/>
          </m:rPr>
          <m:t>≥</m:t>
        </m:r>
        <m:r>
          <m:t>5</m:t>
        </m:r>
      </m:oMath>
      <w:r>
        <w:t xml:space="preserve">, ProPublica’s</w:t>
      </w:r>
      <w:r>
        <w:t xml:space="preserve"> </w:t>
      </w:r>
      <w:r>
        <w:t xml:space="preserve">“medium-or-high”</w:t>
      </w:r>
      <w:r>
        <w:t xml:space="preserve"> </w:t>
      </w:r>
      <w:r>
        <w:t xml:space="preserve">class (see §4.7);</w:t>
      </w:r>
      <w:r>
        <w:t xml:space="preserve"> </w:t>
      </w:r>
      <w:r>
        <w:t xml:space="preserve">“high-risk”</w:t>
      </w:r>
      <w:r>
        <w:t xml:space="preserve"> </w:t>
      </w:r>
      <w:r>
        <w:t xml:space="preserve">in the row labels follows ProPublica’s usage.</w:t>
      </w:r>
    </w:p>
    <w:tbl>
      <w:tblPr>
        <w:tblStyle w:val="Table"/>
        <w:tblW w:type="auto" w:w="0"/>
        <w:tblLook w:firstRow="1" w:lastRow="0" w:firstColumn="0" w:lastColumn="0" w:noHBand="0" w:noVBand="0" w:val="0020"/>
        <w:tblCaption w:val="Table 1: Standard fairness metrics on the COMPAS Black/White subset (n{=}5{,}278). Binary threshold: decile \geq 5, ProPublica’s “medium-or-high” class (see §4.7); “high-risk” in the row labels follows ProPublica’s usage."/>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right"/>
            </w:pPr>
            <w:r>
              <w:rPr>
                <w:b/>
                <w:bCs/>
              </w:rPr>
              <w:t xml:space="preserve">African-American</w:t>
            </w:r>
          </w:p>
        </w:tc>
        <w:tc>
          <w:tcPr/>
          <w:p>
            <w:pPr>
              <w:pStyle w:val="Compact"/>
              <w:jc w:val="right"/>
            </w:pPr>
            <w:r>
              <w:rPr>
                <w:b/>
                <w:bCs/>
              </w:rPr>
              <w:t xml:space="preserve">Caucasian</w:t>
            </w:r>
          </w:p>
        </w:tc>
        <w:tc>
          <w:tcPr/>
          <w:p>
            <w:pPr>
              <w:pStyle w:val="Compact"/>
              <w:jc w:val="right"/>
            </w:pPr>
            <w:r>
              <w:rPr>
                <w:b/>
                <w:bCs/>
              </w:rPr>
              <w:t xml:space="preserve">Disparity</w:t>
            </w:r>
          </w:p>
        </w:tc>
      </w:tr>
      <w:tr>
        <w:tc>
          <w:tcPr/>
          <w:p>
            <w:pPr>
              <w:pStyle w:val="Compact"/>
              <w:jc w:val="left"/>
            </w:pPr>
            <m:oMath>
              <m:r>
                <m:t>n</m:t>
              </m:r>
            </m:oMath>
          </w:p>
        </w:tc>
        <w:tc>
          <w:tcPr/>
          <w:p>
            <w:pPr>
              <w:pStyle w:val="Compact"/>
              <w:jc w:val="right"/>
            </w:pPr>
            <w:r>
              <w:t xml:space="preserve">3</w:t>
            </w:r>
            <w:r>
              <w:t xml:space="preserve">,</w:t>
            </w:r>
            <w:r>
              <w:t xml:space="preserve">175</w:t>
            </w:r>
          </w:p>
        </w:tc>
        <w:tc>
          <w:tcPr/>
          <w:p>
            <w:pPr>
              <w:pStyle w:val="Compact"/>
              <w:jc w:val="right"/>
            </w:pPr>
            <w:r>
              <w:t xml:space="preserve">2</w:t>
            </w:r>
            <w:r>
              <w:t xml:space="preserve">,</w:t>
            </w:r>
            <w:r>
              <w:t xml:space="preserve">103</w:t>
            </w:r>
          </w:p>
        </w:tc>
        <w:tc>
          <w:tcPr/>
          <w:p>
            <w:pPr>
              <w:pStyle w:val="Compact"/>
              <w:jc w:val="right"/>
            </w:pPr>
            <w:r>
              <w:t xml:space="preserve">—</w:t>
            </w:r>
          </w:p>
        </w:tc>
      </w:tr>
      <w:tr>
        <w:tc>
          <w:tcPr/>
          <w:p>
            <w:pPr>
              <w:pStyle w:val="Compact"/>
              <w:jc w:val="left"/>
            </w:pPr>
            <w:r>
              <w:t xml:space="preserve">Base recidivism rate</w:t>
            </w:r>
          </w:p>
        </w:tc>
        <w:tc>
          <w:tcPr/>
          <w:p>
            <w:pPr>
              <w:pStyle w:val="Compact"/>
              <w:jc w:val="right"/>
            </w:pPr>
            <w:r>
              <w:t xml:space="preserve">0.523</w:t>
            </w:r>
          </w:p>
        </w:tc>
        <w:tc>
          <w:tcPr/>
          <w:p>
            <w:pPr>
              <w:pStyle w:val="Compact"/>
              <w:jc w:val="right"/>
            </w:pPr>
            <w:r>
              <w:t xml:space="preserve">0.391</w:t>
            </w:r>
          </w:p>
        </w:tc>
        <w:tc>
          <w:tcPr/>
          <w:p>
            <w:pPr>
              <w:pStyle w:val="Compact"/>
              <w:jc w:val="right"/>
            </w:pPr>
            <m:oMath>
              <m:r>
                <m:rPr>
                  <m:sty m:val="p"/>
                </m:rPr>
                <m:t>+</m:t>
              </m:r>
              <m:r>
                <m:t>0.132</m:t>
              </m:r>
            </m:oMath>
          </w:p>
        </w:tc>
      </w:tr>
      <w:tr>
        <w:tc>
          <w:tcPr/>
          <w:p>
            <w:pPr>
              <w:pStyle w:val="Compact"/>
              <w:jc w:val="left"/>
            </w:pPr>
            <m:oMath>
              <m:r>
                <m:rPr>
                  <m:sty m:val="p"/>
                </m:rPr>
                <m:t>Pr</m:t>
              </m:r>
              <m:r>
                <m:rPr>
                  <m:sty m:val="p"/>
                </m:rPr>
                <m:t>(</m:t>
              </m:r>
              <m:r>
                <m:rPr>
                  <m:nor/>
                  <m:sty m:val="p"/>
                </m:rPr>
                <m:t>high-risk</m:t>
              </m:r>
              <m:r>
                <m:rPr>
                  <m:sty m:val="p"/>
                </m:rPr>
                <m:t>)</m:t>
              </m:r>
            </m:oMath>
          </w:p>
        </w:tc>
        <w:tc>
          <w:tcPr/>
          <w:p>
            <w:pPr>
              <w:pStyle w:val="Compact"/>
              <w:jc w:val="right"/>
            </w:pPr>
            <w:r>
              <w:t xml:space="preserve">0.576</w:t>
            </w:r>
          </w:p>
        </w:tc>
        <w:tc>
          <w:tcPr/>
          <w:p>
            <w:pPr>
              <w:pStyle w:val="Compact"/>
              <w:jc w:val="right"/>
            </w:pPr>
            <w:r>
              <w:t xml:space="preserve">0.331</w:t>
            </w:r>
          </w:p>
        </w:tc>
        <w:tc>
          <w:tcPr/>
          <w:p>
            <w:pPr>
              <w:pStyle w:val="Compact"/>
              <w:jc w:val="right"/>
            </w:pPr>
            <m:oMath>
              <m:r>
                <m:rPr>
                  <m:sty m:val="p"/>
                </m:rPr>
                <m:t>×</m:t>
              </m:r>
              <m:r>
                <m:t> </m:t>
              </m:r>
              <m:r>
                <m:t>1.74</m:t>
              </m:r>
            </m:oMath>
          </w:p>
        </w:tc>
      </w:tr>
      <w:tr>
        <w:tc>
          <w:tcPr/>
          <w:p>
            <w:pPr>
              <w:pStyle w:val="Compact"/>
              <w:jc w:val="left"/>
            </w:pPr>
            <w:r>
              <w:t xml:space="preserve">False positive rate</w:t>
            </w:r>
          </w:p>
        </w:tc>
        <w:tc>
          <w:tcPr/>
          <w:p>
            <w:pPr>
              <w:pStyle w:val="Compact"/>
              <w:jc w:val="right"/>
            </w:pPr>
            <w:r>
              <w:t xml:space="preserve">0.423</w:t>
            </w:r>
          </w:p>
        </w:tc>
        <w:tc>
          <w:tcPr/>
          <w:p>
            <w:pPr>
              <w:pStyle w:val="Compact"/>
              <w:jc w:val="right"/>
            </w:pPr>
            <w:r>
              <w:t xml:space="preserve">0.220</w:t>
            </w:r>
          </w:p>
        </w:tc>
        <w:tc>
          <w:tcPr/>
          <w:p>
            <w:pPr>
              <w:pStyle w:val="Compact"/>
              <w:jc w:val="right"/>
            </w:pPr>
            <m:oMath>
              <m:r>
                <m:rPr>
                  <m:sty m:val="p"/>
                </m:rPr>
                <m:t>+</m:t>
              </m:r>
              <m:r>
                <m:t>0.203</m:t>
              </m:r>
            </m:oMath>
          </w:p>
        </w:tc>
      </w:tr>
      <w:tr>
        <w:tc>
          <w:tcPr/>
          <w:p>
            <w:pPr>
              <w:pStyle w:val="Compact"/>
              <w:jc w:val="left"/>
            </w:pPr>
            <w:r>
              <w:t xml:space="preserve">False negative rate</w:t>
            </w:r>
          </w:p>
        </w:tc>
        <w:tc>
          <w:tcPr/>
          <w:p>
            <w:pPr>
              <w:pStyle w:val="Compact"/>
              <w:jc w:val="right"/>
            </w:pPr>
            <w:r>
              <w:t xml:space="preserve">0.285</w:t>
            </w:r>
          </w:p>
        </w:tc>
        <w:tc>
          <w:tcPr/>
          <w:p>
            <w:pPr>
              <w:pStyle w:val="Compact"/>
              <w:jc w:val="right"/>
            </w:pPr>
            <w:r>
              <w:t xml:space="preserve">0.496</w:t>
            </w:r>
          </w:p>
        </w:tc>
        <w:tc>
          <w:tcPr/>
          <w:p>
            <w:pPr>
              <w:pStyle w:val="Compact"/>
              <w:jc w:val="right"/>
            </w:pPr>
            <m:oMath>
              <m:r>
                <m:rPr>
                  <m:sty m:val="p"/>
                </m:rPr>
                <m:t>−</m:t>
              </m:r>
              <m:r>
                <m:t>0.211</m:t>
              </m:r>
            </m:oMath>
          </w:p>
        </w:tc>
      </w:tr>
      <w:tr>
        <w:tc>
          <w:tcPr/>
          <w:p>
            <w:pPr>
              <w:pStyle w:val="Compact"/>
              <w:jc w:val="left"/>
            </w:pPr>
            <m:oMath>
              <m:r>
                <m:rPr>
                  <m:sty m:val="p"/>
                </m:rPr>
                <m:t>Pr</m:t>
              </m:r>
              <m:r>
                <m:rPr>
                  <m:sty m:val="p"/>
                </m:rPr>
                <m:t>(</m:t>
              </m:r>
              <m:r>
                <m:rPr>
                  <m:nor/>
                  <m:sty m:val="p"/>
                </m:rPr>
                <m:t>recid</m:t>
              </m:r>
              <m:r>
                <m:rPr>
                  <m:sty m:val="p"/>
                </m:rPr>
                <m:t>∣</m:t>
              </m:r>
              <m:r>
                <m:rPr>
                  <m:nor/>
                  <m:sty m:val="p"/>
                </m:rPr>
                <m:t>high-risk</m:t>
              </m:r>
              <m:r>
                <m:rPr>
                  <m:sty m:val="p"/>
                </m:rPr>
                <m:t>)</m:t>
              </m:r>
            </m:oMath>
          </w:p>
        </w:tc>
        <w:tc>
          <w:tcPr/>
          <w:p>
            <w:pPr>
              <w:pStyle w:val="Compact"/>
              <w:jc w:val="right"/>
            </w:pPr>
            <w:r>
              <w:t xml:space="preserve">0.650</w:t>
            </w:r>
          </w:p>
        </w:tc>
        <w:tc>
          <w:tcPr/>
          <w:p>
            <w:pPr>
              <w:pStyle w:val="Compact"/>
              <w:jc w:val="right"/>
            </w:pPr>
            <w:r>
              <w:t xml:space="preserve">0.595</w:t>
            </w:r>
          </w:p>
        </w:tc>
        <w:tc>
          <w:tcPr/>
          <w:p>
            <w:pPr>
              <w:pStyle w:val="Compact"/>
              <w:jc w:val="right"/>
            </w:pPr>
            <m:oMath>
              <m:r>
                <m:rPr>
                  <m:sty m:val="p"/>
                </m:rPr>
                <m:t>+</m:t>
              </m:r>
              <m:r>
                <m:t>0.055</m:t>
              </m:r>
            </m:oMath>
          </w:p>
        </w:tc>
      </w:tr>
      <w:tr>
        <w:tc>
          <w:tcPr/>
          <w:p>
            <w:pPr>
              <w:pStyle w:val="Compact"/>
              <w:jc w:val="left"/>
            </w:pPr>
            <m:oMath>
              <m:r>
                <m:rPr>
                  <m:sty m:val="p"/>
                </m:rPr>
                <m:t>Pr</m:t>
              </m:r>
              <m:r>
                <m:rPr>
                  <m:sty m:val="p"/>
                </m:rPr>
                <m:t>(</m:t>
              </m:r>
              <m:r>
                <m:rPr>
                  <m:nor/>
                  <m:sty m:val="p"/>
                </m:rPr>
                <m:t>recid</m:t>
              </m:r>
              <m:r>
                <m:rPr>
                  <m:sty m:val="p"/>
                </m:rPr>
                <m:t>∣</m:t>
              </m:r>
              <m:r>
                <m:rPr>
                  <m:nor/>
                  <m:sty m:val="p"/>
                </m:rPr>
                <m:t>low-risk</m:t>
              </m:r>
              <m:r>
                <m:rPr>
                  <m:sty m:val="p"/>
                </m:rPr>
                <m:t>)</m:t>
              </m:r>
            </m:oMath>
          </w:p>
        </w:tc>
        <w:tc>
          <w:tcPr/>
          <w:p>
            <w:pPr>
              <w:pStyle w:val="Compact"/>
              <w:jc w:val="right"/>
            </w:pPr>
            <w:r>
              <w:t xml:space="preserve">0.351</w:t>
            </w:r>
          </w:p>
        </w:tc>
        <w:tc>
          <w:tcPr/>
          <w:p>
            <w:pPr>
              <w:pStyle w:val="Compact"/>
              <w:jc w:val="right"/>
            </w:pPr>
            <w:r>
              <w:t xml:space="preserve">0.290</w:t>
            </w:r>
          </w:p>
        </w:tc>
        <w:tc>
          <w:tcPr/>
          <w:p>
            <w:pPr>
              <w:pStyle w:val="Compact"/>
              <w:jc w:val="right"/>
            </w:pPr>
            <m:oMath>
              <m:r>
                <m:rPr>
                  <m:sty m:val="p"/>
                </m:rPr>
                <m:t>+</m:t>
              </m:r>
              <m:r>
                <m:t>0.061</m:t>
              </m:r>
            </m:oMath>
          </w:p>
        </w:tc>
      </w:tr>
    </w:tbl>
    <w:bookmarkEnd w:id="21"/>
    <w:p>
      <w:pPr>
        <w:pStyle w:val="BodyText"/>
      </w:pPr>
      <w:r>
        <w:t xml:space="preserve">The pattern matches the published literature exactly. ProPublica’s</w:t>
      </w:r>
      <w:r>
        <w:t xml:space="preserve"> </w:t>
      </w:r>
      <w:r>
        <w:t xml:space="preserve">headline finding—the false-positive-rate disparity—is</w:t>
      </w:r>
      <w:r>
        <w:t xml:space="preserve"> </w:t>
      </w:r>
      <m:oMath>
        <m:r>
          <m:rPr>
            <m:sty m:val="p"/>
          </m:rPr>
          <m:t>+</m:t>
        </m:r>
        <m:r>
          <m:t>20.3</m:t>
        </m:r>
      </m:oMath>
      <w:r>
        <w:t xml:space="preserve"> </w:t>
      </w:r>
      <w:r>
        <w:t xml:space="preserve">percentage points, with a corresponding false-negative-rate</w:t>
      </w:r>
      <w:r>
        <w:t xml:space="preserve"> </w:t>
      </w:r>
      <w:r>
        <w:t xml:space="preserve">disparity of</w:t>
      </w:r>
      <w:r>
        <w:t xml:space="preserve"> </w:t>
      </w:r>
      <m:oMath>
        <m:r>
          <m:rPr>
            <m:sty m:val="p"/>
          </m:rPr>
          <m:t>−</m:t>
        </m:r>
        <m:r>
          <m:t>21.1</m:t>
        </m:r>
      </m:oMath>
      <w:r>
        <w:t xml:space="preserve"> </w:t>
      </w:r>
      <w:r>
        <w:t xml:space="preserve">percentage points. (These are distinct rates on</w:t>
      </w:r>
      <w:r>
        <w:t xml:space="preserve"> </w:t>
      </w:r>
      <w:r>
        <w:t xml:space="preserve">different denominators—the FPR is the complement of the true-negative</w:t>
      </w:r>
      <w:r>
        <w:t xml:space="preserve"> </w:t>
      </w:r>
      <w:r>
        <w:t xml:space="preserve">rate and the FNR of the true-positive rate—so they are not two forms</w:t>
      </w:r>
      <w:r>
        <w:t xml:space="preserve"> </w:t>
      </w:r>
      <w:r>
        <w:t xml:space="preserve">of a single quantity, though under this classifier they move in opposite</w:t>
      </w:r>
      <w:r>
        <w:t xml:space="preserve"> </w:t>
      </w:r>
      <w:r>
        <w:t xml:space="preserve">directions.) Northpointe’s defence is</w:t>
      </w:r>
      <w:r>
        <w:t xml:space="preserve"> </w:t>
      </w:r>
      <w:r>
        <w:rPr>
          <w:i/>
          <w:iCs/>
        </w:rPr>
        <w:t xml:space="preserve">predictive parity</w:t>
      </w:r>
      <w:r>
        <w:t xml:space="preserve"> </w:t>
      </w:r>
      <w:r>
        <w:t xml:space="preserve">at the</w:t>
      </w:r>
      <w:r>
        <w:t xml:space="preserve"> </w:t>
      </w:r>
      <w:r>
        <w:t xml:space="preserve">high-risk threshold: the empirical recidivism rate among defendants</w:t>
      </w:r>
      <w:r>
        <w:t xml:space="preserve"> </w:t>
      </w:r>
      <w:r>
        <w:t xml:space="preserve">classified high-risk is approximately equal across races (a precision</w:t>
      </w:r>
      <w:r>
        <w:t xml:space="preserve"> </w:t>
      </w:r>
      <w:r>
        <w:t xml:space="preserve">gap of</w:t>
      </w:r>
      <w:r>
        <w:t xml:space="preserve"> </w:t>
      </w:r>
      <m:oMath>
        <m:r>
          <m:rPr>
            <m:sty m:val="p"/>
          </m:rPr>
          <m:t>+</m:t>
        </m:r>
        <m:r>
          <m:t>0.055</m:t>
        </m:r>
      </m:oMath>
      <w:r>
        <w:t xml:space="preserve">), not a demonstration of per-decile calibration. The</w:t>
      </w:r>
      <w:r>
        <w:t xml:space="preserve"> </w:t>
      </w:r>
      <w:r>
        <w:t xml:space="preserve">Chouldechova–Kleinberg impossibility holds because the recidivism base</w:t>
      </w:r>
      <w:r>
        <w:t xml:space="preserve"> </w:t>
      </w:r>
      <w:r>
        <w:t xml:space="preserve">rates differ by</w:t>
      </w:r>
      <w:r>
        <w:t xml:space="preserve"> </w:t>
      </w:r>
      <m:oMath>
        <m:r>
          <m:rPr>
            <m:sty m:val="p"/>
          </m:rPr>
          <m:t>+</m:t>
        </m:r>
        <m:r>
          <m:t>13.2</m:t>
        </m:r>
      </m:oMath>
      <w:r>
        <w:t xml:space="preserve"> </w:t>
      </w:r>
      <w:r>
        <w:t xml:space="preserve">percentage points. (An earlier version of</w:t>
      </w:r>
      <w:r>
        <w:t xml:space="preserve"> </w:t>
      </w:r>
      <w:r>
        <w:t xml:space="preserve">this table mixed values from differently filtered drafting runs; all</w:t>
      </w:r>
      <w:r>
        <w:t xml:space="preserve"> </w:t>
      </w:r>
      <w:r>
        <w:t xml:space="preserve">cells are now produced by the same script and subset as every other</w:t>
      </w:r>
      <w:r>
        <w:t xml:space="preserve"> </w:t>
      </w:r>
      <w:r>
        <w:t xml:space="preserve">number in the paper.)</w:t>
      </w:r>
    </w:p>
    <w:bookmarkEnd w:id="22"/>
    <w:bookmarkStart w:id="28" w:name="sec:lbiresults"/>
    <w:p>
      <w:pPr>
        <w:pStyle w:val="Heading2"/>
      </w:pPr>
      <w:r>
        <w:t xml:space="preserve">LBI across neighbourhood scales</w:t>
      </w:r>
    </w:p>
    <w:p>
      <w:pPr>
        <w:pStyle w:val="FirstParagraph"/>
      </w:pPr>
      <w:r>
        <w:t xml:space="preserve">We compute LBI(race) and LBI(sex) at the six prespecified</w:t>
      </w:r>
      <w:r>
        <w:t xml:space="preserve"> </w:t>
      </w:r>
      <w:r>
        <w:t xml:space="preserve">neighbourhood scales</w:t>
      </w:r>
      <w:r>
        <w:t xml:space="preserve"> </w:t>
      </w:r>
      <m:oMath>
        <m:r>
          <m:t>k</m:t>
        </m:r>
        <m:r>
          <m:rPr>
            <m:sty m:val="p"/>
          </m:rPr>
          <m:t>∈</m:t>
        </m:r>
        <m:r>
          <m:rPr>
            <m:sty m:val="p"/>
          </m:rPr>
          <m:t>{</m:t>
        </m:r>
        <m:r>
          <m:t>1</m:t>
        </m:r>
        <m:r>
          <m:rPr>
            <m:sty m:val="p"/>
          </m:rPr>
          <m:t>,</m:t>
        </m:r>
        <m:r>
          <m:t>5</m:t>
        </m:r>
        <m:r>
          <m:rPr>
            <m:sty m:val="p"/>
          </m:rPr>
          <m:t>,</m:t>
        </m:r>
        <m:r>
          <m:t>10</m:t>
        </m:r>
        <m:r>
          <m:rPr>
            <m:sty m:val="p"/>
          </m:rPr>
          <m:t>,</m:t>
        </m:r>
        <m:r>
          <m:t>20</m:t>
        </m:r>
        <m:r>
          <m:rPr>
            <m:sty m:val="p"/>
          </m:rPr>
          <m:t>,</m:t>
        </m:r>
        <m:r>
          <m:t>50</m:t>
        </m:r>
        <m:r>
          <m:rPr>
            <m:sty m:val="p"/>
          </m:rPr>
          <m:t>,</m:t>
        </m:r>
        <m:r>
          <m:t>100</m:t>
        </m:r>
        <m:r>
          <m:rPr>
            <m:sty m:val="p"/>
          </m:rPr>
          <m:t>}</m:t>
        </m:r>
      </m:oMath>
      <w:r>
        <w:t xml:space="preserve"> </w:t>
      </w:r>
      <w:r>
        <w:t xml:space="preserve">using the</w:t>
      </w:r>
      <w:r>
        <w:t xml:space="preserve"> </w:t>
      </w:r>
      <w:r>
        <w:t xml:space="preserve">matched-neighbourhood</w:t>
      </w:r>
      <w:r>
        <w:t xml:space="preserve"> </w:t>
      </w:r>
      <m:oMath>
        <m:r>
          <m:t>k</m:t>
        </m:r>
      </m:oMath>
      <w:r>
        <w:t xml:space="preserve">-NN procedure of Definition 1.</w:t>
      </w:r>
      <w:r>
        <w:t xml:space="preserve"> </w:t>
      </w:r>
      <w:r>
        <w:t xml:space="preserve">Confidence intervals come from the bootstrap of</w:t>
      </w:r>
      <w:r>
        <w:t xml:space="preserve"> </w:t>
      </w:r>
      <w:r>
        <w:t xml:space="preserve">§3.3, which re-forms every neighbourhood inside each</w:t>
      </w:r>
      <w:r>
        <w:t xml:space="preserve"> </w:t>
      </w:r>
      <w:r>
        <w:t xml:space="preserve">of 1</w:t>
      </w:r>
      <w:r>
        <w:t xml:space="preserve">,</w:t>
      </w:r>
      <w:r>
        <w:t xml:space="preserve">000 replicates; they are noticeably wider than the naive</w:t>
      </w:r>
      <w:r>
        <w:t xml:space="preserve"> </w:t>
      </w:r>
      <w:r>
        <w:t xml:space="preserve">per-defendant bootstrap (at</w:t>
      </w:r>
      <w:r>
        <w:t xml:space="preserve"> </w:t>
      </w:r>
      <m:oMath>
        <m:r>
          <m:t>k</m:t>
        </m:r>
        <m:r>
          <m:rPr>
            <m:sty m:val="p"/>
          </m:rPr>
          <m:t>=</m:t>
        </m:r>
        <m:r>
          <m:t>20</m:t>
        </m:r>
      </m:oMath>
      <w:r>
        <w:t xml:space="preserve">:</w:t>
      </w:r>
      <w:r>
        <w:t xml:space="preserve"> </w:t>
      </w:r>
      <m:oMath>
        <m:r>
          <m:rPr>
            <m:sty m:val="p"/>
          </m:rPr>
          <m:t>[</m:t>
        </m:r>
        <m:r>
          <m:t>1.027</m:t>
        </m:r>
        <m:r>
          <m:rPr>
            <m:sty m:val="p"/>
          </m:rPr>
          <m:t>,</m:t>
        </m:r>
        <m:r>
          <m:t>1.072</m:t>
        </m:r>
        <m:r>
          <m:rPr>
            <m:sty m:val="p"/>
          </m:rPr>
          <m:t>]</m:t>
        </m:r>
      </m:oMath>
      <w:r>
        <w:t xml:space="preserve"> </w:t>
      </w:r>
      <w:r>
        <w:t xml:space="preserve">vs. </w:t>
      </w:r>
      <m:oMath>
        <m:r>
          <m:rPr>
            <m:sty m:val="p"/>
          </m:rPr>
          <m:t>[</m:t>
        </m:r>
        <m:r>
          <m:t>1.039</m:t>
        </m:r>
        <m:r>
          <m:rPr>
            <m:sty m:val="p"/>
          </m:rPr>
          <m:t>,</m:t>
        </m:r>
        <m:r>
          <m:t>1.058</m:t>
        </m:r>
        <m:r>
          <m:rPr>
            <m:sty m:val="p"/>
          </m:rPr>
          <m:t>]</m:t>
        </m:r>
      </m:oMath>
      <w:r>
        <w:t xml:space="preserve">), which is what one expects once the reuse of</w:t>
      </w:r>
      <w:r>
        <w:t xml:space="preserve"> </w:t>
      </w:r>
      <w:r>
        <w:t xml:space="preserve">neighbours across defendants (mean 40 reuses, max 198) is allowed to</w:t>
      </w:r>
      <w:r>
        <w:t xml:space="preserve"> </w:t>
      </w:r>
      <w:r>
        <w:t xml:space="preserve">propagate into the interval. All CIs are pointwise per scale.</w:t>
      </w:r>
    </w:p>
    <w:bookmarkStart w:id="23" w:name="tab:lbi"/>
    <w:p>
      <w:pPr>
        <w:pStyle w:val="TableCaption"/>
      </w:pPr>
      <w:r>
        <w:t xml:space="preserve">Table 2: Legal Bond Index for COMPAS, by protected attribute and</w:t>
      </w:r>
      <w:r>
        <w:t xml:space="preserve"> </w:t>
      </w:r>
      <w:r>
        <w:t xml:space="preserve">neighbourhood scale</w:t>
      </w:r>
      <w:r>
        <w:t xml:space="preserve"> </w:t>
      </w:r>
      <m:oMath>
        <m:r>
          <m:t>k</m:t>
        </m:r>
      </m:oMath>
      <w:r>
        <w:t xml:space="preserve">.</w:t>
      </w:r>
      <w:r>
        <w:t xml:space="preserve"> </w:t>
      </w:r>
      <m:oMath>
        <m:r>
          <m:t>n</m:t>
        </m:r>
        <m:r>
          <m:rPr>
            <m:sty m:val="p"/>
          </m:rPr>
          <m:t>=</m:t>
        </m:r>
        <m:r>
          <m:t>5</m:t>
        </m:r>
        <m:r>
          <m:rPr>
            <m:sty m:val="p"/>
          </m:rPr>
          <m:t>,</m:t>
        </m:r>
        <m:r>
          <m:t>278</m:t>
        </m:r>
      </m:oMath>
      <w:r>
        <w:t xml:space="preserve"> </w:t>
      </w:r>
      <w:r>
        <w:t xml:space="preserve">defendants. CIs are</w:t>
      </w:r>
      <w:r>
        <w:t xml:space="preserve"> </w:t>
      </w:r>
      <w:r>
        <w:t xml:space="preserve">pointwise percentile bootstrap with neighbourhoods re-formed in every</w:t>
      </w:r>
      <w:r>
        <w:t xml:space="preserve"> </w:t>
      </w:r>
      <w:r>
        <w:t xml:space="preserve">replicate.</w:t>
      </w:r>
    </w:p>
    <w:tbl>
      <w:tblPr>
        <w:tblStyle w:val="Table"/>
        <w:tblW w:type="auto" w:w="0"/>
        <w:tblLook w:firstRow="0" w:lastRow="0" w:firstColumn="0" w:lastColumn="0" w:noHBand="0" w:noVBand="0" w:val="0000"/>
        <w:tblCaption w:val="Table 2: Legal Bond Index for COMPAS, by protected attribute and neighbourhood scale k. n = 5{,}278 defendants. CIs are pointwise percentile bootstrap with neighbourhoods re-formed in every replicate."/>
      </w:tblPr>
      <w:tblGrid>
        <w:gridCol w:w="1320"/>
        <w:gridCol w:w="1320"/>
        <w:gridCol w:w="1320"/>
        <w:gridCol w:w="1320"/>
        <w:gridCol w:w="1320"/>
        <w:gridCol w:w="1320"/>
      </w:tblGrid>
      <w:tr>
        <w:tc>
          <w:tcPr/>
          <w:p>
            <w:pPr>
              <w:pStyle w:val="Compact"/>
              <w:jc w:val="center"/>
            </w:pPr>
            <m:oMath>
              <m:r>
                <m:t>k</m:t>
              </m:r>
            </m:oMath>
          </w:p>
        </w:tc>
        <w:tc>
          <w:tcPr>
            <w:gridSpan w:val="2"/>
          </w:tcPr>
          <w:p>
            <w:pPr>
              <w:pStyle w:val="Compact"/>
              <w:jc w:val="center"/>
            </w:pPr>
            <w:r>
              <w:rPr>
                <w:b/>
                <w:bCs/>
              </w:rPr>
              <w:t xml:space="preserve">LBI(race)</w:t>
            </w:r>
          </w:p>
        </w:tc>
        <w:tc>
          <w:tcPr>
            <w:gridSpan w:val="2"/>
          </w:tcPr>
          <w:p>
            <w:pPr>
              <w:pStyle w:val="Compact"/>
              <w:jc w:val="center"/>
            </w:pPr>
            <w:r>
              <w:rPr>
                <w:b/>
                <w:bCs/>
              </w:rPr>
              <w:t xml:space="preserve">LBI(sex)</w:t>
            </w:r>
          </w:p>
        </w:tc>
        <w:tc>
          <w:tcPr/>
          <w:p>
            <w:pPr>
              <w:pStyle w:val="Compact"/>
            </w:pPr>
          </w:p>
        </w:tc>
      </w:tr>
      <w:tr>
        <w:tc>
          <w:tcPr/>
          <w:p>
            <w:pPr>
              <w:pStyle w:val="Compact"/>
            </w:pPr>
          </w:p>
        </w:tc>
        <w:tc>
          <w:tcPr/>
          <w:p>
            <w:pPr>
              <w:pStyle w:val="Compact"/>
              <w:jc w:val="right"/>
            </w:pPr>
            <w:r>
              <w:t xml:space="preserve">value</w:t>
            </w:r>
          </w:p>
        </w:tc>
        <w:tc>
          <w:tcPr/>
          <w:p>
            <w:pPr>
              <w:pStyle w:val="Compact"/>
              <w:jc w:val="right"/>
            </w:pPr>
            <w:r>
              <w:t xml:space="preserve">95 % CI</w:t>
            </w:r>
          </w:p>
        </w:tc>
        <w:tc>
          <w:tcPr/>
          <w:p>
            <w:pPr>
              <w:pStyle w:val="Compact"/>
              <w:jc w:val="right"/>
            </w:pPr>
            <w:r>
              <w:t xml:space="preserve">value</w:t>
            </w:r>
          </w:p>
        </w:tc>
        <w:tc>
          <w:tcPr/>
          <w:p>
            <w:pPr>
              <w:pStyle w:val="Compact"/>
              <w:jc w:val="right"/>
            </w:pPr>
            <w:r>
              <w:t xml:space="preserve">95 % CI</w:t>
            </w:r>
          </w:p>
        </w:tc>
        <w:tc>
          <w:tcPr/>
          <w:p>
            <w:pPr>
              <w:pStyle w:val="Compact"/>
            </w:pPr>
          </w:p>
        </w:tc>
      </w:tr>
      <w:tr>
        <w:tc>
          <w:tcPr/>
          <w:p>
            <w:pPr>
              <w:pStyle w:val="Compact"/>
              <w:jc w:val="right"/>
            </w:pPr>
            <w:r>
              <w:t xml:space="preserve">1</w:t>
            </w:r>
          </w:p>
        </w:tc>
        <w:tc>
          <w:tcPr/>
          <w:p>
            <w:pPr>
              <w:pStyle w:val="Compact"/>
              <w:jc w:val="right"/>
            </w:pPr>
            <w:r>
              <w:t xml:space="preserve">1.045</w:t>
            </w:r>
          </w:p>
        </w:tc>
        <w:tc>
          <w:tcPr/>
          <w:p>
            <w:pPr>
              <w:pStyle w:val="Compact"/>
              <w:jc w:val="right"/>
            </w:pPr>
            <m:oMath>
              <m:r>
                <m:rPr>
                  <m:sty m:val="p"/>
                </m:rPr>
                <m:t>[</m:t>
              </m:r>
              <m:r>
                <m:t>1.002</m:t>
              </m:r>
              <m:r>
                <m:rPr>
                  <m:sty m:val="p"/>
                </m:rPr>
                <m:t>,</m:t>
              </m:r>
              <m:r>
                <m:t>1.089</m:t>
              </m:r>
              <m:r>
                <m:rPr>
                  <m:sty m:val="p"/>
                </m:rPr>
                <m:t>]</m:t>
              </m:r>
            </m:oMath>
          </w:p>
        </w:tc>
        <w:tc>
          <w:tcPr/>
          <w:p>
            <w:pPr>
              <w:pStyle w:val="Compact"/>
              <w:jc w:val="right"/>
            </w:pPr>
            <w:r>
              <w:t xml:space="preserve">0.962</w:t>
            </w:r>
          </w:p>
        </w:tc>
        <w:tc>
          <w:tcPr/>
          <w:p>
            <w:pPr>
              <w:pStyle w:val="Compact"/>
              <w:jc w:val="right"/>
            </w:pPr>
            <m:oMath>
              <m:r>
                <m:rPr>
                  <m:sty m:val="p"/>
                </m:rPr>
                <m:t>[</m:t>
              </m:r>
              <m:r>
                <m:t>0.935</m:t>
              </m:r>
              <m:r>
                <m:rPr>
                  <m:sty m:val="p"/>
                </m:rPr>
                <m:t>,</m:t>
              </m:r>
              <m:r>
                <m:t>1.032</m:t>
              </m:r>
              <m:r>
                <m:rPr>
                  <m:sty m:val="p"/>
                </m:rPr>
                <m:t>]</m:t>
              </m:r>
            </m:oMath>
          </w:p>
        </w:tc>
        <w:tc>
          <w:tcPr/>
          <w:p>
            <w:pPr>
              <w:pStyle w:val="Compact"/>
            </w:pPr>
          </w:p>
        </w:tc>
      </w:tr>
      <w:tr>
        <w:tc>
          <w:tcPr/>
          <w:p>
            <w:pPr>
              <w:pStyle w:val="Compact"/>
              <w:jc w:val="right"/>
            </w:pPr>
            <w:r>
              <w:t xml:space="preserve">5</w:t>
            </w:r>
          </w:p>
        </w:tc>
        <w:tc>
          <w:tcPr/>
          <w:p>
            <w:pPr>
              <w:pStyle w:val="Compact"/>
              <w:jc w:val="right"/>
            </w:pPr>
            <w:r>
              <w:t xml:space="preserve">1.043</w:t>
            </w:r>
          </w:p>
        </w:tc>
        <w:tc>
          <w:tcPr/>
          <w:p>
            <w:pPr>
              <w:pStyle w:val="Compact"/>
              <w:jc w:val="right"/>
            </w:pPr>
            <m:oMath>
              <m:r>
                <m:rPr>
                  <m:sty m:val="p"/>
                </m:rPr>
                <m:t>[</m:t>
              </m:r>
              <m:r>
                <m:t>1.010</m:t>
              </m:r>
              <m:r>
                <m:rPr>
                  <m:sty m:val="p"/>
                </m:rPr>
                <m:t>,</m:t>
              </m:r>
              <m:r>
                <m:t>1.074</m:t>
              </m:r>
              <m:r>
                <m:rPr>
                  <m:sty m:val="p"/>
                </m:rPr>
                <m:t>]</m:t>
              </m:r>
            </m:oMath>
          </w:p>
        </w:tc>
        <w:tc>
          <w:tcPr/>
          <w:p>
            <w:pPr>
              <w:pStyle w:val="Compact"/>
              <w:jc w:val="right"/>
            </w:pPr>
            <w:r>
              <w:t xml:space="preserve">1.012</w:t>
            </w:r>
          </w:p>
        </w:tc>
        <w:tc>
          <w:tcPr/>
          <w:p>
            <w:pPr>
              <w:pStyle w:val="Compact"/>
              <w:jc w:val="right"/>
            </w:pPr>
            <m:oMath>
              <m:r>
                <m:rPr>
                  <m:sty m:val="p"/>
                </m:rPr>
                <m:t>[</m:t>
              </m:r>
              <m:r>
                <m:t>0.974</m:t>
              </m:r>
              <m:r>
                <m:rPr>
                  <m:sty m:val="p"/>
                </m:rPr>
                <m:t>,</m:t>
              </m:r>
              <m:r>
                <m:t>1.043</m:t>
              </m:r>
              <m:r>
                <m:rPr>
                  <m:sty m:val="p"/>
                </m:rPr>
                <m:t>]</m:t>
              </m:r>
            </m:oMath>
          </w:p>
        </w:tc>
        <w:tc>
          <w:tcPr/>
          <w:p>
            <w:pPr>
              <w:pStyle w:val="Compact"/>
            </w:pPr>
          </w:p>
        </w:tc>
      </w:tr>
      <w:tr>
        <w:tc>
          <w:tcPr/>
          <w:p>
            <w:pPr>
              <w:pStyle w:val="Compact"/>
              <w:jc w:val="right"/>
            </w:pPr>
            <w:r>
              <w:t xml:space="preserve">10</w:t>
            </w:r>
          </w:p>
        </w:tc>
        <w:tc>
          <w:tcPr/>
          <w:p>
            <w:pPr>
              <w:pStyle w:val="Compact"/>
              <w:jc w:val="right"/>
            </w:pPr>
            <w:r>
              <w:t xml:space="preserve">1.041</w:t>
            </w:r>
          </w:p>
        </w:tc>
        <w:tc>
          <w:tcPr/>
          <w:p>
            <w:pPr>
              <w:pStyle w:val="Compact"/>
              <w:jc w:val="right"/>
            </w:pPr>
            <m:oMath>
              <m:r>
                <m:rPr>
                  <m:sty m:val="p"/>
                </m:rPr>
                <m:t>[</m:t>
              </m:r>
              <m:r>
                <m:t>1.017</m:t>
              </m:r>
              <m:r>
                <m:rPr>
                  <m:sty m:val="p"/>
                </m:rPr>
                <m:t>,</m:t>
              </m:r>
              <m:r>
                <m:t>1.068</m:t>
              </m:r>
              <m:r>
                <m:rPr>
                  <m:sty m:val="p"/>
                </m:rPr>
                <m:t>]</m:t>
              </m:r>
            </m:oMath>
          </w:p>
        </w:tc>
        <w:tc>
          <w:tcPr/>
          <w:p>
            <w:pPr>
              <w:pStyle w:val="Compact"/>
              <w:jc w:val="right"/>
            </w:pPr>
            <w:r>
              <w:t xml:space="preserve">1.016</w:t>
            </w:r>
          </w:p>
        </w:tc>
        <w:tc>
          <w:tcPr/>
          <w:p>
            <w:pPr>
              <w:pStyle w:val="Compact"/>
              <w:jc w:val="right"/>
            </w:pPr>
            <m:oMath>
              <m:r>
                <m:rPr>
                  <m:sty m:val="p"/>
                </m:rPr>
                <m:t>[</m:t>
              </m:r>
              <m:r>
                <m:t>0.987</m:t>
              </m:r>
              <m:r>
                <m:rPr>
                  <m:sty m:val="p"/>
                </m:rPr>
                <m:t>,</m:t>
              </m:r>
              <m:r>
                <m:t>1.043</m:t>
              </m:r>
              <m:r>
                <m:rPr>
                  <m:sty m:val="p"/>
                </m:rPr>
                <m:t>]</m:t>
              </m:r>
            </m:oMath>
          </w:p>
        </w:tc>
        <w:tc>
          <w:tcPr/>
          <w:p>
            <w:pPr>
              <w:pStyle w:val="Compact"/>
            </w:pPr>
          </w:p>
        </w:tc>
      </w:tr>
      <w:tr>
        <w:tc>
          <w:tcPr/>
          <w:p>
            <w:pPr>
              <w:pStyle w:val="Compact"/>
              <w:jc w:val="right"/>
            </w:pPr>
            <w:r>
              <w:t xml:space="preserve">20</w:t>
            </w:r>
          </w:p>
        </w:tc>
        <w:tc>
          <w:tcPr/>
          <w:p>
            <w:pPr>
              <w:pStyle w:val="Compact"/>
              <w:jc w:val="right"/>
            </w:pPr>
            <w:r>
              <w:t xml:space="preserve">1.049</w:t>
            </w:r>
          </w:p>
        </w:tc>
        <w:tc>
          <w:tcPr/>
          <w:p>
            <w:pPr>
              <w:pStyle w:val="Compact"/>
              <w:jc w:val="right"/>
            </w:pPr>
            <m:oMath>
              <m:r>
                <m:rPr>
                  <m:sty m:val="p"/>
                </m:rPr>
                <m:t>[</m:t>
              </m:r>
              <m:r>
                <m:t>1.027</m:t>
              </m:r>
              <m:r>
                <m:rPr>
                  <m:sty m:val="p"/>
                </m:rPr>
                <m:t>,</m:t>
              </m:r>
              <m:r>
                <m:t>1.072</m:t>
              </m:r>
              <m:r>
                <m:rPr>
                  <m:sty m:val="p"/>
                </m:rPr>
                <m:t>]</m:t>
              </m:r>
            </m:oMath>
          </w:p>
        </w:tc>
        <w:tc>
          <w:tcPr/>
          <w:p>
            <w:pPr>
              <w:pStyle w:val="Compact"/>
              <w:jc w:val="right"/>
            </w:pPr>
            <w:r>
              <w:t xml:space="preserve">1.021</w:t>
            </w:r>
          </w:p>
        </w:tc>
        <w:tc>
          <w:tcPr/>
          <w:p>
            <w:pPr>
              <w:pStyle w:val="Compact"/>
              <w:jc w:val="right"/>
            </w:pPr>
            <m:oMath>
              <m:r>
                <m:rPr>
                  <m:sty m:val="p"/>
                </m:rPr>
                <m:t>[</m:t>
              </m:r>
              <m:r>
                <m:t>0.998</m:t>
              </m:r>
              <m:r>
                <m:rPr>
                  <m:sty m:val="p"/>
                </m:rPr>
                <m:t>,</m:t>
              </m:r>
              <m:r>
                <m:t>1.044</m:t>
              </m:r>
              <m:r>
                <m:rPr>
                  <m:sty m:val="p"/>
                </m:rPr>
                <m:t>]</m:t>
              </m:r>
            </m:oMath>
          </w:p>
        </w:tc>
        <w:tc>
          <w:tcPr/>
          <w:p>
            <w:pPr>
              <w:pStyle w:val="Compact"/>
            </w:pPr>
          </w:p>
        </w:tc>
      </w:tr>
      <w:tr>
        <w:tc>
          <w:tcPr/>
          <w:p>
            <w:pPr>
              <w:pStyle w:val="Compact"/>
              <w:jc w:val="right"/>
            </w:pPr>
            <w:r>
              <w:t xml:space="preserve">50</w:t>
            </w:r>
          </w:p>
        </w:tc>
        <w:tc>
          <w:tcPr/>
          <w:p>
            <w:pPr>
              <w:pStyle w:val="Compact"/>
              <w:jc w:val="right"/>
            </w:pPr>
            <w:r>
              <w:t xml:space="preserve">1.060</w:t>
            </w:r>
          </w:p>
        </w:tc>
        <w:tc>
          <w:tcPr/>
          <w:p>
            <w:pPr>
              <w:pStyle w:val="Compact"/>
              <w:jc w:val="right"/>
            </w:pPr>
            <m:oMath>
              <m:r>
                <m:rPr>
                  <m:sty m:val="p"/>
                </m:rPr>
                <m:t>[</m:t>
              </m:r>
              <m:r>
                <m:t>1.041</m:t>
              </m:r>
              <m:r>
                <m:rPr>
                  <m:sty m:val="p"/>
                </m:rPr>
                <m:t>,</m:t>
              </m:r>
              <m:r>
                <m:t>1.079</m:t>
              </m:r>
              <m:r>
                <m:rPr>
                  <m:sty m:val="p"/>
                </m:rPr>
                <m:t>]</m:t>
              </m:r>
            </m:oMath>
          </w:p>
        </w:tc>
        <w:tc>
          <w:tcPr/>
          <w:p>
            <w:pPr>
              <w:pStyle w:val="Compact"/>
              <w:jc w:val="right"/>
            </w:pPr>
            <w:r>
              <w:t xml:space="preserve">1.028</w:t>
            </w:r>
          </w:p>
        </w:tc>
        <w:tc>
          <w:tcPr/>
          <w:p>
            <w:pPr>
              <w:pStyle w:val="Compact"/>
              <w:jc w:val="right"/>
            </w:pPr>
            <m:oMath>
              <m:r>
                <m:rPr>
                  <m:sty m:val="p"/>
                </m:rPr>
                <m:t>[</m:t>
              </m:r>
              <m:r>
                <m:t>1.008</m:t>
              </m:r>
              <m:r>
                <m:rPr>
                  <m:sty m:val="p"/>
                </m:rPr>
                <m:t>,</m:t>
              </m:r>
              <m:r>
                <m:t>1.048</m:t>
              </m:r>
              <m:r>
                <m:rPr>
                  <m:sty m:val="p"/>
                </m:rPr>
                <m:t>]</m:t>
              </m:r>
            </m:oMath>
          </w:p>
        </w:tc>
        <w:tc>
          <w:tcPr/>
          <w:p>
            <w:pPr>
              <w:pStyle w:val="Compact"/>
            </w:pPr>
          </w:p>
        </w:tc>
      </w:tr>
      <w:tr>
        <w:tc>
          <w:tcPr/>
          <w:p>
            <w:pPr>
              <w:pStyle w:val="Compact"/>
              <w:jc w:val="right"/>
            </w:pPr>
            <w:r>
              <w:t xml:space="preserve">100</w:t>
            </w:r>
          </w:p>
        </w:tc>
        <w:tc>
          <w:tcPr/>
          <w:p>
            <w:pPr>
              <w:pStyle w:val="Compact"/>
              <w:jc w:val="right"/>
            </w:pPr>
            <w:r>
              <w:t xml:space="preserve">1.069</w:t>
            </w:r>
          </w:p>
        </w:tc>
        <w:tc>
          <w:tcPr/>
          <w:p>
            <w:pPr>
              <w:pStyle w:val="Compact"/>
              <w:jc w:val="right"/>
            </w:pPr>
            <m:oMath>
              <m:r>
                <m:rPr>
                  <m:sty m:val="p"/>
                </m:rPr>
                <m:t>[</m:t>
              </m:r>
              <m:r>
                <m:t>1.053</m:t>
              </m:r>
              <m:r>
                <m:rPr>
                  <m:sty m:val="p"/>
                </m:rPr>
                <m:t>,</m:t>
              </m:r>
              <m:r>
                <m:t>1.087</m:t>
              </m:r>
              <m:r>
                <m:rPr>
                  <m:sty m:val="p"/>
                </m:rPr>
                <m:t>]</m:t>
              </m:r>
            </m:oMath>
          </w:p>
        </w:tc>
        <w:tc>
          <w:tcPr/>
          <w:p>
            <w:pPr>
              <w:pStyle w:val="Compact"/>
              <w:jc w:val="right"/>
            </w:pPr>
            <w:r>
              <w:t xml:space="preserve">1.041</w:t>
            </w:r>
          </w:p>
        </w:tc>
        <w:tc>
          <w:tcPr/>
          <w:p>
            <w:pPr>
              <w:pStyle w:val="Compact"/>
              <w:jc w:val="right"/>
            </w:pPr>
            <m:oMath>
              <m:r>
                <m:rPr>
                  <m:sty m:val="p"/>
                </m:rPr>
                <m:t>[</m:t>
              </m:r>
              <m:r>
                <m:t>1.023</m:t>
              </m:r>
              <m:r>
                <m:rPr>
                  <m:sty m:val="p"/>
                </m:rPr>
                <m:t>,</m:t>
              </m:r>
              <m:r>
                <m:t>1.060</m:t>
              </m:r>
              <m:r>
                <m:rPr>
                  <m:sty m:val="p"/>
                </m:rPr>
                <m:t>]</m:t>
              </m:r>
            </m:oMath>
          </w:p>
        </w:tc>
        <w:tc>
          <w:tcPr/>
          <w:p>
            <w:pPr>
              <w:pStyle w:val="Compact"/>
            </w:pPr>
          </w:p>
        </w:tc>
      </w:tr>
    </w:tbl>
    <w:bookmarkEnd w:id="23"/>
    <w:p>
      <w:pPr>
        <w:pStyle w:val="BodyText"/>
      </w:pPr>
      <w:r>
        <w:t xml:space="preserve">Figure 1 plots the curves. LBI(race) lies</w:t>
      </w:r>
      <w:r>
        <w:t xml:space="preserve"> </w:t>
      </w:r>
      <w:r>
        <w:t xml:space="preserve">above</w:t>
      </w:r>
      <w:r>
        <w:t xml:space="preserve"> </w:t>
      </w:r>
      <m:oMath>
        <m:r>
          <m:t>1</m:t>
        </m:r>
      </m:oMath>
      <w:r>
        <w:t xml:space="preserve"> </w:t>
      </w:r>
      <w:r>
        <w:t xml:space="preserve">at every scale, with pointwise CIs excluding</w:t>
      </w:r>
      <w:r>
        <w:t xml:space="preserve"> </w:t>
      </w:r>
      <m:oMath>
        <m:r>
          <m:t>1</m:t>
        </m:r>
      </m:oMath>
      <w:r>
        <w:t xml:space="preserve"> </w:t>
      </w:r>
      <w:r>
        <w:t xml:space="preserve">throughout</w:t>
      </w:r>
      <w:r>
        <w:t xml:space="preserve"> </w:t>
      </w:r>
      <w:r>
        <w:t xml:space="preserve">(narrowly at</w:t>
      </w:r>
      <w:r>
        <w:t xml:space="preserve"> </w:t>
      </w:r>
      <m:oMath>
        <m:r>
          <m:t>k</m:t>
        </m:r>
        <m:r>
          <m:rPr>
            <m:sty m:val="p"/>
          </m:rPr>
          <m:t>=</m:t>
        </m:r>
        <m:r>
          <m:t>1</m:t>
        </m:r>
      </m:oMath>
      <w:r>
        <w:t xml:space="preserve">, where estimates are dominated by distance ties;</w:t>
      </w:r>
      <w:r>
        <w:t xml:space="preserve"> </w:t>
      </w:r>
      <w:r>
        <w:t xml:space="preserve">see §4.10). The race curve, not any single</w:t>
      </w:r>
      <w:r>
        <w:t xml:space="preserve"> </w:t>
      </w:r>
      <w:r>
        <w:t xml:space="preserve">point on it, is the primary finding;</w:t>
      </w:r>
      <w:r>
        <w:t xml:space="preserve"> </w:t>
      </w:r>
      <m:oMath>
        <m:r>
          <m:t>k</m:t>
        </m:r>
        <m:r>
          <m:rPr>
            <m:sty m:val="p"/>
          </m:rPr>
          <m:t>=</m:t>
        </m:r>
        <m:r>
          <m:t>20</m:t>
        </m:r>
      </m:oMath>
      <w:r>
        <w:t xml:space="preserve"> </w:t>
      </w:r>
      <w:r>
        <w:t xml:space="preserve">is used below as an</w:t>
      </w:r>
      <w:r>
        <w:t xml:space="preserve"> </w:t>
      </w:r>
      <w:r>
        <w:t xml:space="preserve">illustrative scale for the detailed diagnostics.</w:t>
      </w:r>
    </w:p>
    <w:p>
      <w:pPr>
        <w:pStyle w:val="BodyText"/>
      </w:pPr>
      <w:r>
        <w:rPr>
          <w:b/>
          <w:bCs/>
        </w:rPr>
        <w:t xml:space="preserve">The sex result.</w:t>
      </w:r>
      <w:r>
        <w:t xml:space="preserve"> </w:t>
      </w:r>
      <w:r>
        <w:t xml:space="preserve">LBI(sex) is</w:t>
      </w:r>
      <w:r>
        <w:t xml:space="preserve"> </w:t>
      </w:r>
      <w:r>
        <w:rPr>
          <w:i/>
          <w:iCs/>
        </w:rPr>
        <w:t xml:space="preserve">not</w:t>
      </w:r>
      <w:r>
        <w:t xml:space="preserve"> </w:t>
      </w:r>
      <w:r>
        <w:t xml:space="preserve">distinguishable from</w:t>
      </w:r>
      <w:r>
        <w:t xml:space="preserve"> </w:t>
      </w:r>
      <m:oMath>
        <m:r>
          <m:t>1</m:t>
        </m:r>
      </m:oMath>
      <w:r>
        <w:t xml:space="preserve"> </w:t>
      </w:r>
      <w:r>
        <w:t xml:space="preserve">at small and moderate scales: the point estimate is below</w:t>
      </w:r>
      <w:r>
        <w:t xml:space="preserve"> </w:t>
      </w:r>
      <m:oMath>
        <m:r>
          <m:t>1</m:t>
        </m:r>
      </m:oMath>
      <w:r>
        <w:t xml:space="preserve"> </w:t>
      </w:r>
      <w:r>
        <w:t xml:space="preserve">at</w:t>
      </w:r>
      <w:r>
        <w:t xml:space="preserve"> </w:t>
      </w:r>
      <m:oMath>
        <m:r>
          <m:t>k</m:t>
        </m:r>
        <m:r>
          <m:rPr>
            <m:sty m:val="p"/>
          </m:rPr>
          <m:t>=</m:t>
        </m:r>
        <m:r>
          <m:t>1</m:t>
        </m:r>
      </m:oMath>
      <w:r>
        <w:t xml:space="preserve"> </w:t>
      </w:r>
      <w:r>
        <w:t xml:space="preserve">(</w:t>
      </w:r>
      <m:oMath>
        <m:r>
          <m:t>0.962</m:t>
        </m:r>
      </m:oMath>
      <w:r>
        <w:t xml:space="preserve">) and the pointwise CIs include</w:t>
      </w:r>
      <w:r>
        <w:t xml:space="preserve"> </w:t>
      </w:r>
      <m:oMath>
        <m:r>
          <m:t>1</m:t>
        </m:r>
      </m:oMath>
      <w:r>
        <w:t xml:space="preserve"> </w:t>
      </w:r>
      <w:r>
        <w:t xml:space="preserve">for all</w:t>
      </w:r>
      <w:r>
        <w:t xml:space="preserve"> </w:t>
      </w:r>
      <m:oMath>
        <m:r>
          <m:t>k</m:t>
        </m:r>
        <m:r>
          <m:rPr>
            <m:sty m:val="p"/>
          </m:rPr>
          <m:t>≤</m:t>
        </m:r>
        <m:r>
          <m:t>20</m:t>
        </m:r>
      </m:oMath>
      <w:r>
        <w:t xml:space="preserve">. Only at</w:t>
      </w:r>
      <w:r>
        <w:t xml:space="preserve"> </w:t>
      </w:r>
      <m:oMath>
        <m:r>
          <m:t>k</m:t>
        </m:r>
        <m:r>
          <m:rPr>
            <m:sty m:val="p"/>
          </m:rPr>
          <m:t>=</m:t>
        </m:r>
        <m:r>
          <m:t>50</m:t>
        </m:r>
      </m:oMath>
      <w:r>
        <w:t xml:space="preserve"> </w:t>
      </w:r>
      <w:r>
        <w:t xml:space="preserve">and</w:t>
      </w:r>
      <w:r>
        <w:t xml:space="preserve"> </w:t>
      </w:r>
      <m:oMath>
        <m:r>
          <m:t>100</m:t>
        </m:r>
      </m:oMath>
      <w:r>
        <w:t xml:space="preserve">—scales at which matches are</w:t>
      </w:r>
      <w:r>
        <w:t xml:space="preserve"> </w:t>
      </w:r>
      <w:r>
        <w:t xml:space="preserve">loose—do the intervals exclude</w:t>
      </w:r>
      <w:r>
        <w:t xml:space="preserve"> </w:t>
      </w:r>
      <m:oMath>
        <m:r>
          <m:t>1</m:t>
        </m:r>
      </m:oMath>
      <w:r>
        <w:t xml:space="preserve">, and the global multiscale</w:t>
      </w:r>
      <w:r>
        <w:t xml:space="preserve"> </w:t>
      </w:r>
      <w:r>
        <w:t xml:space="preserve">randomization tests of §4.6 do not reject</w:t>
      </w:r>
      <w:r>
        <w:t xml:space="preserve"> </w:t>
      </w:r>
      <w:r>
        <w:t xml:space="preserve">label independence for sex (plain permutation</w:t>
      </w:r>
      <w:r>
        <w:t xml:space="preserve"> </w:t>
      </w:r>
      <m:oMath>
        <m:r>
          <m:t>p</m:t>
        </m:r>
        <m:r>
          <m:rPr>
            <m:sty m:val="p"/>
          </m:rPr>
          <m:t>=</m:t>
        </m:r>
        <m:r>
          <m:t>0.39</m:t>
        </m:r>
      </m:oMath>
      <w:r>
        <w:t xml:space="preserve">, conditional</w:t>
      </w:r>
      <w:r>
        <w:t xml:space="preserve"> </w:t>
      </w:r>
      <w:r>
        <w:t xml:space="preserve">test</w:t>
      </w:r>
      <w:r>
        <w:t xml:space="preserve"> </w:t>
      </w:r>
      <m:oMath>
        <m:r>
          <m:t>p</m:t>
        </m:r>
        <m:r>
          <m:rPr>
            <m:sty m:val="p"/>
          </m:rPr>
          <m:t>=</m:t>
        </m:r>
        <m:r>
          <m:t>0.90</m:t>
        </m:r>
      </m:oMath>
      <w:r>
        <w:t xml:space="preserve">). An earlier version of this paper described the sex</w:t>
      </w:r>
      <w:r>
        <w:t xml:space="preserve"> </w:t>
      </w:r>
      <w:r>
        <w:t xml:space="preserve">effect as real but smaller than the race effect; the corrected</w:t>
      </w:r>
      <w:r>
        <w:t xml:space="preserve"> </w:t>
      </w:r>
      <w:r>
        <w:t xml:space="preserve">inference does not support that claim, and we withdraw it. We note</w:t>
      </w:r>
      <w:r>
        <w:t xml:space="preserve"> </w:t>
      </w:r>
      <w:r>
        <w:t xml:space="preserve">also that a nonzero LBI(sex) would not carry the same normative</w:t>
      </w:r>
      <w:r>
        <w:t xml:space="preserve"> </w:t>
      </w:r>
      <w:r>
        <w:t xml:space="preserve">significance as LBI(race): courts have upheld express consideration</w:t>
      </w:r>
      <w:r>
        <w:t xml:space="preserve"> </w:t>
      </w:r>
      <w:r>
        <w:t xml:space="preserve">of sex in risk assessment (§6.3), so LBI(sex) is</w:t>
      </w:r>
      <w:r>
        <w:t xml:space="preserve"> </w:t>
      </w:r>
      <w:r>
        <w:t xml:space="preserve">reported as a methodological comparison, not an alleged violation.</w:t>
      </w:r>
    </w:p>
    <w:p>
      <w:pPr>
        <w:pStyle w:val="BodyText"/>
      </w:pPr>
      <w:r>
        <w:rPr>
          <w:b/>
          <w:bCs/>
        </w:rPr>
        <w:t xml:space="preserve">Focal-group decomposition.</w:t>
      </w:r>
      <w:r>
        <w:t xml:space="preserve"> </w:t>
      </w:r>
      <w:r>
        <w:t xml:space="preserve">Averaging over all defendants</w:t>
      </w:r>
      <w:r>
        <w:t xml:space="preserve"> </w:t>
      </w:r>
      <w:r>
        <w:t xml:space="preserve">weights the larger group (African-American, 60.2 %) more heavily.</w:t>
      </w:r>
      <w:r>
        <w:t xml:space="preserve"> </w:t>
      </w:r>
      <w:r>
        <w:t xml:space="preserve">Computing the index separately by focal group at</w:t>
      </w:r>
      <w:r>
        <w:t xml:space="preserve"> </w:t>
      </w:r>
      <m:oMath>
        <m:r>
          <m:t>k</m:t>
        </m:r>
        <m:r>
          <m:rPr>
            <m:sty m:val="p"/>
          </m:rPr>
          <m:t>=</m:t>
        </m:r>
        <m:r>
          <m:t>20</m:t>
        </m:r>
      </m:oMath>
      <w:r>
        <w:t xml:space="preserve"> </w:t>
      </w:r>
      <w:r>
        <w:t xml:space="preserve">gives</w:t>
      </w:r>
      <w:r>
        <w:t xml:space="preserve"> </w:t>
      </w:r>
      <m:oMath>
        <m:sSub>
          <m:e>
            <m:r>
              <m:rPr>
                <m:sty m:val="p"/>
              </m:rPr>
              <m:t>L</m:t>
            </m:r>
            <m:r>
              <m:rPr>
                <m:sty m:val="p"/>
              </m:rPr>
              <m:t>B</m:t>
            </m:r>
            <m:r>
              <m:rPr>
                <m:sty m:val="p"/>
              </m:rPr>
              <m:t>I</m:t>
            </m:r>
          </m:e>
          <m:sub>
            <m:r>
              <m:rPr>
                <m:nor/>
                <m:sty m:val="p"/>
              </m:rPr>
              <m:t>Black focal</m:t>
            </m:r>
          </m:sub>
        </m:sSub>
        <m:r>
          <m:rPr>
            <m:sty m:val="p"/>
          </m:rPr>
          <m:t>=</m:t>
        </m:r>
        <m:r>
          <m:t>1.027</m:t>
        </m:r>
      </m:oMath>
      <w:r>
        <w:t xml:space="preserve"> </w:t>
      </w:r>
      <m:oMath>
        <m:r>
          <m:rPr>
            <m:sty m:val="p"/>
          </m:rPr>
          <m:t>[</m:t>
        </m:r>
        <m:r>
          <m:t>1.015</m:t>
        </m:r>
        <m:r>
          <m:rPr>
            <m:sty m:val="p"/>
          </m:rPr>
          <m:t>,</m:t>
        </m:r>
        <m:r>
          <m:t>1.039</m:t>
        </m:r>
        <m:r>
          <m:rPr>
            <m:sty m:val="p"/>
          </m:rPr>
          <m:t>]</m:t>
        </m:r>
      </m:oMath>
      <w:r>
        <w:t xml:space="preserve"> </w:t>
      </w:r>
      <w:r>
        <w:t xml:space="preserve">and</w:t>
      </w:r>
      <w:r>
        <w:t xml:space="preserve"> </w:t>
      </w:r>
      <m:oMath>
        <m:sSub>
          <m:e>
            <m:r>
              <m:rPr>
                <m:sty m:val="p"/>
              </m:rPr>
              <m:t>L</m:t>
            </m:r>
            <m:r>
              <m:rPr>
                <m:sty m:val="p"/>
              </m:rPr>
              <m:t>B</m:t>
            </m:r>
            <m:r>
              <m:rPr>
                <m:sty m:val="p"/>
              </m:rPr>
              <m:t>I</m:t>
            </m:r>
          </m:e>
          <m:sub>
            <m:r>
              <m:rPr>
                <m:nor/>
                <m:sty m:val="p"/>
              </m:rPr>
              <m:t>White focal</m:t>
            </m:r>
          </m:sub>
        </m:sSub>
        <m:r>
          <m:rPr>
            <m:sty m:val="p"/>
          </m:rPr>
          <m:t>=</m:t>
        </m:r>
        <m:r>
          <m:t>1.087</m:t>
        </m:r>
      </m:oMath>
      <w:r>
        <w:t xml:space="preserve"> </w:t>
      </w:r>
      <m:oMath>
        <m:r>
          <m:rPr>
            <m:sty m:val="p"/>
          </m:rPr>
          <m:t>[</m:t>
        </m:r>
        <m:r>
          <m:t>1.071</m:t>
        </m:r>
        <m:r>
          <m:rPr>
            <m:sty m:val="p"/>
          </m:rPr>
          <m:t>,</m:t>
        </m:r>
        <m:r>
          <m:t>1.102</m:t>
        </m:r>
        <m:r>
          <m:rPr>
            <m:sty m:val="p"/>
          </m:rPr>
          <m:t>]</m:t>
        </m:r>
      </m:oMath>
      <w:r>
        <w:t xml:space="preserve">; the</w:t>
      </w:r>
      <w:r>
        <w:t xml:space="preserve"> </w:t>
      </w:r>
      <w:r>
        <w:t xml:space="preserve">group-balanced index (equal-weight average of the two focal groups’</w:t>
      </w:r>
      <w:r>
        <w:t xml:space="preserve"> </w:t>
      </w:r>
      <w:r>
        <w:t xml:space="preserve">numerators and denominators) is</w:t>
      </w:r>
      <w:r>
        <w:t xml:space="preserve"> </w:t>
      </w:r>
      <m:oMath>
        <m:r>
          <m:t>1.055</m:t>
        </m:r>
      </m:oMath>
      <w:r>
        <w:t xml:space="preserve">. The disparity is thus</w:t>
      </w:r>
      <w:r>
        <w:t xml:space="preserve"> </w:t>
      </w:r>
      <w:r>
        <w:t xml:space="preserve">asymmetric: White defendants’ scores diverge from their matched</w:t>
      </w:r>
      <w:r>
        <w:t xml:space="preserve"> </w:t>
      </w:r>
      <w:r>
        <w:t xml:space="preserve">Black neighbours substantially more than the reverse, consistent</w:t>
      </w:r>
      <w:r>
        <w:t xml:space="preserve"> </w:t>
      </w:r>
      <w:r>
        <w:t xml:space="preserve">with matched Black neighbours receiving systematically different</w:t>
      </w:r>
      <w:r>
        <w:t xml:space="preserve"> </w:t>
      </w:r>
      <w:r>
        <w:t xml:space="preserve">(higher) scores in the neighbourhoods of White focal defendants.</w:t>
      </w:r>
    </w:p>
    <w:bookmarkStart w:id="27" w:name="fig:lbi-by-attribute"/>
    <w:p>
      <w:pPr>
        <w:pStyle w:val="CaptionedFigure"/>
      </w:pPr>
      <w:r>
        <w:drawing>
          <wp:inline>
            <wp:extent cx="4000500" cy="2571750"/>
            <wp:effectExtent b="0" l="0" r="0" t="0"/>
            <wp:docPr descr="" title="" id="25" name="Picture"/>
            <a:graphic>
              <a:graphicData uri="http://schemas.openxmlformats.org/drawingml/2006/picture">
                <pic:pic>
                  <pic:nvPicPr>
                    <pic:cNvPr descr="figures/lbi_by_attribute.png" id="26" name="Picture"/>
                    <pic:cNvPicPr>
                      <a:picLocks noChangeArrowheads="1" noChangeAspect="1"/>
                    </pic:cNvPicPr>
                  </pic:nvPicPr>
                  <pic:blipFill>
                    <a:blip r:embed="rId24"/>
                    <a:stretch>
                      <a:fillRect/>
                    </a:stretch>
                  </pic:blipFill>
                  <pic:spPr bwMode="auto">
                    <a:xfrm>
                      <a:off x="0" y="0"/>
                      <a:ext cx="4000500" cy="2571750"/>
                    </a:xfrm>
                    <a:prstGeom prst="rect">
                      <a:avLst/>
                    </a:prstGeom>
                    <a:noFill/>
                    <a:ln w="9525">
                      <a:noFill/>
                      <a:headEnd/>
                      <a:tailEnd/>
                    </a:ln>
                  </pic:spPr>
                </pic:pic>
              </a:graphicData>
            </a:graphic>
          </wp:inline>
        </w:drawing>
      </w:r>
    </w:p>
    <w:p>
      <w:pPr>
        <w:pStyle w:val="ImageCaption"/>
      </w:pPr>
      <w:r>
        <w:t xml:space="preserve">Figure 1: COMPAS Legal Bond Index by protected attribute, across</w:t>
      </w:r>
      <w:r>
        <w:t xml:space="preserve"> </w:t>
      </w:r>
      <w:r>
        <w:t xml:space="preserve">neighbourhood scales</w:t>
      </w:r>
      <w:r>
        <w:t xml:space="preserve"> </w:t>
      </w:r>
      <m:oMath>
        <m:r>
          <m:t>k</m:t>
        </m:r>
      </m:oMath>
      <w:r>
        <w:t xml:space="preserve">. Bars show pointwise 95 % bootstrap CIs</w:t>
      </w:r>
      <w:r>
        <w:t xml:space="preserve"> </w:t>
      </w:r>
      <w:r>
        <w:t xml:space="preserve">with neighbourhoods re-formed in every replicate. The race curve is</w:t>
      </w:r>
      <w:r>
        <w:t xml:space="preserve"> </w:t>
      </w:r>
      <w:r>
        <w:t xml:space="preserve">above</w:t>
      </w:r>
      <w:r>
        <w:t xml:space="preserve"> </w:t>
      </w:r>
      <m:oMath>
        <m:r>
          <m:t>1</m:t>
        </m:r>
      </m:oMath>
      <w:r>
        <w:t xml:space="preserve"> </w:t>
      </w:r>
      <w:r>
        <w:t xml:space="preserve">at every scale; the sex curve is not distinguishable from</w:t>
      </w:r>
      <w:r>
        <w:t xml:space="preserve"> </w:t>
      </w:r>
      <m:oMath>
        <m:r>
          <m:t>1</m:t>
        </m:r>
      </m:oMath>
      <w:r>
        <w:t xml:space="preserve"> </w:t>
      </w:r>
      <w:r>
        <w:t xml:space="preserve">at</w:t>
      </w:r>
      <w:r>
        <w:t xml:space="preserve"> </w:t>
      </w:r>
      <m:oMath>
        <m:r>
          <m:t>k</m:t>
        </m:r>
        <m:r>
          <m:rPr>
            <m:sty m:val="p"/>
          </m:rPr>
          <m:t>≤</m:t>
        </m:r>
        <m:r>
          <m:t>20</m:t>
        </m:r>
      </m:oMath>
      <w:r>
        <w:t xml:space="preserve"> </w:t>
      </w:r>
      <w:r>
        <w:t xml:space="preserve">and its global randomization test does not reject</w:t>
      </w:r>
      <w:r>
        <w:t xml:space="preserve"> </w:t>
      </w:r>
      <w:r>
        <w:t xml:space="preserve">(§4.6). The horizontal dashed line marks</w:t>
      </w:r>
      <w:r>
        <w:t xml:space="preserve"> </w:t>
      </w:r>
      <w:r>
        <w:t xml:space="preserve">LBI</w:t>
      </w:r>
      <w:r>
        <w:t xml:space="preserve"> </w:t>
      </w:r>
      <m:oMath>
        <m:r>
          <m:rPr>
            <m:sty m:val="p"/>
          </m:rPr>
          <m:t>=</m:t>
        </m:r>
        <m:r>
          <m:t>1</m:t>
        </m:r>
      </m:oMath>
      <w:r>
        <w:t xml:space="preserve">.</w:t>
      </w:r>
    </w:p>
    <w:bookmarkEnd w:id="27"/>
    <w:bookmarkEnd w:id="28"/>
    <w:bookmarkStart w:id="39" w:name="sec:distdiag"/>
    <w:p>
      <w:pPr>
        <w:pStyle w:val="Heading2"/>
      </w:pPr>
      <w:r>
        <w:t xml:space="preserve">Are cross-race neighbours worse-matched?</w:t>
      </w:r>
    </w:p>
    <w:p>
      <w:pPr>
        <w:pStyle w:val="FirstParagraph"/>
      </w:pPr>
      <w:r>
        <w:t xml:space="preserve">Definition 1 compares each defendant with two different</w:t>
      </w:r>
      <w:r>
        <w:t xml:space="preserve"> </w:t>
      </w:r>
      <w:r>
        <w:t xml:space="preserve">neighbour sets, and nothing in the definition forces those sets to be</w:t>
      </w:r>
      <w:r>
        <w:t xml:space="preserve"> </w:t>
      </w:r>
      <w:r>
        <w:t xml:space="preserve">equally close. If opposite-race neighbours are systematically farther</w:t>
      </w:r>
      <w:r>
        <w:t xml:space="preserve"> </w:t>
      </w:r>
      <w:r>
        <w:t xml:space="preserve">away in the legitimate-feature space, their scores may differ more</w:t>
      </w:r>
      <w:r>
        <w:t xml:space="preserve"> </w:t>
      </w:r>
      <w:r>
        <w:t xml:space="preserve">even under a completely race-blind scoring function, mechanically</w:t>
      </w:r>
      <w:r>
        <w:t xml:space="preserve"> </w:t>
      </w:r>
      <w:r>
        <w:t xml:space="preserve">producing</w:t>
      </w:r>
      <w:r>
        <w:t xml:space="preserve"> </w:t>
      </w:r>
      <m:oMath>
        <m:r>
          <m:rPr>
            <m:sty m:val="p"/>
          </m:rPr>
          <m:t>L</m:t>
        </m:r>
        <m:r>
          <m:rPr>
            <m:sty m:val="p"/>
          </m:rPr>
          <m:t>B</m:t>
        </m:r>
        <m:r>
          <m:rPr>
            <m:sty m:val="p"/>
          </m:rPr>
          <m:t>I</m:t>
        </m:r>
        <m:r>
          <m:rPr>
            <m:sty m:val="p"/>
          </m:rPr>
          <m:t>&gt;</m:t>
        </m:r>
        <m:r>
          <m:t>1</m:t>
        </m:r>
      </m:oMath>
      <w:r>
        <w:t xml:space="preserve">. This subsection measures that gap</w:t>
      </w:r>
      <w:r>
        <w:t xml:space="preserve"> </w:t>
      </w:r>
      <w:r>
        <w:t xml:space="preserve">directly and re-estimates the index under specifications that force</w:t>
      </w:r>
      <w:r>
        <w:t xml:space="preserve"> </w:t>
      </w:r>
      <w:r>
        <w:t xml:space="preserve">matching parity. The answer, in brief: the gap is real, it accounts</w:t>
      </w:r>
      <w:r>
        <w:t xml:space="preserve"> </w:t>
      </w:r>
      <w:r>
        <w:t xml:space="preserve">for part—but not all—of the unadjusted index, and quantifying it</w:t>
      </w:r>
      <w:r>
        <w:t xml:space="preserve"> </w:t>
      </w:r>
      <w:r>
        <w:t xml:space="preserve">changes the honest summary of the COMPAS result.</w:t>
      </w:r>
    </w:p>
    <w:p>
      <w:pPr>
        <w:pStyle w:val="BodyText"/>
      </w:pPr>
      <w:r>
        <w:rPr>
          <w:b/>
          <w:bCs/>
        </w:rPr>
        <w:t xml:space="preserve">The matching gap.</w:t>
      </w:r>
      <w:r>
        <w:t xml:space="preserve"> </w:t>
      </w:r>
      <w:r>
        <w:t xml:space="preserve">Cross-race neighbours are indeed farther</w:t>
      </w:r>
      <w:r>
        <w:t xml:space="preserve"> </w:t>
      </w:r>
      <w:r>
        <w:t xml:space="preserve">(Table 3; Figure 2): at</w:t>
      </w:r>
      <w:r>
        <w:t xml:space="preserve"> </w:t>
      </w:r>
      <m:oMath>
        <m:r>
          <m:t>k</m:t>
        </m:r>
        <m:r>
          <m:rPr>
            <m:sty m:val="p"/>
          </m:rPr>
          <m:t>=</m:t>
        </m:r>
        <m:r>
          <m:t>20</m:t>
        </m:r>
      </m:oMath>
      <w:r>
        <w:t xml:space="preserve"> </w:t>
      </w:r>
      <w:r>
        <w:t xml:space="preserve">the mean Mahalanobis distance to cross-race neighbours is</w:t>
      </w:r>
      <w:r>
        <w:t xml:space="preserve"> </w:t>
      </w:r>
      <m:oMath>
        <m:r>
          <m:t>0.458</m:t>
        </m:r>
      </m:oMath>
      <w:r>
        <w:t xml:space="preserve"> </w:t>
      </w:r>
      <w:r>
        <w:t xml:space="preserve">versus</w:t>
      </w:r>
      <w:r>
        <w:t xml:space="preserve"> </w:t>
      </w:r>
      <m:oMath>
        <m:r>
          <m:t>0.357</m:t>
        </m:r>
      </m:oMath>
      <w:r>
        <w:t xml:space="preserve"> </w:t>
      </w:r>
      <w:r>
        <w:t xml:space="preserve">to same-race neighbours, a ratio of</w:t>
      </w:r>
      <w:r>
        <w:t xml:space="preserve"> </w:t>
      </w:r>
      <m:oMath>
        <m:r>
          <m:t>1.28</m:t>
        </m:r>
      </m:oMath>
      <w:r>
        <w:t xml:space="preserve">, shrinking</w:t>
      </w:r>
      <w:r>
        <w:t xml:space="preserve"> </w:t>
      </w:r>
      <w:r>
        <w:t xml:space="preserve">monotonically with</w:t>
      </w:r>
      <w:r>
        <w:t xml:space="preserve"> </w:t>
      </w:r>
      <m:oMath>
        <m:r>
          <m:t>k</m:t>
        </m:r>
      </m:oMath>
      <w:r>
        <w:t xml:space="preserve"> </w:t>
      </w:r>
      <w:r>
        <w:t xml:space="preserve">(from</w:t>
      </w:r>
      <w:r>
        <w:t xml:space="preserve"> </w:t>
      </w:r>
      <m:oMath>
        <m:r>
          <m:t>1.52</m:t>
        </m:r>
      </m:oMath>
      <w:r>
        <w:t xml:space="preserve"> </w:t>
      </w:r>
      <w:r>
        <w:t xml:space="preserve">at</w:t>
      </w:r>
      <w:r>
        <w:t xml:space="preserve"> </w:t>
      </w:r>
      <m:oMath>
        <m:r>
          <m:t>k</m:t>
        </m:r>
        <m:r>
          <m:rPr>
            <m:sty m:val="p"/>
          </m:rPr>
          <m:t>=</m:t>
        </m:r>
        <m:r>
          <m:t>1</m:t>
        </m:r>
      </m:oMath>
      <w:r>
        <w:t xml:space="preserve"> </w:t>
      </w:r>
      <w:r>
        <w:t xml:space="preserve">to</w:t>
      </w:r>
      <w:r>
        <w:t xml:space="preserve"> </w:t>
      </w:r>
      <m:oMath>
        <m:r>
          <m:t>1.17</m:t>
        </m:r>
      </m:oMath>
      <w:r>
        <w:t xml:space="preserve"> </w:t>
      </w:r>
      <w:r>
        <w:t xml:space="preserve">at</w:t>
      </w:r>
      <w:r>
        <w:t xml:space="preserve"> </w:t>
      </w:r>
      <m:oMath>
        <m:r>
          <m:t>k</m:t>
        </m:r>
        <m:r>
          <m:rPr>
            <m:sty m:val="p"/>
          </m:rPr>
          <m:t>=</m:t>
        </m:r>
        <m:r>
          <m:t>100</m:t>
        </m:r>
      </m:oMath>
      <w:r>
        <w:t xml:space="preserve">); the medians tell the same story (</w:t>
      </w:r>
      <m:oMath>
        <m:r>
          <m:t>0.143</m:t>
        </m:r>
      </m:oMath>
      <w:r>
        <w:t xml:space="preserve"> </w:t>
      </w:r>
      <w:r>
        <w:t xml:space="preserve">cross vs. </w:t>
      </w:r>
      <m:oMath>
        <m:r>
          <m:t>0.120</m:t>
        </m:r>
      </m:oMath>
      <w:r>
        <w:t xml:space="preserve"> </w:t>
      </w:r>
      <w:r>
        <w:t xml:space="preserve">same at</w:t>
      </w:r>
      <w:r>
        <w:t xml:space="preserve"> </w:t>
      </w:r>
      <m:oMath>
        <m:r>
          <m:t>k</m:t>
        </m:r>
        <m:r>
          <m:rPr>
            <m:sty m:val="p"/>
          </m:rPr>
          <m:t>=</m:t>
        </m:r>
        <m:r>
          <m:t>20</m:t>
        </m:r>
      </m:oMath>
      <w:r>
        <w:t xml:space="preserve">), so the gap is not an artifact of a few</w:t>
      </w:r>
      <w:r>
        <w:t xml:space="preserve"> </w:t>
      </w:r>
      <w:r>
        <w:t xml:space="preserve">extreme defendants. Per-feature balance shows the same picture: the mean</w:t>
      </w:r>
      <w:r>
        <w:t xml:space="preserve"> </w:t>
      </w:r>
      <w:r>
        <w:t xml:space="preserve">absolute standardized difference between a defendant and their</w:t>
      </w:r>
      <w:r>
        <w:t xml:space="preserve"> </w:t>
      </w:r>
      <w:r>
        <w:t xml:space="preserve">cross-race neighbours exceeds the same-race value on every feature,</w:t>
      </w:r>
      <w:r>
        <w:t xml:space="preserve"> </w:t>
      </w:r>
      <w:r>
        <w:t xml:space="preserve">most markedly on prior counts (</w:t>
      </w:r>
      <m:oMath>
        <m:r>
          <m:t>0.187</m:t>
        </m:r>
      </m:oMath>
      <w:r>
        <w:t xml:space="preserve"> </w:t>
      </w:r>
      <w:r>
        <w:t xml:space="preserve">vs. </w:t>
      </w:r>
      <m:oMath>
        <m:r>
          <m:t>0.141</m:t>
        </m:r>
      </m:oMath>
      <w:r>
        <w:t xml:space="preserve">) and juvenile</w:t>
      </w:r>
      <w:r>
        <w:t xml:space="preserve"> </w:t>
      </w:r>
      <w:r>
        <w:t xml:space="preserve">felony counts (</w:t>
      </w:r>
      <m:oMath>
        <m:r>
          <m:t>0.082</m:t>
        </m:r>
      </m:oMath>
      <w:r>
        <w:t xml:space="preserve"> </w:t>
      </w:r>
      <w:r>
        <w:t xml:space="preserve">vs. </w:t>
      </w:r>
      <m:oMath>
        <m:r>
          <m:t>0.046</m:t>
        </m:r>
      </m:oMath>
      <w:r>
        <w:t xml:space="preserve">). Common support, by contrast,</w:t>
      </w:r>
      <w:r>
        <w:t xml:space="preserve"> </w:t>
      </w:r>
      <w:r>
        <w:t xml:space="preserve">is not a problem: on a logistic propensity score</w:t>
      </w:r>
      <w:r>
        <w:t xml:space="preserve"> </w:t>
      </w:r>
      <m:oMath>
        <m:acc>
          <m:accPr>
            <m:chr m:val="̂"/>
          </m:accPr>
          <m:e>
            <m:r>
              <m:t>P</m:t>
            </m:r>
          </m:e>
        </m:acc>
        <m:r>
          <m:rPr>
            <m:sty m:val="p"/>
          </m:rPr>
          <m:t>(</m:t>
        </m:r>
        <m:r>
          <m:rPr>
            <m:nor/>
            <m:sty m:val="p"/>
          </m:rPr>
          <m:t>race</m:t>
        </m:r>
        <m:r>
          <m:rPr>
            <m:sty m:val="p"/>
          </m:rPr>
          <m:t>∣</m:t>
        </m:r>
        <m:r>
          <m:rPr>
            <m:sty m:val="b"/>
          </m:rPr>
          <m:t>x</m:t>
        </m:r>
        <m:r>
          <m:rPr>
            <m:sty m:val="p"/>
          </m:rPr>
          <m:t>)</m:t>
        </m:r>
      </m:oMath>
      <w:r>
        <w:t xml:space="preserve">, 99.8 % of defendants lie in</w:t>
      </w:r>
      <w:r>
        <w:t xml:space="preserve"> </w:t>
      </w:r>
      <w:r>
        <w:t xml:space="preserve">the common-support interval, and restricting to that region leaves</w:t>
      </w:r>
      <w:r>
        <w:t xml:space="preserve"> </w:t>
      </w:r>
      <w:r>
        <w:t xml:space="preserve">the index unchanged (</w:t>
      </w:r>
      <m:oMath>
        <m:r>
          <m:t>1.048</m:t>
        </m:r>
      </m:oMath>
      <w:r>
        <w:t xml:space="preserve">).</w:t>
      </w:r>
    </w:p>
    <w:bookmarkStart w:id="29" w:name="tab:distdiag"/>
    <w:p>
      <w:pPr>
        <w:pStyle w:val="TableCaption"/>
      </w:pPr>
      <w:r>
        <w:t xml:space="preserve">Table 3: Distance diagnostics: mean Mahalanobis distance from each</w:t>
      </w:r>
      <w:r>
        <w:t xml:space="preserve"> </w:t>
      </w:r>
      <w:r>
        <w:t xml:space="preserve">defendant to their</w:t>
      </w:r>
      <w:r>
        <w:t xml:space="preserve"> </w:t>
      </w:r>
      <m:oMath>
        <m:r>
          <m:t>k</m:t>
        </m:r>
      </m:oMath>
      <w:r>
        <w:t xml:space="preserve"> </w:t>
      </w:r>
      <w:r>
        <w:t xml:space="preserve">nearest same-race and cross-race neighbours.</w:t>
      </w:r>
    </w:p>
    <w:tbl>
      <w:tblPr>
        <w:tblStyle w:val="Table"/>
        <w:tblW w:type="auto" w:w="0"/>
        <w:tblLook w:firstRow="1" w:lastRow="0" w:firstColumn="0" w:lastColumn="0" w:noHBand="0" w:noVBand="0" w:val="0020"/>
        <w:tblCaption w:val="Table 3: Distance diagnostics: mean Mahalanobis distance from each defendant to their k nearest same-race and cross-race neighbours."/>
      </w:tblPr>
      <w:tblGrid>
        <w:gridCol w:w="1980"/>
        <w:gridCol w:w="1980"/>
        <w:gridCol w:w="1980"/>
        <w:gridCol w:w="1980"/>
      </w:tblGrid>
      <w:tr>
        <w:trPr>
          <w:tblHeader w:val="on"/>
        </w:trPr>
        <w:tc>
          <w:tcPr/>
          <w:p>
            <w:pPr>
              <w:pStyle w:val="Compact"/>
              <w:jc w:val="right"/>
            </w:pPr>
            <m:oMath>
              <m:r>
                <m:t>k</m:t>
              </m:r>
            </m:oMath>
          </w:p>
        </w:tc>
        <w:tc>
          <w:tcPr/>
          <w:p>
            <w:pPr>
              <w:pStyle w:val="Compact"/>
              <w:jc w:val="right"/>
            </w:pPr>
            <w:r>
              <w:t xml:space="preserve">same-race</w:t>
            </w:r>
          </w:p>
        </w:tc>
        <w:tc>
          <w:tcPr/>
          <w:p>
            <w:pPr>
              <w:pStyle w:val="Compact"/>
              <w:jc w:val="right"/>
            </w:pPr>
            <w:r>
              <w:t xml:space="preserve">cross-race</w:t>
            </w:r>
          </w:p>
        </w:tc>
        <w:tc>
          <w:tcPr/>
          <w:p>
            <w:pPr>
              <w:pStyle w:val="Compact"/>
              <w:jc w:val="right"/>
            </w:pPr>
            <w:r>
              <w:t xml:space="preserve">ratio</w:t>
            </w:r>
          </w:p>
        </w:tc>
      </w:tr>
      <w:tr>
        <w:tc>
          <w:tcPr/>
          <w:p>
            <w:pPr>
              <w:pStyle w:val="Compact"/>
              <w:jc w:val="right"/>
            </w:pPr>
            <w:r>
              <w:t xml:space="preserve">1</w:t>
            </w:r>
          </w:p>
        </w:tc>
        <w:tc>
          <w:tcPr/>
          <w:p>
            <w:pPr>
              <w:pStyle w:val="Compact"/>
              <w:jc w:val="right"/>
            </w:pPr>
            <w:r>
              <w:t xml:space="preserve">0.104</w:t>
            </w:r>
          </w:p>
        </w:tc>
        <w:tc>
          <w:tcPr/>
          <w:p>
            <w:pPr>
              <w:pStyle w:val="Compact"/>
              <w:jc w:val="right"/>
            </w:pPr>
            <w:r>
              <w:t xml:space="preserve">0.158</w:t>
            </w:r>
          </w:p>
        </w:tc>
        <w:tc>
          <w:tcPr/>
          <w:p>
            <w:pPr>
              <w:pStyle w:val="Compact"/>
              <w:jc w:val="right"/>
            </w:pPr>
            <w:r>
              <w:t xml:space="preserve">1.52</w:t>
            </w:r>
          </w:p>
        </w:tc>
      </w:tr>
      <w:tr>
        <w:tc>
          <w:tcPr/>
          <w:p>
            <w:pPr>
              <w:pStyle w:val="Compact"/>
              <w:jc w:val="right"/>
            </w:pPr>
            <w:r>
              <w:t xml:space="preserve">5</w:t>
            </w:r>
          </w:p>
        </w:tc>
        <w:tc>
          <w:tcPr/>
          <w:p>
            <w:pPr>
              <w:pStyle w:val="Compact"/>
              <w:jc w:val="right"/>
            </w:pPr>
            <w:r>
              <w:t xml:space="preserve">0.194</w:t>
            </w:r>
          </w:p>
        </w:tc>
        <w:tc>
          <w:tcPr/>
          <w:p>
            <w:pPr>
              <w:pStyle w:val="Compact"/>
              <w:jc w:val="right"/>
            </w:pPr>
            <w:r>
              <w:t xml:space="preserve">0.262</w:t>
            </w:r>
          </w:p>
        </w:tc>
        <w:tc>
          <w:tcPr/>
          <w:p>
            <w:pPr>
              <w:pStyle w:val="Compact"/>
              <w:jc w:val="right"/>
            </w:pPr>
            <w:r>
              <w:t xml:space="preserve">1.35</w:t>
            </w:r>
          </w:p>
        </w:tc>
      </w:tr>
      <w:tr>
        <w:tc>
          <w:tcPr/>
          <w:p>
            <w:pPr>
              <w:pStyle w:val="Compact"/>
              <w:jc w:val="right"/>
            </w:pPr>
            <w:r>
              <w:t xml:space="preserve">10</w:t>
            </w:r>
          </w:p>
        </w:tc>
        <w:tc>
          <w:tcPr/>
          <w:p>
            <w:pPr>
              <w:pStyle w:val="Compact"/>
              <w:jc w:val="right"/>
            </w:pPr>
            <w:r>
              <w:t xml:space="preserve">0.265</w:t>
            </w:r>
          </w:p>
        </w:tc>
        <w:tc>
          <w:tcPr/>
          <w:p>
            <w:pPr>
              <w:pStyle w:val="Compact"/>
              <w:jc w:val="right"/>
            </w:pPr>
            <w:r>
              <w:t xml:space="preserve">0.349</w:t>
            </w:r>
          </w:p>
        </w:tc>
        <w:tc>
          <w:tcPr/>
          <w:p>
            <w:pPr>
              <w:pStyle w:val="Compact"/>
              <w:jc w:val="right"/>
            </w:pPr>
            <w:r>
              <w:t xml:space="preserve">1.32</w:t>
            </w:r>
          </w:p>
        </w:tc>
      </w:tr>
      <w:tr>
        <w:tc>
          <w:tcPr/>
          <w:p>
            <w:pPr>
              <w:pStyle w:val="Compact"/>
              <w:jc w:val="right"/>
            </w:pPr>
            <w:r>
              <w:t xml:space="preserve">20</w:t>
            </w:r>
          </w:p>
        </w:tc>
        <w:tc>
          <w:tcPr/>
          <w:p>
            <w:pPr>
              <w:pStyle w:val="Compact"/>
              <w:jc w:val="right"/>
            </w:pPr>
            <w:r>
              <w:t xml:space="preserve">0.357</w:t>
            </w:r>
          </w:p>
        </w:tc>
        <w:tc>
          <w:tcPr/>
          <w:p>
            <w:pPr>
              <w:pStyle w:val="Compact"/>
              <w:jc w:val="right"/>
            </w:pPr>
            <w:r>
              <w:t xml:space="preserve">0.458</w:t>
            </w:r>
          </w:p>
        </w:tc>
        <w:tc>
          <w:tcPr/>
          <w:p>
            <w:pPr>
              <w:pStyle w:val="Compact"/>
              <w:jc w:val="right"/>
            </w:pPr>
            <w:r>
              <w:t xml:space="preserve">1.28</w:t>
            </w:r>
          </w:p>
        </w:tc>
      </w:tr>
      <w:tr>
        <w:tc>
          <w:tcPr/>
          <w:p>
            <w:pPr>
              <w:pStyle w:val="Compact"/>
              <w:jc w:val="right"/>
            </w:pPr>
            <w:r>
              <w:t xml:space="preserve">50</w:t>
            </w:r>
          </w:p>
        </w:tc>
        <w:tc>
          <w:tcPr/>
          <w:p>
            <w:pPr>
              <w:pStyle w:val="Compact"/>
              <w:jc w:val="right"/>
            </w:pPr>
            <w:r>
              <w:t xml:space="preserve">0.523</w:t>
            </w:r>
          </w:p>
        </w:tc>
        <w:tc>
          <w:tcPr/>
          <w:p>
            <w:pPr>
              <w:pStyle w:val="Compact"/>
              <w:jc w:val="right"/>
            </w:pPr>
            <w:r>
              <w:t xml:space="preserve">0.639</w:t>
            </w:r>
          </w:p>
        </w:tc>
        <w:tc>
          <w:tcPr/>
          <w:p>
            <w:pPr>
              <w:pStyle w:val="Compact"/>
              <w:jc w:val="right"/>
            </w:pPr>
            <w:r>
              <w:t xml:space="preserve">1.22</w:t>
            </w:r>
          </w:p>
        </w:tc>
      </w:tr>
      <w:tr>
        <w:tc>
          <w:tcPr/>
          <w:p>
            <w:pPr>
              <w:pStyle w:val="Compact"/>
              <w:jc w:val="right"/>
            </w:pPr>
            <w:r>
              <w:t xml:space="preserve">100</w:t>
            </w:r>
          </w:p>
        </w:tc>
        <w:tc>
          <w:tcPr/>
          <w:p>
            <w:pPr>
              <w:pStyle w:val="Compact"/>
              <w:jc w:val="right"/>
            </w:pPr>
            <w:r>
              <w:t xml:space="preserve">0.684</w:t>
            </w:r>
          </w:p>
        </w:tc>
        <w:tc>
          <w:tcPr/>
          <w:p>
            <w:pPr>
              <w:pStyle w:val="Compact"/>
              <w:jc w:val="right"/>
            </w:pPr>
            <w:r>
              <w:t xml:space="preserve">0.801</w:t>
            </w:r>
          </w:p>
        </w:tc>
        <w:tc>
          <w:tcPr/>
          <w:p>
            <w:pPr>
              <w:pStyle w:val="Compact"/>
              <w:jc w:val="right"/>
            </w:pPr>
            <w:r>
              <w:t xml:space="preserve">1.17</w:t>
            </w:r>
          </w:p>
        </w:tc>
      </w:tr>
    </w:tbl>
    <w:bookmarkEnd w:id="29"/>
    <w:bookmarkStart w:id="33" w:name="fig:distdiag"/>
    <w:p>
      <w:pPr>
        <w:pStyle w:val="CaptionedFigure"/>
      </w:pPr>
      <w:r>
        <w:drawing>
          <wp:inline>
            <wp:extent cx="4000500" cy="2571750"/>
            <wp:effectExtent b="0" l="0" r="0" t="0"/>
            <wp:docPr descr="" title="" id="31" name="Picture"/>
            <a:graphic>
              <a:graphicData uri="http://schemas.openxmlformats.org/drawingml/2006/picture">
                <pic:pic>
                  <pic:nvPicPr>
                    <pic:cNvPr descr="figures/distance_diagnostics.png" id="32" name="Picture"/>
                    <pic:cNvPicPr>
                      <a:picLocks noChangeArrowheads="1" noChangeAspect="1"/>
                    </pic:cNvPicPr>
                  </pic:nvPicPr>
                  <pic:blipFill>
                    <a:blip r:embed="rId30"/>
                    <a:stretch>
                      <a:fillRect/>
                    </a:stretch>
                  </pic:blipFill>
                  <pic:spPr bwMode="auto">
                    <a:xfrm>
                      <a:off x="0" y="0"/>
                      <a:ext cx="4000500" cy="2571750"/>
                    </a:xfrm>
                    <a:prstGeom prst="rect">
                      <a:avLst/>
                    </a:prstGeom>
                    <a:noFill/>
                    <a:ln w="9525">
                      <a:noFill/>
                      <a:headEnd/>
                      <a:tailEnd/>
                    </a:ln>
                  </pic:spPr>
                </pic:pic>
              </a:graphicData>
            </a:graphic>
          </wp:inline>
        </w:drawing>
      </w:r>
    </w:p>
    <w:p>
      <w:pPr>
        <w:pStyle w:val="ImageCaption"/>
      </w:pPr>
      <w:r>
        <w:t xml:space="preserve">Figure 2: Distribution over defendants of the mean Mahalanobis</w:t>
      </w:r>
      <w:r>
        <w:t xml:space="preserve"> </w:t>
      </w:r>
      <w:r>
        <w:t xml:space="preserve">distance to the 20 nearest same-race and cross-race neighbours.</w:t>
      </w:r>
      <w:r>
        <w:t xml:space="preserve"> </w:t>
      </w:r>
      <w:r>
        <w:t xml:space="preserve">Cross-race neighbours are systematically farther (mean ratio 1.28),</w:t>
      </w:r>
      <w:r>
        <w:t xml:space="preserve"> </w:t>
      </w:r>
      <w:r>
        <w:t xml:space="preserve">which by itself can inflate LBI under a race-blind score; the</w:t>
      </w:r>
      <w:r>
        <w:t xml:space="preserve"> </w:t>
      </w:r>
      <w:r>
        <w:t xml:space="preserve">specifications of §4.5 quantify how much.</w:t>
      </w:r>
    </w:p>
    <w:bookmarkEnd w:id="33"/>
    <w:p>
      <w:pPr>
        <w:pStyle w:val="BodyText"/>
      </w:pPr>
      <w:r>
        <w:rPr>
          <w:b/>
          <w:bCs/>
        </w:rPr>
        <w:t xml:space="preserve">Matching-parity specifications.</w:t>
      </w:r>
      <w:r>
        <w:t xml:space="preserve"> </w:t>
      </w:r>
      <w:r>
        <w:t xml:space="preserve">We re-estimate</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at</w:t>
      </w:r>
      <w:r>
        <w:t xml:space="preserve"> </w:t>
      </w:r>
      <m:oMath>
        <m:r>
          <m:t>k</m:t>
        </m:r>
        <m:r>
          <m:rPr>
            <m:sty m:val="p"/>
          </m:rPr>
          <m:t>=</m:t>
        </m:r>
        <m:r>
          <m:t>20</m:t>
        </m:r>
      </m:oMath>
      <w:r>
        <w:t xml:space="preserve"> </w:t>
      </w:r>
      <w:r>
        <w:t xml:space="preserve">under five specifications</w:t>
      </w:r>
      <w:r>
        <w:t xml:space="preserve"> </w:t>
      </w:r>
      <w:r>
        <w:t xml:space="preserve">that tighten or equalize matching quality</w:t>
      </w:r>
      <w:r>
        <w:t xml:space="preserve"> </w:t>
      </w:r>
      <w:r>
        <w:t xml:space="preserve">(Table 4):</w:t>
      </w:r>
    </w:p>
    <w:bookmarkStart w:id="34" w:name="tab:matchparity"/>
    <w:p>
      <w:pPr>
        <w:pStyle w:val="TableCaption"/>
      </w:pPr>
      <w:r>
        <w:t xml:space="preserve">Table 4:</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at</w:t>
      </w:r>
      <w:r>
        <w:t xml:space="preserve"> </w:t>
      </w:r>
      <m:oMath>
        <m:r>
          <m:t>k</m:t>
        </m:r>
        <m:r>
          <m:rPr>
            <m:sty m:val="p"/>
          </m:rPr>
          <m:t>=</m:t>
        </m:r>
        <m:r>
          <m:t>20</m:t>
        </m:r>
      </m:oMath>
      <w:r>
        <w:t xml:space="preserve"> </w:t>
      </w:r>
      <w:r>
        <w:t xml:space="preserve">under</w:t>
      </w:r>
      <w:r>
        <w:t xml:space="preserve"> </w:t>
      </w:r>
      <w:r>
        <w:t xml:space="preserve">matching-parity specifications. CIs for restricted specifications are</w:t>
      </w:r>
      <w:r>
        <w:t xml:space="preserve"> </w:t>
      </w:r>
      <w:r>
        <w:t xml:space="preserve">naive percentile bootstrap over per-defendant quantities and are</w:t>
      </w:r>
      <w:r>
        <w:t xml:space="preserve"> </w:t>
      </w:r>
      <w:r>
        <w:t xml:space="preserve">reported for orientation only.</w:t>
      </w:r>
    </w:p>
    <w:tbl>
      <w:tblPr>
        <w:tblStyle w:val="Table"/>
        <w:tblW w:type="auto" w:w="0"/>
        <w:tblLook w:firstRow="1" w:lastRow="0" w:firstColumn="0" w:lastColumn="0" w:noHBand="0" w:noVBand="0" w:val="0020"/>
        <w:tblCaption w:val="Table 4: \mathrm{LBI}(\text{race}) at k = 20 under matching-parity specifications. CIs for restricted specifications are naive percentile bootstrap over per-defendant quantities and are reported for orientation only."/>
      </w:tblPr>
      <w:tblGrid>
        <w:gridCol w:w="1980"/>
        <w:gridCol w:w="1980"/>
        <w:gridCol w:w="1980"/>
        <w:gridCol w:w="1980"/>
      </w:tblGrid>
      <w:tr>
        <w:trPr>
          <w:tblHeader w:val="on"/>
        </w:trPr>
        <w:tc>
          <w:tcPr/>
          <w:p>
            <w:pPr>
              <w:pStyle w:val="Compact"/>
              <w:jc w:val="left"/>
            </w:pPr>
            <w:r>
              <w:rPr>
                <w:b/>
                <w:bCs/>
              </w:rPr>
              <w:t xml:space="preserve">Specification</w:t>
            </w:r>
          </w:p>
        </w:tc>
        <w:tc>
          <w:tcPr/>
          <w:p>
            <w:pPr>
              <w:pStyle w:val="Compact"/>
              <w:jc w:val="right"/>
            </w:pPr>
            <w:r>
              <w:rPr>
                <w:b/>
                <w:bCs/>
              </w:rPr>
              <w:t xml:space="preserve">LBI</w:t>
            </w:r>
          </w:p>
        </w:tc>
        <w:tc>
          <w:tcPr/>
          <w:p>
            <w:pPr>
              <w:pStyle w:val="Compact"/>
              <w:jc w:val="right"/>
            </w:pPr>
            <m:oMath>
              <m:r>
                <m:t>n</m:t>
              </m:r>
            </m:oMath>
            <w:r>
              <w:t xml:space="preserve"> </w:t>
            </w:r>
            <w:r>
              <w:rPr>
                <w:b/>
                <w:bCs/>
              </w:rPr>
              <w:t xml:space="preserve">used</w:t>
            </w:r>
          </w:p>
        </w:tc>
        <w:tc>
          <w:tcPr/>
          <w:p>
            <w:pPr>
              <w:pStyle w:val="Compact"/>
              <w:jc w:val="left"/>
            </w:pPr>
            <w:r>
              <w:rPr>
                <w:b/>
                <w:bCs/>
              </w:rPr>
              <w:t xml:space="preserve">Note</w:t>
            </w:r>
          </w:p>
        </w:tc>
      </w:tr>
      <w:tr>
        <w:tc>
          <w:tcPr/>
          <w:p>
            <w:pPr>
              <w:pStyle w:val="Compact"/>
              <w:jc w:val="left"/>
            </w:pPr>
            <w:r>
              <w:t xml:space="preserve">unrestricted (baseline)</w:t>
            </w:r>
          </w:p>
        </w:tc>
        <w:tc>
          <w:tcPr/>
          <w:p>
            <w:pPr>
              <w:pStyle w:val="Compact"/>
              <w:jc w:val="right"/>
            </w:pPr>
            <w:r>
              <w:t xml:space="preserve">1.049</w:t>
            </w:r>
          </w:p>
        </w:tc>
        <w:tc>
          <w:tcPr/>
          <w:p>
            <w:pPr>
              <w:pStyle w:val="Compact"/>
              <w:jc w:val="right"/>
            </w:pPr>
            <w:r>
              <w:t xml:space="preserve">5</w:t>
            </w:r>
            <w:r>
              <w:t xml:space="preserve">,</w:t>
            </w:r>
            <w:r>
              <w:t xml:space="preserve">278</w:t>
            </w:r>
          </w:p>
        </w:tc>
        <w:tc>
          <w:tcPr/>
          <w:p>
            <w:pPr>
              <w:pStyle w:val="Compact"/>
            </w:pPr>
          </w:p>
        </w:tc>
      </w:tr>
      <w:tr>
        <w:tc>
          <w:tcPr/>
          <w:p>
            <w:pPr>
              <w:pStyle w:val="Compact"/>
              <w:jc w:val="left"/>
            </w:pPr>
            <w:r>
              <w:t xml:space="preserve">exact match on felony indicator</w:t>
            </w:r>
          </w:p>
        </w:tc>
        <w:tc>
          <w:tcPr/>
          <w:p>
            <w:pPr>
              <w:pStyle w:val="Compact"/>
              <w:jc w:val="right"/>
            </w:pPr>
            <w:r>
              <w:t xml:space="preserve">1.050</w:t>
            </w:r>
          </w:p>
        </w:tc>
        <w:tc>
          <w:tcPr/>
          <w:p>
            <w:pPr>
              <w:pStyle w:val="Compact"/>
              <w:jc w:val="right"/>
            </w:pPr>
            <w:r>
              <w:t xml:space="preserve">5</w:t>
            </w:r>
            <w:r>
              <w:t xml:space="preserve">,</w:t>
            </w:r>
            <w:r>
              <w:t xml:space="preserve">278</w:t>
            </w:r>
          </w:p>
        </w:tc>
        <w:tc>
          <w:tcPr/>
          <w:p>
            <w:pPr>
              <w:pStyle w:val="Compact"/>
              <w:jc w:val="left"/>
            </w:pPr>
            <w:r>
              <w:t xml:space="preserve">then Mahalanobis</w:t>
            </w:r>
          </w:p>
        </w:tc>
      </w:tr>
      <w:tr>
        <w:tc>
          <w:tcPr/>
          <w:p>
            <w:pPr>
              <w:pStyle w:val="Compact"/>
              <w:jc w:val="left"/>
            </w:pPr>
            <w:r>
              <w:t xml:space="preserve">caliper: cross-race NN within q90 of same-race NN</w:t>
            </w:r>
          </w:p>
        </w:tc>
        <w:tc>
          <w:tcPr/>
          <w:p>
            <w:pPr>
              <w:pStyle w:val="Compact"/>
              <w:jc w:val="right"/>
            </w:pPr>
            <w:r>
              <w:t xml:space="preserve">1.022</w:t>
            </w:r>
          </w:p>
        </w:tc>
        <w:tc>
          <w:tcPr/>
          <w:p>
            <w:pPr>
              <w:pStyle w:val="Compact"/>
              <w:jc w:val="right"/>
            </w:pPr>
            <w:r>
              <w:t xml:space="preserve">4</w:t>
            </w:r>
            <w:r>
              <w:t xml:space="preserve">,</w:t>
            </w:r>
            <w:r>
              <w:t xml:space="preserve">656</w:t>
            </w:r>
          </w:p>
        </w:tc>
        <w:tc>
          <w:tcPr/>
          <w:p>
            <w:pPr>
              <w:pStyle w:val="Compact"/>
            </w:pPr>
          </w:p>
        </w:tc>
      </w:tr>
      <w:tr>
        <w:tc>
          <w:tcPr/>
          <w:p>
            <w:pPr>
              <w:pStyle w:val="Compact"/>
              <w:jc w:val="left"/>
            </w:pPr>
            <w:r>
              <w:t xml:space="preserve">caliper: within q75</w:t>
            </w:r>
          </w:p>
        </w:tc>
        <w:tc>
          <w:tcPr/>
          <w:p>
            <w:pPr>
              <w:pStyle w:val="Compact"/>
              <w:jc w:val="right"/>
            </w:pPr>
            <w:r>
              <w:t xml:space="preserve">1.012</w:t>
            </w:r>
          </w:p>
        </w:tc>
        <w:tc>
          <w:tcPr/>
          <w:p>
            <w:pPr>
              <w:pStyle w:val="Compact"/>
              <w:jc w:val="right"/>
            </w:pPr>
            <w:r>
              <w:t xml:space="preserve">3</w:t>
            </w:r>
            <w:r>
              <w:t xml:space="preserve">,</w:t>
            </w:r>
            <w:r>
              <w:t xml:space="preserve">826</w:t>
            </w:r>
          </w:p>
        </w:tc>
        <w:tc>
          <w:tcPr/>
          <w:p>
            <w:pPr>
              <w:pStyle w:val="Compact"/>
            </w:pPr>
          </w:p>
        </w:tc>
      </w:tr>
      <w:tr>
        <w:tc>
          <w:tcPr/>
          <w:p>
            <w:pPr>
              <w:pStyle w:val="Compact"/>
              <w:jc w:val="left"/>
            </w:pPr>
            <w:r>
              <w:t xml:space="preserve">fixed-radius neighbourhoods (median</w:t>
            </w:r>
            <w:r>
              <w:t xml:space="preserve"> </w:t>
            </w:r>
            <m:oMath>
              <m:r>
                <m:t>k</m:t>
              </m:r>
              <m:r>
                <m:rPr>
                  <m:sty m:val="p"/>
                </m:rPr>
                <m:t>=</m:t>
              </m:r>
              <m:r>
                <m:t>20</m:t>
              </m:r>
            </m:oMath>
            <w:r>
              <w:t xml:space="preserve"> </w:t>
            </w:r>
            <w:r>
              <w:t xml:space="preserve">radius)</w:t>
            </w:r>
          </w:p>
        </w:tc>
        <w:tc>
          <w:tcPr/>
          <w:p>
            <w:pPr>
              <w:pStyle w:val="Compact"/>
              <w:jc w:val="right"/>
            </w:pPr>
            <w:r>
              <w:t xml:space="preserve">1.022</w:t>
            </w:r>
          </w:p>
        </w:tc>
        <w:tc>
          <w:tcPr/>
          <w:p>
            <w:pPr>
              <w:pStyle w:val="Compact"/>
              <w:jc w:val="right"/>
            </w:pPr>
            <w:r>
              <w:t xml:space="preserve">4</w:t>
            </w:r>
            <w:r>
              <w:t xml:space="preserve">,</w:t>
            </w:r>
            <w:r>
              <w:t xml:space="preserve">171</w:t>
            </w:r>
          </w:p>
        </w:tc>
        <w:tc>
          <w:tcPr/>
          <w:p>
            <w:pPr>
              <w:pStyle w:val="Compact"/>
            </w:pPr>
          </w:p>
        </w:tc>
      </w:tr>
      <w:tr>
        <w:tc>
          <w:tcPr/>
          <w:p>
            <w:pPr>
              <w:pStyle w:val="Compact"/>
              <w:jc w:val="left"/>
            </w:pPr>
            <w:r>
              <w:t xml:space="preserve">coarsened-exact strata, then Mahalanobis</w:t>
            </w:r>
          </w:p>
        </w:tc>
        <w:tc>
          <w:tcPr/>
          <w:p>
            <w:pPr>
              <w:pStyle w:val="Compact"/>
              <w:jc w:val="right"/>
            </w:pPr>
            <w:r>
              <w:t xml:space="preserve">1.009</w:t>
            </w:r>
          </w:p>
        </w:tc>
        <w:tc>
          <w:tcPr/>
          <w:p>
            <w:pPr>
              <w:pStyle w:val="Compact"/>
              <w:jc w:val="right"/>
            </w:pPr>
            <w:r>
              <w:t xml:space="preserve">3</w:t>
            </w:r>
            <w:r>
              <w:t xml:space="preserve">,</w:t>
            </w:r>
            <w:r>
              <w:t xml:space="preserve">159</w:t>
            </w:r>
          </w:p>
        </w:tc>
        <w:tc>
          <w:tcPr/>
          <w:p>
            <w:pPr>
              <w:pStyle w:val="Compact"/>
              <w:jc w:val="left"/>
            </w:pPr>
            <w:r>
              <w:t xml:space="preserve">CI</w:t>
            </w:r>
            <w:r>
              <w:t xml:space="preserve"> </w:t>
            </w:r>
            <m:oMath>
              <m:r>
                <m:rPr>
                  <m:sty m:val="p"/>
                </m:rPr>
                <m:t>[</m:t>
              </m:r>
              <m:r>
                <m:t>1.000</m:t>
              </m:r>
              <m:r>
                <m:rPr>
                  <m:sty m:val="p"/>
                </m:rPr>
                <m:t>,</m:t>
              </m:r>
              <m:r>
                <m:t>1.018</m:t>
              </m:r>
              <m:r>
                <m:rPr>
                  <m:sty m:val="p"/>
                </m:rPr>
                <m:t>]</m:t>
              </m:r>
            </m:oMath>
          </w:p>
        </w:tc>
      </w:tr>
      <w:tr>
        <w:tc>
          <w:tcPr/>
          <w:p>
            <w:pPr>
              <w:pStyle w:val="Compact"/>
              <w:jc w:val="left"/>
            </w:pPr>
            <w:r>
              <w:t xml:space="preserve">distance-matched same-race comparators</w:t>
            </w:r>
          </w:p>
        </w:tc>
        <w:tc>
          <w:tcPr/>
          <w:p>
            <w:pPr>
              <w:pStyle w:val="Compact"/>
              <w:jc w:val="right"/>
            </w:pPr>
            <w:r>
              <w:t xml:space="preserve">1.003</w:t>
            </w:r>
          </w:p>
        </w:tc>
        <w:tc>
          <w:tcPr/>
          <w:p>
            <w:pPr>
              <w:pStyle w:val="Compact"/>
              <w:jc w:val="right"/>
            </w:pPr>
            <w:r>
              <w:t xml:space="preserve">5</w:t>
            </w:r>
            <w:r>
              <w:t xml:space="preserve">,</w:t>
            </w:r>
            <w:r>
              <w:t xml:space="preserve">278</w:t>
            </w:r>
          </w:p>
        </w:tc>
        <w:tc>
          <w:tcPr/>
          <w:p>
            <w:pPr>
              <w:pStyle w:val="Compact"/>
              <w:jc w:val="left"/>
            </w:pPr>
            <w:r>
              <w:t xml:space="preserve">overcorrects; see text</w:t>
            </w:r>
          </w:p>
        </w:tc>
      </w:tr>
    </w:tbl>
    <w:bookmarkEnd w:id="34"/>
    <w:p>
      <w:pPr>
        <w:pStyle w:val="BodyText"/>
      </w:pPr>
      <w:r>
        <w:t xml:space="preserve">Exact matching on the felony indicator before continuous matching</w:t>
      </w:r>
      <w:r>
        <w:t xml:space="preserve"> </w:t>
      </w:r>
      <w:r>
        <w:t xml:space="preserve">changes nothing (</w:t>
      </w:r>
      <m:oMath>
        <m:r>
          <m:t>1.050</m:t>
        </m:r>
      </m:oMath>
      <w:r>
        <w:t xml:space="preserve">): the charge-degree indicator was already</w:t>
      </w:r>
      <w:r>
        <w:t xml:space="preserve"> </w:t>
      </w:r>
      <w:r>
        <w:t xml:space="preserve">well matched. The caliper analyses—excluding focal defendants whose</w:t>
      </w:r>
      <w:r>
        <w:t xml:space="preserve"> </w:t>
      </w:r>
      <w:r>
        <w:t xml:space="preserve">nearest cross-race comparator is farther than the 90th (75th)</w:t>
      </w:r>
      <w:r>
        <w:t xml:space="preserve"> </w:t>
      </w:r>
      <w:r>
        <w:t xml:space="preserve">percentile of nearest same-race distances—attenuate the index to</w:t>
      </w:r>
      <w:r>
        <w:t xml:space="preserve"> </w:t>
      </w:r>
      <m:oMath>
        <m:r>
          <m:t>1.022</m:t>
        </m:r>
      </m:oMath>
      <w:r>
        <w:t xml:space="preserve"> </w:t>
      </w:r>
      <w:r>
        <w:t xml:space="preserve">(</w:t>
      </w:r>
      <m:oMath>
        <m:r>
          <m:t>1.012</m:t>
        </m:r>
      </m:oMath>
      <w:r>
        <w:t xml:space="preserve">). Fixed-radius neighbourhoods, which force both</w:t>
      </w:r>
      <w:r>
        <w:t xml:space="preserve"> </w:t>
      </w:r>
      <w:r>
        <w:t xml:space="preserve">comparison sets inside the same ball, give</w:t>
      </w:r>
      <w:r>
        <w:t xml:space="preserve"> </w:t>
      </w:r>
      <m:oMath>
        <m:r>
          <m:t>1.022</m:t>
        </m:r>
      </m:oMath>
      <w:r>
        <w:t xml:space="preserve">. Coarsened-exact</w:t>
      </w:r>
      <w:r>
        <w:t xml:space="preserve"> </w:t>
      </w:r>
      <w:r>
        <w:t xml:space="preserve">matching (age, priors, any-juvenile, felony bins; Mahalanobis within</w:t>
      </w:r>
      <w:r>
        <w:t xml:space="preserve"> </w:t>
      </w:r>
      <w:r>
        <w:t xml:space="preserve">stratum) gives</w:t>
      </w:r>
      <w:r>
        <w:t xml:space="preserve"> </w:t>
      </w:r>
      <m:oMath>
        <m:r>
          <m:t>1.009</m:t>
        </m:r>
      </m:oMath>
      <w:r>
        <w:t xml:space="preserve"> </w:t>
      </w:r>
      <m:oMath>
        <m:r>
          <m:rPr>
            <m:sty m:val="p"/>
          </m:rPr>
          <m:t>[</m:t>
        </m:r>
        <m:r>
          <m:t>1.000</m:t>
        </m:r>
        <m:r>
          <m:rPr>
            <m:sty m:val="p"/>
          </m:rPr>
          <m:t>,</m:t>
        </m:r>
        <m:r>
          <m:t>1.018</m:t>
        </m:r>
        <m:r>
          <m:rPr>
            <m:sty m:val="p"/>
          </m:rPr>
          <m:t>]</m:t>
        </m:r>
      </m:oMath>
      <w:r>
        <w:t xml:space="preserve"> </w:t>
      </w:r>
      <w:r>
        <w:t xml:space="preserve">on the</w:t>
      </w:r>
      <w:r>
        <w:t xml:space="preserve"> </w:t>
      </w:r>
      <m:oMath>
        <m:r>
          <m:t>3</m:t>
        </m:r>
        <m:r>
          <m:rPr>
            <m:sty m:val="p"/>
          </m:rPr>
          <m:t>,</m:t>
        </m:r>
        <m:r>
          <m:t>159</m:t>
        </m:r>
      </m:oMath>
      <w:r>
        <w:t xml:space="preserve"> </w:t>
      </w:r>
      <w:r>
        <w:t xml:space="preserve">defendants</w:t>
      </w:r>
      <w:r>
        <w:t xml:space="preserve"> </w:t>
      </w:r>
      <w:r>
        <w:t xml:space="preserve">with sufficient within-stratum comparators. The distance-matched</w:t>
      </w:r>
      <w:r>
        <w:t xml:space="preserve"> </w:t>
      </w:r>
      <w:r>
        <w:t xml:space="preserve">specification selects, for each defendant, same-race comparators at</w:t>
      </w:r>
      <w:r>
        <w:t xml:space="preserve"> </w:t>
      </w:r>
      <w:r>
        <w:t xml:space="preserve">the same distances as the cross-race set; because the greedy matching</w:t>
      </w:r>
      <w:r>
        <w:t xml:space="preserve"> </w:t>
      </w:r>
      <w:r>
        <w:t xml:space="preserve">overshoots (mean same-race comparator distance</w:t>
      </w:r>
      <w:r>
        <w:t xml:space="preserve"> </w:t>
      </w:r>
      <m:oMath>
        <m:r>
          <m:t>0.662</m:t>
        </m:r>
      </m:oMath>
      <w:r>
        <w:t xml:space="preserve"> </w:t>
      </w:r>
      <w:r>
        <w:t xml:space="preserve">vs. cross-race</w:t>
      </w:r>
      <w:r>
        <w:t xml:space="preserve"> </w:t>
      </w:r>
      <m:oMath>
        <m:r>
          <m:t>0.458</m:t>
        </m:r>
      </m:oMath>
      <w:r>
        <w:t xml:space="preserve">), it</w:t>
      </w:r>
      <w:r>
        <w:t xml:space="preserve"> </w:t>
      </w:r>
      <w:r>
        <w:rPr>
          <w:i/>
          <w:iCs/>
        </w:rPr>
        <w:t xml:space="preserve">overcorrects</w:t>
      </w:r>
      <w:r>
        <w:t xml:space="preserve">—the same-race baseline</w:t>
      </w:r>
      <w:r>
        <w:t xml:space="preserve"> </w:t>
      </w:r>
      <w:r>
        <w:t xml:space="preserve">is drawn from strictly worse matches—and its value of</w:t>
      </w:r>
      <w:r>
        <w:t xml:space="preserve"> </w:t>
      </w:r>
      <m:oMath>
        <m:r>
          <m:t>1.003</m:t>
        </m:r>
      </m:oMath>
      <w:r>
        <w:t xml:space="preserve"> </w:t>
      </w:r>
      <w:r>
        <w:t xml:space="preserve">is</w:t>
      </w:r>
      <w:r>
        <w:t xml:space="preserve"> </w:t>
      </w:r>
      <w:r>
        <w:t xml:space="preserve">best read as a lower bound.</w:t>
      </w:r>
    </w:p>
    <w:p>
      <w:pPr>
        <w:pStyle w:val="BodyText"/>
      </w:pPr>
      <w:r>
        <w:rPr>
          <w:b/>
          <w:bCs/>
        </w:rPr>
        <w:t xml:space="preserve">Where the signal lives.</w:t>
      </w:r>
      <w:r>
        <w:t xml:space="preserve"> </w:t>
      </w:r>
      <w:r>
        <w:t xml:space="preserve">The reviewer-requested distribution</w:t>
      </w:r>
      <w:r>
        <w:t xml:space="preserve"> </w:t>
      </w:r>
      <w:r>
        <w:t xml:space="preserve">of per-defendant contrasts (Figure 3) completes the</w:t>
      </w:r>
      <w:r>
        <w:t xml:space="preserve"> </w:t>
      </w:r>
      <w:r>
        <w:t xml:space="preserve">picture: at</w:t>
      </w:r>
      <w:r>
        <w:t xml:space="preserve"> </w:t>
      </w:r>
      <m:oMath>
        <m:r>
          <m:t>k</m:t>
        </m:r>
        <m:r>
          <m:rPr>
            <m:sty m:val="p"/>
          </m:rPr>
          <m:t>=</m:t>
        </m:r>
        <m:r>
          <m:t>20</m:t>
        </m:r>
      </m:oMath>
      <w:r>
        <w:t xml:space="preserve">, 53.9 % of defendants have a positive</w:t>
      </w:r>
      <w:r>
        <w:t xml:space="preserve"> </w:t>
      </w:r>
      <w:r>
        <w:t xml:space="preserve">cross-minus-same gap (mean</w:t>
      </w:r>
      <w:r>
        <w:t xml:space="preserve"> </w:t>
      </w:r>
      <m:oMath>
        <m:r>
          <m:rPr>
            <m:sty m:val="p"/>
          </m:rPr>
          <m:t>+</m:t>
        </m:r>
        <m:r>
          <m:t>0.108</m:t>
        </m:r>
      </m:oMath>
      <w:r>
        <w:t xml:space="preserve"> </w:t>
      </w:r>
      <w:r>
        <w:t xml:space="preserve">deciles, median</w:t>
      </w:r>
      <w:r>
        <w:t xml:space="preserve"> </w:t>
      </w:r>
      <m:oMath>
        <m:r>
          <m:rPr>
            <m:sty m:val="p"/>
          </m:rPr>
          <m:t>+</m:t>
        </m:r>
        <m:r>
          <m:t>0.100</m:t>
        </m:r>
      </m:oMath>
      <w:r>
        <w:t xml:space="preserve">), and</w:t>
      </w:r>
      <w:r>
        <w:t xml:space="preserve"> </w:t>
      </w:r>
      <w:r>
        <w:t xml:space="preserve">excluding the top 5 % of gaps lowers the index from</w:t>
      </w:r>
      <w:r>
        <w:t xml:space="preserve"> </w:t>
      </w:r>
      <m:oMath>
        <m:r>
          <m:t>1.049</m:t>
        </m:r>
      </m:oMath>
      <w:r>
        <w:t xml:space="preserve"> </w:t>
      </w:r>
      <w:r>
        <w:t xml:space="preserve">to</w:t>
      </w:r>
      <w:r>
        <w:t xml:space="preserve"> </w:t>
      </w:r>
      <m:oMath>
        <m:r>
          <m:t>1.009</m:t>
        </m:r>
      </m:oMath>
      <w:r>
        <w:t xml:space="preserve">. The unadjusted index is thus materially driven by its upper</w:t>
      </w:r>
      <w:r>
        <w:t xml:space="preserve"> </w:t>
      </w:r>
      <w:r>
        <w:t xml:space="preserve">tail—defendants, disproportionately in the sparse high-priors</w:t>
      </w:r>
      <w:r>
        <w:t xml:space="preserve"> </w:t>
      </w:r>
      <w:r>
        <w:t xml:space="preserve">region where close cross-race comparators are scarce, whose</w:t>
      </w:r>
      <w:r>
        <w:t xml:space="preserve"> </w:t>
      </w:r>
      <w:r>
        <w:t xml:space="preserve">cross-race score divergence is large.</w:t>
      </w:r>
    </w:p>
    <w:bookmarkStart w:id="38" w:name="fig:gapdist"/>
    <w:p>
      <w:pPr>
        <w:pStyle w:val="CaptionedFigure"/>
      </w:pPr>
      <w:r>
        <w:drawing>
          <wp:inline>
            <wp:extent cx="4000500" cy="2571750"/>
            <wp:effectExtent b="0" l="0" r="0" t="0"/>
            <wp:docPr descr="" title="" id="36" name="Picture"/>
            <a:graphic>
              <a:graphicData uri="http://schemas.openxmlformats.org/drawingml/2006/picture">
                <pic:pic>
                  <pic:nvPicPr>
                    <pic:cNvPr descr="figures/gap_distribution.png" id="37" name="Picture"/>
                    <pic:cNvPicPr>
                      <a:picLocks noChangeArrowheads="1" noChangeAspect="1"/>
                    </pic:cNvPicPr>
                  </pic:nvPicPr>
                  <pic:blipFill>
                    <a:blip r:embed="rId35"/>
                    <a:stretch>
                      <a:fillRect/>
                    </a:stretch>
                  </pic:blipFill>
                  <pic:spPr bwMode="auto">
                    <a:xfrm>
                      <a:off x="0" y="0"/>
                      <a:ext cx="4000500" cy="2571750"/>
                    </a:xfrm>
                    <a:prstGeom prst="rect">
                      <a:avLst/>
                    </a:prstGeom>
                    <a:noFill/>
                    <a:ln w="9525">
                      <a:noFill/>
                      <a:headEnd/>
                      <a:tailEnd/>
                    </a:ln>
                  </pic:spPr>
                </pic:pic>
              </a:graphicData>
            </a:graphic>
          </wp:inline>
        </w:drawing>
      </w:r>
    </w:p>
    <w:p>
      <w:pPr>
        <w:pStyle w:val="ImageCaption"/>
      </w:pPr>
      <w:r>
        <w:t xml:space="preserve">Figure 3: Distribution over defendants of the per-defendant</w:t>
      </w:r>
      <w:r>
        <w:t xml:space="preserve"> </w:t>
      </w:r>
      <w:r>
        <w:t xml:space="preserve">cross-minus-same mean score gap at</w:t>
      </w:r>
      <w:r>
        <w:t xml:space="preserve"> </w:t>
      </w:r>
      <m:oMath>
        <m:r>
          <m:t>k</m:t>
        </m:r>
        <m:r>
          <m:rPr>
            <m:sty m:val="p"/>
          </m:rPr>
          <m:t>=</m:t>
        </m:r>
        <m:r>
          <m:t>20</m:t>
        </m:r>
      </m:oMath>
      <w:r>
        <w:t xml:space="preserve"> </w:t>
      </w:r>
      <w:r>
        <w:t xml:space="preserve">(decile units). The mass</w:t>
      </w:r>
      <w:r>
        <w:t xml:space="preserve"> </w:t>
      </w:r>
      <w:r>
        <w:t xml:space="preserve">is centred just above zero (53.9 % positive) with a heavy right</w:t>
      </w:r>
      <w:r>
        <w:t xml:space="preserve"> </w:t>
      </w:r>
      <w:r>
        <w:t xml:space="preserve">tail; excluding the top 5 % lowers the aggregate LBI from 1.049 to</w:t>
      </w:r>
      <w:r>
        <w:t xml:space="preserve"> </w:t>
      </w:r>
      <w:r>
        <w:t xml:space="preserve">1.009.</w:t>
      </w:r>
    </w:p>
    <w:bookmarkEnd w:id="38"/>
    <w:p>
      <w:pPr>
        <w:pStyle w:val="BodyText"/>
      </w:pPr>
      <w:r>
        <w:t xml:space="preserve">Taken together, the diagnostics support a two-component reading of</w:t>
      </w:r>
      <w:r>
        <w:t xml:space="preserve"> </w:t>
      </w:r>
      <w:r>
        <w:t xml:space="preserve">the unadjusted</w:t>
      </w:r>
      <w:r>
        <w:t xml:space="preserve"> </w:t>
      </w:r>
      <m:oMath>
        <m:r>
          <m:t>1.049</m:t>
        </m:r>
      </m:oMath>
      <w:r>
        <w:t xml:space="preserve">: a mechanical component attributable to the</w:t>
      </w:r>
      <w:r>
        <w:t xml:space="preserve"> </w:t>
      </w:r>
      <w:r>
        <w:t xml:space="preserve">poorer average quality of cross-race matches (on the order of</w:t>
      </w:r>
      <w:r>
        <w:t xml:space="preserve"> </w:t>
      </w:r>
      <m:oMath>
        <m:r>
          <m:rPr>
            <m:sty m:val="p"/>
          </m:rPr>
          <m:t>+</m:t>
        </m:r>
        <m:r>
          <m:t>0.01</m:t>
        </m:r>
      </m:oMath>
      <w:r>
        <w:t xml:space="preserve"> </w:t>
      </w:r>
      <w:r>
        <w:t xml:space="preserve">to</w:t>
      </w:r>
      <w:r>
        <w:t xml:space="preserve"> </w:t>
      </w:r>
      <m:oMath>
        <m:r>
          <m:rPr>
            <m:sty m:val="p"/>
          </m:rPr>
          <m:t>+</m:t>
        </m:r>
        <m:r>
          <m:t>0.015</m:t>
        </m:r>
      </m:oMath>
      <w:r>
        <w:t xml:space="preserve">; compare the race-blind synthetic level of</w:t>
      </w:r>
      <w:r>
        <w:t xml:space="preserve"> </w:t>
      </w:r>
      <m:oMath>
        <m:r>
          <m:t>1.009</m:t>
        </m:r>
      </m:oMath>
      <w:r>
        <w:t xml:space="preserve"> </w:t>
      </w:r>
      <w:r>
        <w:t xml:space="preserve">and the conditional null centre of</w:t>
      </w:r>
      <w:r>
        <w:t xml:space="preserve"> </w:t>
      </w:r>
      <m:oMath>
        <m:r>
          <m:t>1.015</m:t>
        </m:r>
      </m:oMath>
      <w:r>
        <w:t xml:space="preserve"> </w:t>
      </w:r>
      <w:r>
        <w:t xml:space="preserve">in</w:t>
      </w:r>
      <w:r>
        <w:t xml:space="preserve"> </w:t>
      </w:r>
      <w:r>
        <w:t xml:space="preserve">§4.9 and §4.6), and a</w:t>
      </w:r>
      <w:r>
        <w:t xml:space="preserve"> </w:t>
      </w:r>
      <w:r>
        <w:t xml:space="preserve">residual race-associated component that is concentrated in the</w:t>
      </w:r>
      <w:r>
        <w:t xml:space="preserve"> </w:t>
      </w:r>
      <w:r>
        <w:t xml:space="preserve">poorly-overlapped region of feature space and in the upper tail of</w:t>
      </w:r>
      <w:r>
        <w:t xml:space="preserve"> </w:t>
      </w:r>
      <w:r>
        <w:t xml:space="preserve">the gap distribution. The inferential question—is the residual</w:t>
      </w:r>
      <w:r>
        <w:t xml:space="preserve"> </w:t>
      </w:r>
      <w:r>
        <w:t xml:space="preserve">component distinguishable from zero once the mechanical component is</w:t>
      </w:r>
      <w:r>
        <w:t xml:space="preserve"> </w:t>
      </w:r>
      <w:r>
        <w:t xml:space="preserve">built into the null?—is answered next.</w:t>
      </w:r>
    </w:p>
    <w:bookmarkEnd w:id="39"/>
    <w:bookmarkStart w:id="45" w:name="sec:inferenceresults"/>
    <w:p>
      <w:pPr>
        <w:pStyle w:val="Heading2"/>
      </w:pPr>
      <w:r>
        <w:t xml:space="preserve">Randomization inference at full sample size</w:t>
      </w:r>
    </w:p>
    <w:p>
      <w:pPr>
        <w:pStyle w:val="FirstParagraph"/>
      </w:pPr>
      <w:r>
        <w:t xml:space="preserve">Table 5 reports the three null constructions of</w:t>
      </w:r>
      <w:r>
        <w:t xml:space="preserve"> </w:t>
      </w:r>
      <w:r>
        <w:t xml:space="preserve">§3.3, each with 1</w:t>
      </w:r>
      <w:r>
        <w:t xml:space="preserve">,</w:t>
      </w:r>
      <w:r>
        <w:t xml:space="preserve">000 draws, with observed and</w:t>
      </w:r>
      <w:r>
        <w:t xml:space="preserve"> </w:t>
      </w:r>
      <w:r>
        <w:t xml:space="preserve">null statistics computed identically on the full</w:t>
      </w:r>
      <w:r>
        <w:t xml:space="preserve"> </w:t>
      </w:r>
      <m:oMath>
        <m:r>
          <m:t>n</m:t>
        </m:r>
        <m:r>
          <m:rPr>
            <m:sty m:val="p"/>
          </m:rPr>
          <m:t>=</m:t>
        </m:r>
        <m:r>
          <m:t>5</m:t>
        </m:r>
        <m:r>
          <m:rPr>
            <m:sty m:val="p"/>
          </m:rPr>
          <m:t>,</m:t>
        </m:r>
        <m:r>
          <m:t>278</m:t>
        </m:r>
      </m:oMath>
      <w:r>
        <w:t xml:space="preserve"> </w:t>
      </w:r>
      <w:r>
        <w:t xml:space="preserve">(the</w:t>
      </w:r>
      <w:r>
        <w:t xml:space="preserve"> </w:t>
      </w:r>
      <w:r>
        <w:t xml:space="preserve">earlier version of this paper computed the null on 500-defendant</w:t>
      </w:r>
      <w:r>
        <w:t xml:space="preserve"> </w:t>
      </w:r>
      <w:r>
        <w:t xml:space="preserve">subsamples with 200 permutations; both departures are corrected</w:t>
      </w:r>
      <w:r>
        <w:t xml:space="preserve"> </w:t>
      </w:r>
      <w:r>
        <w:t xml:space="preserve">here).</w:t>
      </w:r>
    </w:p>
    <w:bookmarkStart w:id="40" w:name="tab:nulls"/>
    <w:p>
      <w:pPr>
        <w:pStyle w:val="TableCaption"/>
      </w:pPr>
      <w:r>
        <w:t xml:space="preserve">Table 5: Null distributions for</w:t>
      </w:r>
      <w:r>
        <w:t xml:space="preserve"> </w:t>
      </w:r>
      <m:oMath>
        <m:r>
          <m:rPr>
            <m:sty m:val="p"/>
          </m:rPr>
          <m:t>L</m:t>
        </m:r>
        <m:r>
          <m:rPr>
            <m:sty m:val="p"/>
          </m:rPr>
          <m:t>B</m:t>
        </m:r>
        <m:r>
          <m:rPr>
            <m:sty m:val="p"/>
          </m:rPr>
          <m:t>I</m:t>
        </m:r>
        <m:r>
          <m:rPr>
            <m:sty m:val="p"/>
          </m:rPr>
          <m:t>(</m:t>
        </m:r>
        <m:r>
          <m:rPr>
            <m:nor/>
            <m:sty m:val="p"/>
          </m:rPr>
          <m:t>race</m:t>
        </m:r>
        <m:r>
          <m:rPr>
            <m:sty m:val="p"/>
          </m:rPr>
          <m:t>)</m:t>
        </m:r>
      </m:oMath>
      <w:r>
        <w:t xml:space="preserve">,</w:t>
      </w:r>
      <w:r>
        <w:t xml:space="preserve"> </w:t>
      </w:r>
      <w:r>
        <w:t xml:space="preserve">1</w:t>
      </w:r>
      <w:r>
        <w:t xml:space="preserve">,</w:t>
      </w:r>
      <w:r>
        <w:t xml:space="preserve">000 draws each, full sample.</w:t>
      </w:r>
      <w:r>
        <w:t xml:space="preserve"> </w:t>
      </w:r>
      <m:oMath>
        <m:r>
          <m:t>z</m:t>
        </m:r>
      </m:oMath>
      <w:r>
        <w:t xml:space="preserve"> </w:t>
      </w:r>
      <w:r>
        <w:t xml:space="preserve">is the observed value (</w:t>
      </w:r>
      <m:oMath>
        <m:r>
          <m:t>1.049</m:t>
        </m:r>
      </m:oMath>
      <w:r>
        <w:t xml:space="preserve"> </w:t>
      </w:r>
      <w:r>
        <w:t xml:space="preserve">at</w:t>
      </w:r>
      <w:r>
        <w:t xml:space="preserve"> </w:t>
      </w:r>
      <m:oMath>
        <m:r>
          <m:t>k</m:t>
        </m:r>
        <m:r>
          <m:rPr>
            <m:sty m:val="p"/>
          </m:rPr>
          <m:t>=</m:t>
        </m:r>
        <m:r>
          <m:t>20</m:t>
        </m:r>
      </m:oMath>
      <w:r>
        <w:t xml:space="preserve">) standardized against the null; the global</w:t>
      </w:r>
      <w:r>
        <w:t xml:space="preserve"> </w:t>
      </w:r>
      <m:oMath>
        <m:r>
          <m:t>p</m:t>
        </m:r>
      </m:oMath>
      <w:r>
        <w:t xml:space="preserve"> </w:t>
      </w:r>
      <w:r>
        <w:t xml:space="preserve">uses the</w:t>
      </w:r>
      <w:r>
        <w:t xml:space="preserve"> </w:t>
      </w:r>
      <w:r>
        <w:t xml:space="preserve">max-</w:t>
      </w:r>
      <m:oMath>
        <m:r>
          <m:t>z</m:t>
        </m:r>
      </m:oMath>
      <w:r>
        <w:t xml:space="preserve"> </w:t>
      </w:r>
      <w:r>
        <w:t xml:space="preserve">statistic across all six scales.</w:t>
      </w:r>
    </w:p>
    <w:tbl>
      <w:tblPr>
        <w:tblStyle w:val="Table"/>
        <w:tblW w:type="auto" w:w="0"/>
        <w:tblLook w:firstRow="1" w:lastRow="0" w:firstColumn="0" w:lastColumn="0" w:noHBand="0" w:noVBand="0" w:val="0020"/>
        <w:tblCaption w:val="Table 5: Null distributions for \mathrm{LBI}(\text{race}), 1,000 draws each, full sample. z is the observed value (1.049 at k = 20) standardized against the null; the global p uses the max-z statistic across all six scales."/>
      </w:tblPr>
      <w:tblGrid>
        <w:gridCol w:w="1584"/>
        <w:gridCol w:w="1584"/>
        <w:gridCol w:w="1584"/>
        <w:gridCol w:w="1584"/>
        <w:gridCol w:w="1584"/>
      </w:tblGrid>
      <w:tr>
        <w:trPr>
          <w:tblHeader w:val="on"/>
        </w:trPr>
        <w:tc>
          <w:tcPr/>
          <w:p>
            <w:pPr>
              <w:pStyle w:val="Compact"/>
              <w:jc w:val="left"/>
            </w:pPr>
            <w:r>
              <w:rPr>
                <w:b/>
                <w:bCs/>
              </w:rPr>
              <w:t xml:space="preserve">Null construction</w:t>
            </w:r>
          </w:p>
        </w:tc>
        <w:tc>
          <w:tcPr/>
          <w:p>
            <w:pPr>
              <w:pStyle w:val="Compact"/>
              <w:jc w:val="right"/>
            </w:pPr>
            <w:r>
              <w:rPr>
                <w:b/>
                <w:bCs/>
              </w:rPr>
              <w:t xml:space="preserve">null mean</w:t>
            </w:r>
          </w:p>
        </w:tc>
        <w:tc>
          <w:tcPr/>
          <w:p>
            <w:pPr>
              <w:pStyle w:val="Compact"/>
              <w:jc w:val="right"/>
            </w:pPr>
            <w:r>
              <w:rPr>
                <w:b/>
                <w:bCs/>
              </w:rPr>
              <w:t xml:space="preserve">null SD</w:t>
            </w:r>
          </w:p>
        </w:tc>
        <w:tc>
          <w:tcPr/>
          <w:p>
            <w:pPr>
              <w:pStyle w:val="Compact"/>
              <w:jc w:val="right"/>
            </w:pPr>
            <m:oMath>
              <m:r>
                <m:t>z</m:t>
              </m:r>
            </m:oMath>
            <w:r>
              <w:rPr>
                <w:b/>
                <w:bCs/>
              </w:rPr>
              <w:t xml:space="preserve"> </w:t>
            </w:r>
            <w:r>
              <w:rPr>
                <w:b/>
                <w:bCs/>
              </w:rPr>
              <w:t xml:space="preserve">(</w:t>
            </w:r>
            <m:oMath>
              <m:r>
                <m:t>k</m:t>
              </m:r>
              <m:r>
                <m:rPr>
                  <m:sty m:val="p"/>
                </m:rPr>
                <m:t>=</m:t>
              </m:r>
              <m:r>
                <m:t>20</m:t>
              </m:r>
            </m:oMath>
            <w:r>
              <w:rPr>
                <w:b/>
                <w:bCs/>
              </w:rPr>
              <w:t xml:space="preserve">)</w:t>
            </w:r>
          </w:p>
        </w:tc>
        <w:tc>
          <w:tcPr/>
          <w:p>
            <w:pPr>
              <w:pStyle w:val="Compact"/>
              <w:jc w:val="right"/>
            </w:pPr>
            <w:r>
              <w:rPr>
                <w:b/>
                <w:bCs/>
              </w:rPr>
              <w:t xml:space="preserve">global</w:t>
            </w:r>
            <w:r>
              <w:rPr>
                <w:b/>
                <w:bCs/>
              </w:rPr>
              <w:t xml:space="preserve"> </w:t>
            </w:r>
            <m:oMath>
              <m:r>
                <m:t>p</m:t>
              </m:r>
            </m:oMath>
          </w:p>
        </w:tc>
      </w:tr>
      <w:tr>
        <w:tc>
          <w:tcPr/>
          <w:p>
            <w:pPr>
              <w:pStyle w:val="Compact"/>
              <w:jc w:val="left"/>
            </w:pPr>
            <w:r>
              <w:t xml:space="preserve">plain permutation</w:t>
            </w:r>
          </w:p>
        </w:tc>
        <w:tc>
          <w:tcPr/>
          <w:p>
            <w:pPr>
              <w:pStyle w:val="Compact"/>
              <w:jc w:val="right"/>
            </w:pPr>
            <w:r>
              <w:t xml:space="preserve">1.0013</w:t>
            </w:r>
          </w:p>
        </w:tc>
        <w:tc>
          <w:tcPr/>
          <w:p>
            <w:pPr>
              <w:pStyle w:val="Compact"/>
              <w:jc w:val="right"/>
            </w:pPr>
            <w:r>
              <w:t xml:space="preserve">0.0049</w:t>
            </w:r>
          </w:p>
        </w:tc>
        <w:tc>
          <w:tcPr/>
          <w:p>
            <w:pPr>
              <w:pStyle w:val="Compact"/>
              <w:jc w:val="right"/>
            </w:pPr>
            <w:r>
              <w:t xml:space="preserve">9.7</w:t>
            </w:r>
          </w:p>
        </w:tc>
        <w:tc>
          <w:tcPr/>
          <w:p>
            <w:pPr>
              <w:pStyle w:val="Compact"/>
              <w:jc w:val="right"/>
            </w:pPr>
            <m:oMath>
              <m:r>
                <m:t>0.001</m:t>
              </m:r>
            </m:oMath>
          </w:p>
        </w:tc>
      </w:tr>
      <w:tr>
        <w:tc>
          <w:tcPr/>
          <w:p>
            <w:pPr>
              <w:pStyle w:val="Compact"/>
              <w:jc w:val="left"/>
            </w:pPr>
            <w:r>
              <w:t xml:space="preserve">stratified permutation (propensity deciles)</w:t>
            </w:r>
          </w:p>
        </w:tc>
        <w:tc>
          <w:tcPr/>
          <w:p>
            <w:pPr>
              <w:pStyle w:val="Compact"/>
              <w:jc w:val="right"/>
            </w:pPr>
            <w:r>
              <w:t xml:space="preserve">1.0124</w:t>
            </w:r>
          </w:p>
        </w:tc>
        <w:tc>
          <w:tcPr/>
          <w:p>
            <w:pPr>
              <w:pStyle w:val="Compact"/>
              <w:jc w:val="right"/>
            </w:pPr>
            <w:r>
              <w:t xml:space="preserve">0.0066</w:t>
            </w:r>
          </w:p>
        </w:tc>
        <w:tc>
          <w:tcPr/>
          <w:p>
            <w:pPr>
              <w:pStyle w:val="Compact"/>
              <w:jc w:val="right"/>
            </w:pPr>
            <w:r>
              <w:t xml:space="preserve">5.5</w:t>
            </w:r>
          </w:p>
        </w:tc>
        <w:tc>
          <w:tcPr/>
          <w:p>
            <w:pPr>
              <w:pStyle w:val="Compact"/>
              <w:jc w:val="right"/>
            </w:pPr>
            <m:oMath>
              <m:r>
                <m:t>0.001</m:t>
              </m:r>
            </m:oMath>
          </w:p>
        </w:tc>
      </w:tr>
      <w:tr>
        <w:tc>
          <w:tcPr/>
          <w:p>
            <w:pPr>
              <w:pStyle w:val="Compact"/>
              <w:jc w:val="left"/>
            </w:pPr>
            <w:r>
              <w:t xml:space="preserve">conditional randomization (CRT)</w:t>
            </w:r>
          </w:p>
        </w:tc>
        <w:tc>
          <w:tcPr/>
          <w:p>
            <w:pPr>
              <w:pStyle w:val="Compact"/>
              <w:jc w:val="right"/>
            </w:pPr>
            <w:r>
              <w:t xml:space="preserve">1.0150</w:t>
            </w:r>
          </w:p>
        </w:tc>
        <w:tc>
          <w:tcPr/>
          <w:p>
            <w:pPr>
              <w:pStyle w:val="Compact"/>
              <w:jc w:val="right"/>
            </w:pPr>
            <w:r>
              <w:t xml:space="preserve">0.0068</w:t>
            </w:r>
          </w:p>
        </w:tc>
        <w:tc>
          <w:tcPr/>
          <w:p>
            <w:pPr>
              <w:pStyle w:val="Compact"/>
              <w:jc w:val="right"/>
            </w:pPr>
            <w:r>
              <w:t xml:space="preserve">4.9</w:t>
            </w:r>
          </w:p>
        </w:tc>
        <w:tc>
          <w:tcPr/>
          <w:p>
            <w:pPr>
              <w:pStyle w:val="Compact"/>
              <w:jc w:val="right"/>
            </w:pPr>
            <m:oMath>
              <m:r>
                <m:t>0.001</m:t>
              </m:r>
            </m:oMath>
          </w:p>
        </w:tc>
      </w:tr>
    </w:tbl>
    <w:bookmarkEnd w:id="40"/>
    <w:p>
      <w:pPr>
        <w:pStyle w:val="BodyText"/>
      </w:pPr>
      <w:r>
        <w:t xml:space="preserve">Two features deserve emphasis. First, the stricter nulls are</w:t>
      </w:r>
      <w:r>
        <w:t xml:space="preserve"> </w:t>
      </w:r>
      <w:r>
        <w:rPr>
          <w:i/>
          <w:iCs/>
        </w:rPr>
        <w:t xml:space="preserve">not</w:t>
      </w:r>
      <w:r>
        <w:t xml:space="preserve"> </w:t>
      </w:r>
      <w:r>
        <w:t xml:space="preserve">centred at</w:t>
      </w:r>
      <w:r>
        <w:t xml:space="preserve"> </w:t>
      </w:r>
      <m:oMath>
        <m:r>
          <m:t>1</m:t>
        </m:r>
      </m:oMath>
      <w:r>
        <w:t xml:space="preserve">: preserving the race–feature dependence</w:t>
      </w:r>
      <w:r>
        <w:t xml:space="preserve"> </w:t>
      </w:r>
      <w:r>
        <w:t xml:space="preserve">shifts the null centre to</w:t>
      </w:r>
      <w:r>
        <w:t xml:space="preserve"> </w:t>
      </w:r>
      <m:oMath>
        <m:r>
          <m:t>1.012</m:t>
        </m:r>
      </m:oMath>
      <w:r>
        <w:t xml:space="preserve">–</w:t>
      </w:r>
      <m:oMath>
        <m:r>
          <m:t>1.015</m:t>
        </m:r>
      </m:oMath>
      <w:r>
        <w:t xml:space="preserve">, which is precisely the</w:t>
      </w:r>
      <w:r>
        <w:t xml:space="preserve"> </w:t>
      </w:r>
      <w:r>
        <w:t xml:space="preserve">mechanical matching component the reviewer anticipated—a race-blind</w:t>
      </w:r>
      <w:r>
        <w:t xml:space="preserve"> </w:t>
      </w:r>
      <w:r>
        <w:t xml:space="preserve">score on these feature distributions is expected to produce an LBI of</w:t>
      </w:r>
      <w:r>
        <w:t xml:space="preserve"> </w:t>
      </w:r>
      <w:r>
        <w:t xml:space="preserve">about</w:t>
      </w:r>
      <w:r>
        <w:t xml:space="preserve"> </w:t>
      </w:r>
      <m:oMath>
        <m:r>
          <m:t>1.015</m:t>
        </m:r>
      </m:oMath>
      <w:r>
        <w:t xml:space="preserve">, not</w:t>
      </w:r>
      <w:r>
        <w:t xml:space="preserve"> </w:t>
      </w:r>
      <m:oMath>
        <m:r>
          <m:t>1.000</m:t>
        </m:r>
      </m:oMath>
      <w:r>
        <w:t xml:space="preserve">. The plain permutation test, whose null is</w:t>
      </w:r>
      <w:r>
        <w:t xml:space="preserve"> </w:t>
      </w:r>
      <w:r>
        <w:t xml:space="preserve">centred at</w:t>
      </w:r>
      <w:r>
        <w:t xml:space="preserve"> </w:t>
      </w:r>
      <m:oMath>
        <m:r>
          <m:t>1.001</m:t>
        </m:r>
      </m:oMath>
      <w:r>
        <w:t xml:space="preserve">, therefore tests the wrong hypothesis, and</w:t>
      </w:r>
      <w:r>
        <w:t xml:space="preserve"> </w:t>
      </w:r>
      <w:r>
        <w:t xml:space="preserve">§4.9 shows it false-fires on more than half of</w:t>
      </w:r>
      <w:r>
        <w:t xml:space="preserve"> </w:t>
      </w:r>
      <w:r>
        <w:t xml:space="preserve">race-blind synthetic datasets. Second, even against the correctly</w:t>
      </w:r>
      <w:r>
        <w:t xml:space="preserve"> </w:t>
      </w:r>
      <w:r>
        <w:t xml:space="preserve">centred conditional null, the observed index rejects decisively:</w:t>
      </w:r>
      <w:r>
        <w:t xml:space="preserve"> </w:t>
      </w:r>
      <m:oMath>
        <m:r>
          <m:t>z</m:t>
        </m:r>
        <m:r>
          <m:rPr>
            <m:sty m:val="p"/>
          </m:rPr>
          <m:t>=</m:t>
        </m:r>
        <m:r>
          <m:t>4.9</m:t>
        </m:r>
      </m:oMath>
      <w:r>
        <w:t xml:space="preserve">, pointwise and global</w:t>
      </w:r>
      <w:r>
        <w:t xml:space="preserve"> </w:t>
      </w:r>
      <m:oMath>
        <m:r>
          <m:t>p</m:t>
        </m:r>
        <m:r>
          <m:rPr>
            <m:sty m:val="p"/>
          </m:rPr>
          <m:t>=</m:t>
        </m:r>
        <m:r>
          <m:t>0.001</m:t>
        </m:r>
      </m:oMath>
      <w:r>
        <w:t xml:space="preserve"> </w:t>
      </w:r>
      <w:r>
        <w:t xml:space="preserve">(no null draw’s max-</w:t>
      </w:r>
      <m:oMath>
        <m:r>
          <m:t>z</m:t>
        </m:r>
      </m:oMath>
      <w:r>
        <w:t xml:space="preserve"> </w:t>
      </w:r>
      <w:r>
        <w:t xml:space="preserve">reached the observed), with the stratified permutation—a</w:t>
      </w:r>
      <w:r>
        <w:t xml:space="preserve"> </w:t>
      </w:r>
      <w:r>
        <w:t xml:space="preserve">nonparametric check on the CRT’s logistic propensity model—agreeing</w:t>
      </w:r>
      <w:r>
        <w:t xml:space="preserve"> </w:t>
      </w:r>
      <w:r>
        <w:t xml:space="preserve">(</w:t>
      </w:r>
      <m:oMath>
        <m:r>
          <m:t>z</m:t>
        </m:r>
        <m:r>
          <m:rPr>
            <m:sty m:val="p"/>
          </m:rPr>
          <m:t>=</m:t>
        </m:r>
        <m:r>
          <m:t>5.5</m:t>
        </m:r>
      </m:oMath>
      <w:r>
        <w:t xml:space="preserve">). Figure 4 shows both nulls against</w:t>
      </w:r>
      <w:r>
        <w:t xml:space="preserve"> </w:t>
      </w:r>
      <w:r>
        <w:t xml:space="preserve">the observed value.</w:t>
      </w:r>
    </w:p>
    <w:bookmarkStart w:id="44" w:name="fig:permutation"/>
    <w:p>
      <w:pPr>
        <w:pStyle w:val="CaptionedFigure"/>
      </w:pPr>
      <w:r>
        <w:drawing>
          <wp:inline>
            <wp:extent cx="4000500" cy="2571750"/>
            <wp:effectExtent b="0" l="0" r="0" t="0"/>
            <wp:docPr descr="" title="" id="42" name="Picture"/>
            <a:graphic>
              <a:graphicData uri="http://schemas.openxmlformats.org/drawingml/2006/picture">
                <pic:pic>
                  <pic:nvPicPr>
                    <pic:cNvPr descr="figures/lbi_permutation.png" id="43" name="Picture"/>
                    <pic:cNvPicPr>
                      <a:picLocks noChangeArrowheads="1" noChangeAspect="1"/>
                    </pic:cNvPicPr>
                  </pic:nvPicPr>
                  <pic:blipFill>
                    <a:blip r:embed="rId41"/>
                    <a:stretch>
                      <a:fillRect/>
                    </a:stretch>
                  </pic:blipFill>
                  <pic:spPr bwMode="auto">
                    <a:xfrm>
                      <a:off x="0" y="0"/>
                      <a:ext cx="4000500" cy="2571750"/>
                    </a:xfrm>
                    <a:prstGeom prst="rect">
                      <a:avLst/>
                    </a:prstGeom>
                    <a:noFill/>
                    <a:ln w="9525">
                      <a:noFill/>
                      <a:headEnd/>
                      <a:tailEnd/>
                    </a:ln>
                  </pic:spPr>
                </pic:pic>
              </a:graphicData>
            </a:graphic>
          </wp:inline>
        </w:drawing>
      </w:r>
    </w:p>
    <w:p>
      <w:pPr>
        <w:pStyle w:val="ImageCaption"/>
      </w:pPr>
      <w:r>
        <w:t xml:space="preserve">Figure 4: Null distributions of LBI(race) at</w:t>
      </w:r>
      <w:r>
        <w:t xml:space="preserve"> </w:t>
      </w:r>
      <m:oMath>
        <m:r>
          <m:t>k</m:t>
        </m:r>
        <m:r>
          <m:rPr>
            <m:sty m:val="p"/>
          </m:rPr>
          <m:t>=</m:t>
        </m:r>
        <m:r>
          <m:t>20</m:t>
        </m:r>
      </m:oMath>
      <w:r>
        <w:t xml:space="preserve"> </w:t>
      </w:r>
      <w:r>
        <w:t xml:space="preserve">from 1</w:t>
      </w:r>
      <w:r>
        <w:t xml:space="preserve">,</w:t>
      </w:r>
      <w:r>
        <w:t xml:space="preserve">000</w:t>
      </w:r>
      <w:r>
        <w:t xml:space="preserve"> </w:t>
      </w:r>
      <w:r>
        <w:t xml:space="preserve">draws at full sample size: plain permutation (grey) and the</w:t>
      </w:r>
      <w:r>
        <w:t xml:space="preserve"> </w:t>
      </w:r>
      <w:r>
        <w:t xml:space="preserve">conditional randomization test preserving</w:t>
      </w:r>
      <w:r>
        <w:t xml:space="preserve"> </w:t>
      </w:r>
      <m:oMath>
        <m:acc>
          <m:accPr>
            <m:chr m:val="̂"/>
          </m:accPr>
          <m:e>
            <m:r>
              <m:t>P</m:t>
            </m:r>
          </m:e>
        </m:acc>
        <m:r>
          <m:rPr>
            <m:sty m:val="p"/>
          </m:rPr>
          <m:t>(</m:t>
        </m:r>
        <m:r>
          <m:rPr>
            <m:nor/>
            <m:sty m:val="p"/>
          </m:rPr>
          <m:t>race</m:t>
        </m:r>
        <m:r>
          <m:rPr>
            <m:sty m:val="p"/>
          </m:rPr>
          <m:t>∣</m:t>
        </m:r>
        <m:r>
          <m:rPr>
            <m:sty m:val="b"/>
          </m:rPr>
          <m:t>x</m:t>
        </m:r>
        <m:r>
          <m:rPr>
            <m:sty m:val="p"/>
          </m:rPr>
          <m:t>)</m:t>
        </m:r>
      </m:oMath>
      <w:r>
        <w:t xml:space="preserve"> </w:t>
      </w:r>
      <w:r>
        <w:t xml:space="preserve">(green). The conditional null</w:t>
      </w:r>
      <w:r>
        <w:t xml:space="preserve"> </w:t>
      </w:r>
      <w:r>
        <w:t xml:space="preserve">is centred at</w:t>
      </w:r>
      <w:r>
        <w:t xml:space="preserve"> </w:t>
      </w:r>
      <m:oMath>
        <m:r>
          <m:t>1.015</m:t>
        </m:r>
      </m:oMath>
      <w:r>
        <w:t xml:space="preserve">, not</w:t>
      </w:r>
      <w:r>
        <w:t xml:space="preserve"> </w:t>
      </w:r>
      <m:oMath>
        <m:r>
          <m:t>1.000</m:t>
        </m:r>
      </m:oMath>
      <w:r>
        <w:t xml:space="preserve">—the mechanical component of the</w:t>
      </w:r>
      <w:r>
        <w:t xml:space="preserve"> </w:t>
      </w:r>
      <w:r>
        <w:t xml:space="preserve">index under race-blind scoring. The observed value (red line) lies</w:t>
      </w:r>
      <w:r>
        <w:t xml:space="preserve"> </w:t>
      </w:r>
      <m:oMath>
        <m:r>
          <m:t>z</m:t>
        </m:r>
        <m:r>
          <m:rPr>
            <m:sty m:val="p"/>
          </m:rPr>
          <m:t>=</m:t>
        </m:r>
        <m:r>
          <m:t>4.9</m:t>
        </m:r>
      </m:oMath>
      <w:r>
        <w:t xml:space="preserve"> </w:t>
      </w:r>
      <w:r>
        <w:t xml:space="preserve">above the conditional null; no draw exceeded it under</w:t>
      </w:r>
      <w:r>
        <w:t xml:space="preserve"> </w:t>
      </w:r>
      <w:r>
        <w:t xml:space="preserve">either construction.</w:t>
      </w:r>
    </w:p>
    <w:bookmarkEnd w:id="44"/>
    <w:bookmarkEnd w:id="45"/>
    <w:bookmarkStart w:id="47" w:name="sec:scorerep"/>
    <w:p>
      <w:pPr>
        <w:pStyle w:val="Heading2"/>
      </w:pPr>
      <w:r>
        <w:t xml:space="preserve">Scores, categories, and classifications</w:t>
      </w:r>
    </w:p>
    <w:p>
      <w:pPr>
        <w:pStyle w:val="FirstParagraph"/>
      </w:pPr>
      <w:r>
        <w:t xml:space="preserve">COMPAS deciles map to three published categories: 1–4</w:t>
      </w:r>
      <w:r>
        <w:t xml:space="preserve"> </w:t>
      </w:r>
      <w:r>
        <w:t xml:space="preserve">“low,”</w:t>
      </w:r>
      <w:r>
        <w:t xml:space="preserve"> </w:t>
      </w:r>
      <w:r>
        <w:t xml:space="preserve">5–7</w:t>
      </w:r>
      <w:r>
        <w:t xml:space="preserve"> </w:t>
      </w:r>
      <w:r>
        <w:t xml:space="preserve">“medium,”</w:t>
      </w:r>
      <w:r>
        <w:t xml:space="preserve"> </w:t>
      </w:r>
      <w:r>
        <w:t xml:space="preserve">8–10</w:t>
      </w:r>
      <w:r>
        <w:t xml:space="preserve"> </w:t>
      </w:r>
      <w:r>
        <w:t xml:space="preserve">“high.”</w:t>
      </w:r>
      <w:r>
        <w:t xml:space="preserve"> </w:t>
      </w:r>
      <w:r>
        <w:t xml:space="preserve">ProPublica’s binary analysis treated</w:t>
      </w:r>
      <w:r>
        <w:t xml:space="preserve"> </w:t>
      </w:r>
      <w:r>
        <w:t xml:space="preserve">“medium or high”</w:t>
      </w:r>
      <w:r>
        <w:t xml:space="preserve"> </w:t>
      </w:r>
      <w:r>
        <w:t xml:space="preserve">(decile</w:t>
      </w:r>
      <w:r>
        <w:t xml:space="preserve"> </w:t>
      </w:r>
      <m:oMath>
        <m:r>
          <m:rPr>
            <m:sty m:val="p"/>
          </m:rPr>
          <m:t>≥</m:t>
        </m:r>
        <m:r>
          <m:t>5</m:t>
        </m:r>
      </m:oMath>
      <w:r>
        <w:t xml:space="preserve">) as its</w:t>
      </w:r>
      <w:r>
        <w:t xml:space="preserve"> </w:t>
      </w:r>
      <w:r>
        <w:t xml:space="preserve">“higher risk”</w:t>
      </w:r>
      <w:r>
        <w:t xml:space="preserve"> </w:t>
      </w:r>
      <w:r>
        <w:t xml:space="preserve">class;</w:t>
      </w:r>
      <w:r>
        <w:t xml:space="preserve"> </w:t>
      </w:r>
      <w:r>
        <w:t xml:space="preserve">we report that threshold under its proper name, add the</w:t>
      </w:r>
      <w:r>
        <w:t xml:space="preserve"> </w:t>
      </w:r>
      <m:oMath>
        <m:r>
          <m:rPr>
            <m:sty m:val="p"/>
          </m:rPr>
          <m:t>≥</m:t>
        </m:r>
        <m:r>
          <m:t>8</m:t>
        </m:r>
      </m:oMath>
      <w:r>
        <w:t xml:space="preserve"> </w:t>
      </w:r>
      <w:r>
        <w:t xml:space="preserve">(</w:t>
      </w:r>
      <w:r>
        <w:t xml:space="preserve">“high”</w:t>
      </w:r>
      <w:r>
        <w:t xml:space="preserve"> </w:t>
      </w:r>
      <w:r>
        <w:t xml:space="preserve">only) threshold, and caution that neither is universally</w:t>
      </w:r>
      <w:r>
        <w:t xml:space="preserve"> </w:t>
      </w:r>
      <w:r>
        <w:t xml:space="preserve">decision-relevant—operational cutoffs vary by jurisdiction and</w:t>
      </w:r>
      <w:r>
        <w:t xml:space="preserve"> </w:t>
      </w:r>
      <w:r>
        <w:t xml:space="preserve">decision point. Because a ratio alone cannot convey practical</w:t>
      </w:r>
      <w:r>
        <w:t xml:space="preserve"> </w:t>
      </w:r>
      <w:r>
        <w:t xml:space="preserve">magnitude, Table 6 reports the raw numerator and</w:t>
      </w:r>
      <w:r>
        <w:t xml:space="preserve"> </w:t>
      </w:r>
      <w:r>
        <w:t xml:space="preserve">denominator: the mean cross-race and same-race</w:t>
      </w:r>
      <w:r>
        <w:t xml:space="preserve"> </w:t>
      </w:r>
      <w:r>
        <w:t xml:space="preserve">classification-disagreement rates among matched neighbours.</w:t>
      </w:r>
    </w:p>
    <w:bookmarkStart w:id="46" w:name="tab:scorerep"/>
    <w:p>
      <w:pPr>
        <w:pStyle w:val="TableCaption"/>
      </w:pPr>
      <w:r>
        <w:t xml:space="preserve">Table 6:</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at</w:t>
      </w:r>
      <w:r>
        <w:t xml:space="preserve"> </w:t>
      </w:r>
      <m:oMath>
        <m:r>
          <m:t>k</m:t>
        </m:r>
        <m:r>
          <m:rPr>
            <m:sty m:val="p"/>
          </m:rPr>
          <m:t>=</m:t>
        </m:r>
        <m:r>
          <m:t>20</m:t>
        </m:r>
      </m:oMath>
      <w:r>
        <w:t xml:space="preserve"> </w:t>
      </w:r>
      <w:r>
        <w:t xml:space="preserve">by score</w:t>
      </w:r>
      <w:r>
        <w:t xml:space="preserve"> </w:t>
      </w:r>
      <w:r>
        <w:t xml:space="preserve">representation, with the underlying matched-neighbour disagreement</w:t>
      </w:r>
      <w:r>
        <w:t xml:space="preserve"> </w:t>
      </w:r>
      <w:r>
        <w:t xml:space="preserve">rates (for the decile row, mean absolute score gaps in decile</w:t>
      </w:r>
      <w:r>
        <w:t xml:space="preserve"> </w:t>
      </w:r>
      <w:r>
        <w:t xml:space="preserve">units). Naive bootstrap CIs.</w:t>
      </w:r>
    </w:p>
    <w:tbl>
      <w:tblPr>
        <w:tblStyle w:val="Table"/>
        <w:tblW w:type="auto" w:w="0"/>
        <w:tblLook w:firstRow="1" w:lastRow="0" w:firstColumn="0" w:lastColumn="0" w:noHBand="0" w:noVBand="0" w:val="0020"/>
        <w:tblCaption w:val="Table 6: \mathrm{LBI}(\text{race}) at k = 20 by score representation, with the underlying matched-neighbour disagreement rates (for the decile row, mean absolute score gaps in decile units). Naive bootstrap CIs."/>
      </w:tblPr>
      <w:tblGrid>
        <w:gridCol w:w="1584"/>
        <w:gridCol w:w="1584"/>
        <w:gridCol w:w="1584"/>
        <w:gridCol w:w="1584"/>
        <w:gridCol w:w="1584"/>
      </w:tblGrid>
      <w:tr>
        <w:trPr>
          <w:tblHeader w:val="on"/>
        </w:trPr>
        <w:tc>
          <w:tcPr/>
          <w:p>
            <w:pPr>
              <w:pStyle w:val="Compact"/>
              <w:jc w:val="left"/>
            </w:pPr>
            <w:r>
              <w:rPr>
                <w:b/>
                <w:bCs/>
              </w:rPr>
              <w:t xml:space="preserve">Representation</w:t>
            </w:r>
          </w:p>
        </w:tc>
        <w:tc>
          <w:tcPr/>
          <w:p>
            <w:pPr>
              <w:pStyle w:val="Compact"/>
              <w:jc w:val="right"/>
            </w:pPr>
            <w:r>
              <w:rPr>
                <w:b/>
                <w:bCs/>
              </w:rPr>
              <w:t xml:space="preserve">LBI</w:t>
            </w:r>
          </w:p>
        </w:tc>
        <w:tc>
          <w:tcPr/>
          <w:p>
            <w:pPr>
              <w:pStyle w:val="Compact"/>
              <w:jc w:val="right"/>
            </w:pPr>
            <w:r>
              <w:rPr>
                <w:b/>
                <w:bCs/>
              </w:rPr>
              <w:t xml:space="preserve">cross rate</w:t>
            </w:r>
          </w:p>
        </w:tc>
        <w:tc>
          <w:tcPr/>
          <w:p>
            <w:pPr>
              <w:pStyle w:val="Compact"/>
              <w:jc w:val="right"/>
            </w:pPr>
            <w:r>
              <w:rPr>
                <w:b/>
                <w:bCs/>
              </w:rPr>
              <w:t xml:space="preserve">same rate</w:t>
            </w:r>
          </w:p>
        </w:tc>
        <w:tc>
          <w:tcPr/>
          <w:p>
            <w:pPr>
              <w:pStyle w:val="Compact"/>
              <w:jc w:val="left"/>
            </w:pPr>
            <w:r>
              <w:rPr>
                <w:b/>
                <w:bCs/>
              </w:rPr>
              <w:t xml:space="preserve">95 % CI</w:t>
            </w:r>
          </w:p>
        </w:tc>
      </w:tr>
      <w:tr>
        <w:tc>
          <w:tcPr/>
          <w:p>
            <w:pPr>
              <w:pStyle w:val="Compact"/>
              <w:jc w:val="left"/>
            </w:pPr>
            <w:r>
              <w:t xml:space="preserve">raw decile (1–10)</w:t>
            </w:r>
          </w:p>
        </w:tc>
        <w:tc>
          <w:tcPr/>
          <w:p>
            <w:pPr>
              <w:pStyle w:val="Compact"/>
              <w:jc w:val="right"/>
            </w:pPr>
            <w:r>
              <w:t xml:space="preserve">1.049</w:t>
            </w:r>
          </w:p>
        </w:tc>
        <w:tc>
          <w:tcPr/>
          <w:p>
            <w:pPr>
              <w:pStyle w:val="Compact"/>
              <w:jc w:val="right"/>
            </w:pPr>
            <w:r>
              <w:t xml:space="preserve">2.323</w:t>
            </w:r>
          </w:p>
        </w:tc>
        <w:tc>
          <w:tcPr/>
          <w:p>
            <w:pPr>
              <w:pStyle w:val="Compact"/>
              <w:jc w:val="right"/>
            </w:pPr>
            <w:r>
              <w:t xml:space="preserve">2.215</w:t>
            </w:r>
          </w:p>
        </w:tc>
        <w:tc>
          <w:tcPr/>
          <w:p>
            <w:pPr>
              <w:pStyle w:val="Compact"/>
              <w:jc w:val="left"/>
            </w:pPr>
            <m:oMath>
              <m:r>
                <m:rPr>
                  <m:sty m:val="p"/>
                </m:rPr>
                <m:t>[</m:t>
              </m:r>
              <m:r>
                <m:t>1.039</m:t>
              </m:r>
              <m:r>
                <m:rPr>
                  <m:sty m:val="p"/>
                </m:rPr>
                <m:t>,</m:t>
              </m:r>
              <m:r>
                <m:t>1.058</m:t>
              </m:r>
              <m:r>
                <m:rPr>
                  <m:sty m:val="p"/>
                </m:rPr>
                <m:t>]</m:t>
              </m:r>
            </m:oMath>
          </w:p>
        </w:tc>
      </w:tr>
      <w:tr>
        <w:tc>
          <w:tcPr/>
          <w:p>
            <w:pPr>
              <w:pStyle w:val="Compact"/>
              <w:jc w:val="left"/>
            </w:pPr>
            <w:r>
              <w:t xml:space="preserve">three-category (low/med/high)</w:t>
            </w:r>
          </w:p>
        </w:tc>
        <w:tc>
          <w:tcPr/>
          <w:p>
            <w:pPr>
              <w:pStyle w:val="Compact"/>
              <w:jc w:val="right"/>
            </w:pPr>
            <w:r>
              <w:t xml:space="preserve">1.065</w:t>
            </w:r>
          </w:p>
        </w:tc>
        <w:tc>
          <w:tcPr/>
          <w:p>
            <w:pPr>
              <w:pStyle w:val="Compact"/>
              <w:jc w:val="right"/>
            </w:pPr>
            <w:r>
              <w:t xml:space="preserve">0.619</w:t>
            </w:r>
          </w:p>
        </w:tc>
        <w:tc>
          <w:tcPr/>
          <w:p>
            <w:pPr>
              <w:pStyle w:val="Compact"/>
              <w:jc w:val="right"/>
            </w:pPr>
            <w:r>
              <w:t xml:space="preserve">0.582</w:t>
            </w:r>
          </w:p>
        </w:tc>
        <w:tc>
          <w:tcPr/>
          <w:p>
            <w:pPr>
              <w:pStyle w:val="Compact"/>
              <w:jc w:val="left"/>
            </w:pPr>
            <m:oMath>
              <m:r>
                <m:rPr>
                  <m:sty m:val="p"/>
                </m:rPr>
                <m:t>[</m:t>
              </m:r>
              <m:r>
                <m:t>1.052</m:t>
              </m:r>
              <m:r>
                <m:rPr>
                  <m:sty m:val="p"/>
                </m:rPr>
                <m:t>,</m:t>
              </m:r>
              <m:r>
                <m:t>1.077</m:t>
              </m:r>
              <m:r>
                <m:rPr>
                  <m:sty m:val="p"/>
                </m:rPr>
                <m:t>]</m:t>
              </m:r>
            </m:oMath>
          </w:p>
        </w:tc>
      </w:tr>
      <w:tr>
        <w:tc>
          <w:tcPr/>
          <w:p>
            <w:pPr>
              <w:pStyle w:val="Compact"/>
              <w:jc w:val="left"/>
            </w:pPr>
            <w:r>
              <w:t xml:space="preserve">binary medium-or-high (</w:t>
            </w:r>
            <m:oMath>
              <m:r>
                <m:rPr>
                  <m:sty m:val="p"/>
                </m:rPr>
                <m:t>≥</m:t>
              </m:r>
              <m:r>
                <m:t>5</m:t>
              </m:r>
            </m:oMath>
            <w:r>
              <w:t xml:space="preserve">; ProPublica)</w:t>
            </w:r>
          </w:p>
        </w:tc>
        <w:tc>
          <w:tcPr/>
          <w:p>
            <w:pPr>
              <w:pStyle w:val="Compact"/>
              <w:jc w:val="right"/>
            </w:pPr>
            <w:r>
              <w:t xml:space="preserve">1.092</w:t>
            </w:r>
          </w:p>
        </w:tc>
        <w:tc>
          <w:tcPr/>
          <w:p>
            <w:pPr>
              <w:pStyle w:val="Compact"/>
              <w:jc w:val="right"/>
            </w:pPr>
            <w:r>
              <w:t xml:space="preserve">0.373</w:t>
            </w:r>
          </w:p>
        </w:tc>
        <w:tc>
          <w:tcPr/>
          <w:p>
            <w:pPr>
              <w:pStyle w:val="Compact"/>
              <w:jc w:val="right"/>
            </w:pPr>
            <w:r>
              <w:t xml:space="preserve">0.342</w:t>
            </w:r>
          </w:p>
        </w:tc>
        <w:tc>
          <w:tcPr/>
          <w:p>
            <w:pPr>
              <w:pStyle w:val="Compact"/>
              <w:jc w:val="left"/>
            </w:pPr>
            <m:oMath>
              <m:r>
                <m:rPr>
                  <m:sty m:val="p"/>
                </m:rPr>
                <m:t>[</m:t>
              </m:r>
              <m:r>
                <m:t>1.077</m:t>
              </m:r>
              <m:r>
                <m:rPr>
                  <m:sty m:val="p"/>
                </m:rPr>
                <m:t>,</m:t>
              </m:r>
              <m:r>
                <m:t>1.106</m:t>
              </m:r>
              <m:r>
                <m:rPr>
                  <m:sty m:val="p"/>
                </m:rPr>
                <m:t>]</m:t>
              </m:r>
            </m:oMath>
          </w:p>
        </w:tc>
      </w:tr>
      <w:tr>
        <w:tc>
          <w:tcPr/>
          <w:p>
            <w:pPr>
              <w:pStyle w:val="Compact"/>
              <w:jc w:val="left"/>
            </w:pPr>
            <w:r>
              <w:t xml:space="preserve">binary high (</w:t>
            </w:r>
            <m:oMath>
              <m:r>
                <m:rPr>
                  <m:sty m:val="p"/>
                </m:rPr>
                <m:t>≥</m:t>
              </m:r>
              <m:r>
                <m:t>8</m:t>
              </m:r>
            </m:oMath>
            <w:r>
              <w:t xml:space="preserve">)</w:t>
            </w:r>
          </w:p>
        </w:tc>
        <w:tc>
          <w:tcPr/>
          <w:p>
            <w:pPr>
              <w:pStyle w:val="Compact"/>
              <w:jc w:val="right"/>
            </w:pPr>
            <w:r>
              <w:t xml:space="preserve">1.026</w:t>
            </w:r>
          </w:p>
        </w:tc>
        <w:tc>
          <w:tcPr/>
          <w:p>
            <w:pPr>
              <w:pStyle w:val="Compact"/>
              <w:jc w:val="right"/>
            </w:pPr>
            <w:r>
              <w:t xml:space="preserve">0.246</w:t>
            </w:r>
          </w:p>
        </w:tc>
        <w:tc>
          <w:tcPr/>
          <w:p>
            <w:pPr>
              <w:pStyle w:val="Compact"/>
              <w:jc w:val="right"/>
            </w:pPr>
            <w:r>
              <w:t xml:space="preserve">0.240</w:t>
            </w:r>
          </w:p>
        </w:tc>
        <w:tc>
          <w:tcPr/>
          <w:p>
            <w:pPr>
              <w:pStyle w:val="Compact"/>
              <w:jc w:val="left"/>
            </w:pPr>
            <m:oMath>
              <m:r>
                <m:rPr>
                  <m:sty m:val="p"/>
                </m:rPr>
                <m:t>[</m:t>
              </m:r>
              <m:r>
                <m:t>1.007</m:t>
              </m:r>
              <m:r>
                <m:rPr>
                  <m:sty m:val="p"/>
                </m:rPr>
                <m:t>,</m:t>
              </m:r>
              <m:r>
                <m:t>1.045</m:t>
              </m:r>
              <m:r>
                <m:rPr>
                  <m:sty m:val="p"/>
                </m:rPr>
                <m:t>]</m:t>
              </m:r>
            </m:oMath>
          </w:p>
        </w:tc>
      </w:tr>
    </w:tbl>
    <w:bookmarkEnd w:id="46"/>
    <w:p>
      <w:pPr>
        <w:pStyle w:val="BodyText"/>
      </w:pPr>
      <w:r>
        <w:t xml:space="preserve">At ProPublica’s medium-or-high threshold, matched cross-race</w:t>
      </w:r>
      <w:r>
        <w:t xml:space="preserve"> </w:t>
      </w:r>
      <w:r>
        <w:t xml:space="preserve">neighbour pairs disagree on the classification 37.3 % of the time</w:t>
      </w:r>
      <w:r>
        <w:t xml:space="preserve"> </w:t>
      </w:r>
      <w:r>
        <w:t xml:space="preserve">against a same-race rate of 34.2 %: a 3.1-percentage-point</w:t>
      </w:r>
      <w:r>
        <w:t xml:space="preserve"> </w:t>
      </w:r>
      <w:r>
        <w:t xml:space="preserve">absolute, 9.2 % relative excess. At the</w:t>
      </w:r>
      <w:r>
        <w:t xml:space="preserve"> </w:t>
      </w:r>
      <w:r>
        <w:t xml:space="preserve">“high”</w:t>
      </w:r>
      <w:r>
        <w:t xml:space="preserve"> </w:t>
      </w:r>
      <w:r>
        <w:t xml:space="preserve">threshold the</w:t>
      </w:r>
      <w:r>
        <w:t xml:space="preserve"> </w:t>
      </w:r>
      <w:r>
        <w:t xml:space="preserve">excess is smaller (1.026; 24.6 % vs. 24.0 %). The disparity is</w:t>
      </w:r>
      <w:r>
        <w:t xml:space="preserve"> </w:t>
      </w:r>
      <w:r>
        <w:t xml:space="preserve">therefore largest exactly at the cutoff that drove the public</w:t>
      </w:r>
      <w:r>
        <w:t xml:space="preserve"> </w:t>
      </w:r>
      <w:r>
        <w:t xml:space="preserve">controversy, and an LBI of 1.092 should be read as a 9.2 %</w:t>
      </w:r>
      <w:r>
        <w:t xml:space="preserve"> </w:t>
      </w:r>
      <w:r>
        <w:rPr>
          <w:i/>
          <w:iCs/>
        </w:rPr>
        <w:t xml:space="preserve">relative</w:t>
      </w:r>
      <w:r>
        <w:t xml:space="preserve"> </w:t>
      </w:r>
      <w:r>
        <w:t xml:space="preserve">increase in disagreement, not a nine-point one.</w:t>
      </w:r>
    </w:p>
    <w:bookmarkEnd w:id="47"/>
    <w:bookmarkStart w:id="49" w:name="sec:robustness"/>
    <w:p>
      <w:pPr>
        <w:pStyle w:val="Heading2"/>
      </w:pPr>
      <w:r>
        <w:t xml:space="preserve">Robustness: feature sets and matching methods</w:t>
      </w:r>
    </w:p>
    <w:p>
      <w:pPr>
        <w:pStyle w:val="FirstParagraph"/>
      </w:pPr>
      <w:r>
        <w:t xml:space="preserve">The standing objection to any matched-comparison diagnostic is that</w:t>
      </w:r>
      <w:r>
        <w:t xml:space="preserve"> </w:t>
      </w:r>
      <w:r>
        <w:t xml:space="preserve">the signal is an artefact of the analyst’s choices: the feature list,</w:t>
      </w:r>
      <w:r>
        <w:t xml:space="preserve"> </w:t>
      </w:r>
      <w:r>
        <w:t xml:space="preserve">or the matching machinery itself. Table 7 tests both.</w:t>
      </w:r>
      <w:r>
        <w:t xml:space="preserve"> </w:t>
      </w:r>
      <w:r>
        <w:t xml:space="preserve">(All rows use the rebuilt pipeline with deterministic tie-breaking;</w:t>
      </w:r>
      <w:r>
        <w:t xml:space="preserve"> </w:t>
      </w:r>
      <w:r>
        <w:t xml:space="preserve">naive bootstrap CIs.)</w:t>
      </w:r>
    </w:p>
    <w:bookmarkStart w:id="48" w:name="tab:robust"/>
    <w:p>
      <w:pPr>
        <w:pStyle w:val="TableCaption"/>
      </w:pPr>
      <w:r>
        <w:t xml:space="preserve">Table 7: Robustness of</w:t>
      </w:r>
      <w:r>
        <w:t xml:space="preserve"> </w:t>
      </w:r>
      <m:oMath>
        <m:r>
          <m:rPr>
            <m:sty m:val="p"/>
          </m:rPr>
          <m:t>L</m:t>
        </m:r>
        <m:r>
          <m:rPr>
            <m:sty m:val="p"/>
          </m:rPr>
          <m:t>B</m:t>
        </m:r>
        <m:r>
          <m:rPr>
            <m:sty m:val="p"/>
          </m:rPr>
          <m:t>I</m:t>
        </m:r>
        <m:r>
          <m:rPr>
            <m:sty m:val="p"/>
          </m:rPr>
          <m:t>(</m:t>
        </m:r>
        <m:r>
          <m:rPr>
            <m:nor/>
            <m:sty m:val="p"/>
          </m:rPr>
          <m:t>race</m:t>
        </m:r>
        <m:r>
          <m:rPr>
            <m:sty m:val="p"/>
          </m:rPr>
          <m:t>)</m:t>
        </m:r>
      </m:oMath>
      <w:r>
        <w:t xml:space="preserve"> </w:t>
      </w:r>
      <w:r>
        <w:t xml:space="preserve">at</w:t>
      </w:r>
      <w:r>
        <w:t xml:space="preserve"> </w:t>
      </w:r>
      <m:oMath>
        <m:r>
          <m:t>k</m:t>
        </m:r>
        <m:r>
          <m:rPr>
            <m:sty m:val="p"/>
          </m:rPr>
          <m:t>=</m:t>
        </m:r>
        <m:r>
          <m:t>20</m:t>
        </m:r>
      </m:oMath>
      <w:r>
        <w:t xml:space="preserve">.</w:t>
      </w:r>
      <w:r>
        <w:t xml:space="preserve"> </w:t>
      </w:r>
      <w:r>
        <w:t xml:space="preserve">Top: legitimate-feature set (Mahalanobis, decile score). Bottom:</w:t>
      </w:r>
      <w:r>
        <w:t xml:space="preserve"> </w:t>
      </w:r>
      <w:r>
        <w:t xml:space="preserve">matching method (six features, decile score).</w:t>
      </w:r>
    </w:p>
    <w:tbl>
      <w:tblPr>
        <w:tblStyle w:val="Table"/>
        <w:tblW w:type="auto" w:w="0"/>
        <w:tblLook w:firstRow="1" w:lastRow="0" w:firstColumn="0" w:lastColumn="0" w:noHBand="0" w:noVBand="0" w:val="0020"/>
        <w:tblCaption w:val="Table 7: Robustness of \mathrm{LBI}(\text{race}) at k = 20. Top: legitimate-feature set (Mahalanobis, decile score). Bottom: matching method (six features, decile score)."/>
      </w:tblPr>
      <w:tblGrid>
        <w:gridCol w:w="2640"/>
        <w:gridCol w:w="2640"/>
        <w:gridCol w:w="2640"/>
      </w:tblGrid>
      <w:tr>
        <w:trPr>
          <w:tblHeader w:val="on"/>
        </w:trPr>
        <w:tc>
          <w:tcPr/>
          <w:p>
            <w:pPr>
              <w:pStyle w:val="Compact"/>
              <w:jc w:val="left"/>
            </w:pPr>
            <w:r>
              <w:rPr>
                <w:b/>
                <w:bCs/>
              </w:rPr>
              <w:t xml:space="preserve">Specification</w:t>
            </w:r>
          </w:p>
        </w:tc>
        <w:tc>
          <w:tcPr/>
          <w:p>
            <w:pPr>
              <w:pStyle w:val="Compact"/>
              <w:jc w:val="right"/>
            </w:pPr>
            <w:r>
              <w:rPr>
                <w:b/>
                <w:bCs/>
              </w:rPr>
              <w:t xml:space="preserve">LBI</w:t>
            </w:r>
          </w:p>
        </w:tc>
        <w:tc>
          <w:tcPr/>
          <w:p>
            <w:pPr>
              <w:pStyle w:val="Compact"/>
              <w:jc w:val="left"/>
            </w:pPr>
            <w:r>
              <w:rPr>
                <w:b/>
                <w:bCs/>
              </w:rPr>
              <w:t xml:space="preserve">95 % CI</w:t>
            </w:r>
          </w:p>
        </w:tc>
      </w:tr>
      <w:tr>
        <w:tc>
          <w:tcPr>
            <w:gridSpan w:val="3"/>
          </w:tcPr>
          <w:p>
            <w:pPr>
              <w:pStyle w:val="Compact"/>
              <w:jc w:val="left"/>
            </w:pPr>
            <w:r>
              <w:rPr>
                <w:i/>
                <w:iCs/>
              </w:rPr>
              <w:t xml:space="preserve">Feature set</w:t>
            </w:r>
          </w:p>
        </w:tc>
      </w:tr>
      <w:tr>
        <w:tc>
          <w:tcPr/>
          <w:p>
            <w:pPr>
              <w:pStyle w:val="Compact"/>
              <w:jc w:val="left"/>
            </w:pPr>
            <w:r>
              <w:t xml:space="preserve">minimal (age, priors)</w:t>
            </w:r>
          </w:p>
        </w:tc>
        <w:tc>
          <w:tcPr/>
          <w:p>
            <w:pPr>
              <w:pStyle w:val="Compact"/>
              <w:jc w:val="right"/>
            </w:pPr>
            <w:r>
              <w:t xml:space="preserve">1.034</w:t>
            </w:r>
          </w:p>
        </w:tc>
        <w:tc>
          <w:tcPr/>
          <w:p>
            <w:pPr>
              <w:pStyle w:val="Compact"/>
              <w:jc w:val="left"/>
            </w:pPr>
            <m:oMath>
              <m:r>
                <m:rPr>
                  <m:sty m:val="p"/>
                </m:rPr>
                <m:t>[</m:t>
              </m:r>
              <m:r>
                <m:t>1.025</m:t>
              </m:r>
              <m:r>
                <m:rPr>
                  <m:sty m:val="p"/>
                </m:rPr>
                <m:t>,</m:t>
              </m:r>
              <m:r>
                <m:t>1.042</m:t>
              </m:r>
              <m:r>
                <m:rPr>
                  <m:sty m:val="p"/>
                </m:rPr>
                <m:t>]</m:t>
              </m:r>
            </m:oMath>
          </w:p>
        </w:tc>
      </w:tr>
      <w:tr>
        <w:tc>
          <w:tcPr/>
          <w:p>
            <w:pPr>
              <w:pStyle w:val="Compact"/>
              <w:jc w:val="left"/>
            </w:pPr>
            <w:r>
              <w:t xml:space="preserve">paper (6 features)</w:t>
            </w:r>
          </w:p>
        </w:tc>
        <w:tc>
          <w:tcPr/>
          <w:p>
            <w:pPr>
              <w:pStyle w:val="Compact"/>
              <w:jc w:val="right"/>
            </w:pPr>
            <w:r>
              <w:t xml:space="preserve">1.049</w:t>
            </w:r>
          </w:p>
        </w:tc>
        <w:tc>
          <w:tcPr/>
          <w:p>
            <w:pPr>
              <w:pStyle w:val="Compact"/>
              <w:jc w:val="left"/>
            </w:pPr>
            <m:oMath>
              <m:r>
                <m:rPr>
                  <m:sty m:val="p"/>
                </m:rPr>
                <m:t>[</m:t>
              </m:r>
              <m:r>
                <m:t>1.039</m:t>
              </m:r>
              <m:r>
                <m:rPr>
                  <m:sty m:val="p"/>
                </m:rPr>
                <m:t>,</m:t>
              </m:r>
              <m:r>
                <m:t>1.058</m:t>
              </m:r>
              <m:r>
                <m:rPr>
                  <m:sty m:val="p"/>
                </m:rPr>
                <m:t>]</m:t>
              </m:r>
            </m:oMath>
          </w:p>
        </w:tc>
      </w:tr>
      <w:tr>
        <w:tc>
          <w:tcPr/>
          <w:p>
            <w:pPr>
              <w:pStyle w:val="Compact"/>
              <w:jc w:val="left"/>
            </w:pPr>
            <w:r>
              <w:t xml:space="preserve">drop contested juvenile counts</w:t>
            </w:r>
          </w:p>
        </w:tc>
        <w:tc>
          <w:tcPr/>
          <w:p>
            <w:pPr>
              <w:pStyle w:val="Compact"/>
              <w:jc w:val="right"/>
            </w:pPr>
            <w:r>
              <w:t xml:space="preserve">1.034</w:t>
            </w:r>
          </w:p>
        </w:tc>
        <w:tc>
          <w:tcPr/>
          <w:p>
            <w:pPr>
              <w:pStyle w:val="Compact"/>
              <w:jc w:val="left"/>
            </w:pPr>
            <m:oMath>
              <m:r>
                <m:rPr>
                  <m:sty m:val="p"/>
                </m:rPr>
                <m:t>[</m:t>
              </m:r>
              <m:r>
                <m:t>1.025</m:t>
              </m:r>
              <m:r>
                <m:rPr>
                  <m:sty m:val="p"/>
                </m:rPr>
                <m:t>,</m:t>
              </m:r>
              <m:r>
                <m:t>1.042</m:t>
              </m:r>
              <m:r>
                <m:rPr>
                  <m:sty m:val="p"/>
                </m:rPr>
                <m:t>]</m:t>
              </m:r>
            </m:oMath>
          </w:p>
        </w:tc>
      </w:tr>
      <w:tr>
        <w:tc>
          <w:tcPr/>
          <w:p>
            <w:pPr>
              <w:pStyle w:val="Compact"/>
              <w:jc w:val="left"/>
            </w:pPr>
            <w:r>
              <w:t xml:space="preserve">paper</w:t>
            </w:r>
            <w:r>
              <w:t xml:space="preserve"> </w:t>
            </w:r>
            <m:oMath>
              <m:r>
                <m:rPr>
                  <m:sty m:val="p"/>
                </m:rPr>
                <m:t>+</m:t>
              </m:r>
            </m:oMath>
            <w:r>
              <w:t xml:space="preserve"> </w:t>
            </w:r>
            <w:r>
              <w:t xml:space="preserve">sex control</w:t>
            </w:r>
            <m:oMath>
              <m:r>
                <m:rPr>
                  <m:sty m:val="p"/>
                </m:rPr>
                <m:t>†</m:t>
              </m:r>
            </m:oMath>
          </w:p>
        </w:tc>
        <w:tc>
          <w:tcPr/>
          <w:p>
            <w:pPr>
              <w:pStyle w:val="Compact"/>
              <w:jc w:val="right"/>
            </w:pPr>
            <w:r>
              <w:t xml:space="preserve">1.060</w:t>
            </w:r>
          </w:p>
        </w:tc>
        <w:tc>
          <w:tcPr/>
          <w:p>
            <w:pPr>
              <w:pStyle w:val="Compact"/>
              <w:jc w:val="left"/>
            </w:pPr>
            <m:oMath>
              <m:r>
                <m:rPr>
                  <m:sty m:val="p"/>
                </m:rPr>
                <m:t>[</m:t>
              </m:r>
              <m:r>
                <m:t>1.050</m:t>
              </m:r>
              <m:r>
                <m:rPr>
                  <m:sty m:val="p"/>
                </m:rPr>
                <m:t>,</m:t>
              </m:r>
              <m:r>
                <m:t>1.071</m:t>
              </m:r>
              <m:r>
                <m:rPr>
                  <m:sty m:val="p"/>
                </m:rPr>
                <m:t>]</m:t>
              </m:r>
            </m:oMath>
          </w:p>
        </w:tc>
      </w:tr>
      <w:tr>
        <w:tc>
          <w:tcPr>
            <w:gridSpan w:val="3"/>
          </w:tcPr>
          <w:p>
            <w:pPr>
              <w:pStyle w:val="Compact"/>
              <w:jc w:val="left"/>
            </w:pPr>
            <w:r>
              <w:rPr>
                <w:i/>
                <w:iCs/>
              </w:rPr>
              <w:t xml:space="preserve">Matching method</w:t>
            </w:r>
          </w:p>
        </w:tc>
      </w:tr>
      <w:tr>
        <w:tc>
          <w:tcPr/>
          <w:p>
            <w:pPr>
              <w:pStyle w:val="Compact"/>
              <w:jc w:val="left"/>
            </w:pPr>
            <w:r>
              <w:t xml:space="preserve">Euclidean on standardized features</w:t>
            </w:r>
          </w:p>
        </w:tc>
        <w:tc>
          <w:tcPr/>
          <w:p>
            <w:pPr>
              <w:pStyle w:val="Compact"/>
              <w:jc w:val="right"/>
            </w:pPr>
            <w:r>
              <w:t xml:space="preserve">1.048</w:t>
            </w:r>
          </w:p>
        </w:tc>
        <w:tc>
          <w:tcPr/>
          <w:p>
            <w:pPr>
              <w:pStyle w:val="Compact"/>
              <w:jc w:val="left"/>
            </w:pPr>
            <m:oMath>
              <m:r>
                <m:rPr>
                  <m:sty m:val="p"/>
                </m:rPr>
                <m:t>[</m:t>
              </m:r>
              <m:r>
                <m:t>1.038</m:t>
              </m:r>
              <m:r>
                <m:rPr>
                  <m:sty m:val="p"/>
                </m:rPr>
                <m:t>,</m:t>
              </m:r>
              <m:r>
                <m:t>1.057</m:t>
              </m:r>
              <m:r>
                <m:rPr>
                  <m:sty m:val="p"/>
                </m:rPr>
                <m:t>]</m:t>
              </m:r>
            </m:oMath>
          </w:p>
        </w:tc>
      </w:tr>
      <w:tr>
        <w:tc>
          <w:tcPr/>
          <w:p>
            <w:pPr>
              <w:pStyle w:val="Compact"/>
              <w:jc w:val="left"/>
            </w:pPr>
            <w:r>
              <w:t xml:space="preserve">robust Mahalanobis (MinCovDet)</w:t>
            </w:r>
          </w:p>
        </w:tc>
        <w:tc>
          <w:tcPr/>
          <w:p>
            <w:pPr>
              <w:pStyle w:val="Compact"/>
              <w:jc w:val="right"/>
            </w:pPr>
            <w:r>
              <w:t xml:space="preserve">1.048</w:t>
            </w:r>
          </w:p>
        </w:tc>
        <w:tc>
          <w:tcPr/>
          <w:p>
            <w:pPr>
              <w:pStyle w:val="Compact"/>
              <w:jc w:val="left"/>
            </w:pPr>
            <m:oMath>
              <m:r>
                <m:rPr>
                  <m:sty m:val="p"/>
                </m:rPr>
                <m:t>[</m:t>
              </m:r>
              <m:r>
                <m:t>1.039</m:t>
              </m:r>
              <m:r>
                <m:rPr>
                  <m:sty m:val="p"/>
                </m:rPr>
                <m:t>,</m:t>
              </m:r>
              <m:r>
                <m:t>1.057</m:t>
              </m:r>
              <m:r>
                <m:rPr>
                  <m:sty m:val="p"/>
                </m:rPr>
                <m:t>]</m:t>
              </m:r>
            </m:oMath>
          </w:p>
        </w:tc>
      </w:tr>
      <w:tr>
        <w:tc>
          <w:tcPr/>
          <w:p>
            <w:pPr>
              <w:pStyle w:val="Compact"/>
              <w:jc w:val="left"/>
            </w:pPr>
            <m:oMath>
              <m:r>
                <m:rPr>
                  <m:sty m:val="p"/>
                </m:rPr>
                <m:t>log</m:t>
              </m:r>
              <m:r>
                <m:rPr>
                  <m:sty m:val="p"/>
                </m:rPr>
                <m:t>(</m:t>
              </m:r>
              <m:r>
                <m:t>1</m:t>
              </m:r>
              <m:r>
                <m:rPr>
                  <m:sty m:val="p"/>
                </m:rPr>
                <m:t>+</m:t>
              </m:r>
              <m:r>
                <m:t>x</m:t>
              </m:r>
              <m:r>
                <m:rPr>
                  <m:sty m:val="p"/>
                </m:rPr>
                <m:t>)</m:t>
              </m:r>
            </m:oMath>
            <w:r>
              <w:t xml:space="preserve"> </w:t>
            </w:r>
            <w:r>
              <w:t xml:space="preserve">on count features, Mahalanobis</w:t>
            </w:r>
          </w:p>
        </w:tc>
        <w:tc>
          <w:tcPr/>
          <w:p>
            <w:pPr>
              <w:pStyle w:val="Compact"/>
              <w:jc w:val="right"/>
            </w:pPr>
            <w:r>
              <w:t xml:space="preserve">1.048</w:t>
            </w:r>
          </w:p>
        </w:tc>
        <w:tc>
          <w:tcPr/>
          <w:p>
            <w:pPr>
              <w:pStyle w:val="Compact"/>
              <w:jc w:val="left"/>
            </w:pPr>
            <m:oMath>
              <m:r>
                <m:rPr>
                  <m:sty m:val="p"/>
                </m:rPr>
                <m:t>[</m:t>
              </m:r>
              <m:r>
                <m:t>1.038</m:t>
              </m:r>
              <m:r>
                <m:rPr>
                  <m:sty m:val="p"/>
                </m:rPr>
                <m:t>,</m:t>
              </m:r>
              <m:r>
                <m:t>1.057</m:t>
              </m:r>
              <m:r>
                <m:rPr>
                  <m:sty m:val="p"/>
                </m:rPr>
                <m:t>]</m:t>
              </m:r>
            </m:oMath>
          </w:p>
        </w:tc>
      </w:tr>
      <w:tr>
        <w:tc>
          <w:tcPr/>
          <w:p>
            <w:pPr>
              <w:pStyle w:val="Compact"/>
              <w:jc w:val="left"/>
            </w:pPr>
            <w:r>
              <w:t xml:space="preserve">rank transform, Euclidean</w:t>
            </w:r>
          </w:p>
        </w:tc>
        <w:tc>
          <w:tcPr/>
          <w:p>
            <w:pPr>
              <w:pStyle w:val="Compact"/>
              <w:jc w:val="right"/>
            </w:pPr>
            <w:r>
              <w:t xml:space="preserve">1.044</w:t>
            </w:r>
          </w:p>
        </w:tc>
        <w:tc>
          <w:tcPr/>
          <w:p>
            <w:pPr>
              <w:pStyle w:val="Compact"/>
              <w:jc w:val="left"/>
            </w:pPr>
            <m:oMath>
              <m:r>
                <m:rPr>
                  <m:sty m:val="p"/>
                </m:rPr>
                <m:t>[</m:t>
              </m:r>
              <m:r>
                <m:t>1.035</m:t>
              </m:r>
              <m:r>
                <m:rPr>
                  <m:sty m:val="p"/>
                </m:rPr>
                <m:t>,</m:t>
              </m:r>
              <m:r>
                <m:t>1.053</m:t>
              </m:r>
              <m:r>
                <m:rPr>
                  <m:sty m:val="p"/>
                </m:rPr>
                <m:t>]</m:t>
              </m:r>
            </m:oMath>
          </w:p>
        </w:tc>
      </w:tr>
      <w:tr>
        <w:tc>
          <w:tcPr/>
          <w:p>
            <w:pPr>
              <w:pStyle w:val="Compact"/>
              <w:jc w:val="left"/>
            </w:pPr>
            <w:r>
              <w:t xml:space="preserve">Gower distance (mixed-type)</w:t>
            </w:r>
          </w:p>
        </w:tc>
        <w:tc>
          <w:tcPr/>
          <w:p>
            <w:pPr>
              <w:pStyle w:val="Compact"/>
              <w:jc w:val="right"/>
            </w:pPr>
            <w:r>
              <w:t xml:space="preserve">1.049</w:t>
            </w:r>
          </w:p>
        </w:tc>
        <w:tc>
          <w:tcPr/>
          <w:p>
            <w:pPr>
              <w:pStyle w:val="Compact"/>
              <w:jc w:val="left"/>
            </w:pPr>
            <m:oMath>
              <m:r>
                <m:rPr>
                  <m:sty m:val="p"/>
                </m:rPr>
                <m:t>[</m:t>
              </m:r>
              <m:r>
                <m:t>1.040</m:t>
              </m:r>
              <m:r>
                <m:rPr>
                  <m:sty m:val="p"/>
                </m:rPr>
                <m:t>,</m:t>
              </m:r>
              <m:r>
                <m:t>1.059</m:t>
              </m:r>
              <m:r>
                <m:rPr>
                  <m:sty m:val="p"/>
                </m:rPr>
                <m:t>]</m:t>
              </m:r>
            </m:oMath>
          </w:p>
        </w:tc>
      </w:tr>
    </w:tbl>
    <w:bookmarkEnd w:id="48"/>
    <w:p>
      <w:pPr>
        <w:pStyle w:val="BodyText"/>
      </w:pPr>
      <m:oMath>
        <m:r>
          <m:rPr>
            <m:sty m:val="p"/>
          </m:rPr>
          <m:t>†</m:t>
        </m:r>
      </m:oMath>
      <w:r>
        <w:t xml:space="preserve">Adding sex as a matching</w:t>
      </w:r>
      <w:r>
        <w:t xml:space="preserve"> </w:t>
      </w:r>
      <w:r>
        <w:t xml:space="preserve">control</w:t>
      </w:r>
      <w:r>
        <w:t xml:space="preserve"> </w:t>
      </w:r>
      <w:r>
        <w:rPr>
          <w:i/>
          <w:iCs/>
        </w:rPr>
        <w:t xml:space="preserve">raises</w:t>
      </w:r>
      <w:r>
        <w:t xml:space="preserve"> </w:t>
      </w:r>
      <w:r>
        <w:t xml:space="preserve">the race index (1.049</w:t>
      </w:r>
      <w:r>
        <w:t xml:space="preserve"> </w:t>
      </w:r>
      <m:oMath>
        <m:r>
          <m:rPr>
            <m:sty m:val="p"/>
          </m:rPr>
          <m:t>→</m:t>
        </m:r>
      </m:oMath>
      <w:r>
        <w:t xml:space="preserve"> </w:t>
      </w:r>
      <w:r>
        <w:t xml:space="preserve">1.060) because</w:t>
      </w:r>
      <w:r>
        <w:t xml:space="preserve"> </w:t>
      </w:r>
      <w:r>
        <w:t xml:space="preserve">within-sex matching removes cross-sex dilution: without the control,</w:t>
      </w:r>
      <w:r>
        <w:t xml:space="preserve"> </w:t>
      </w:r>
      <w:r>
        <w:t xml:space="preserve">some matched neighbours differ in sex as well as race, and averaging</w:t>
      </w:r>
      <w:r>
        <w:t xml:space="preserve"> </w:t>
      </w:r>
      <w:r>
        <w:t xml:space="preserve">over those pairs attenuates the race-specific gap.</w:t>
      </w:r>
    </w:p>
    <w:p>
      <w:pPr>
        <w:pStyle w:val="BodyText"/>
      </w:pPr>
      <w:r>
        <w:t xml:space="preserve">The unrestricted index is insensitive to both choices: every feature</w:t>
      </w:r>
      <w:r>
        <w:t xml:space="preserve"> </w:t>
      </w:r>
      <w:r>
        <w:t xml:space="preserve">set yields</w:t>
      </w:r>
      <w:r>
        <w:t xml:space="preserve"> </w:t>
      </w:r>
      <m:oMath>
        <m:r>
          <m:rPr>
            <m:sty m:val="p"/>
          </m:rPr>
          <m:t>L</m:t>
        </m:r>
        <m:r>
          <m:rPr>
            <m:sty m:val="p"/>
          </m:rPr>
          <m:t>B</m:t>
        </m:r>
        <m:r>
          <m:rPr>
            <m:sty m:val="p"/>
          </m:rPr>
          <m:t>I</m:t>
        </m:r>
        <m:r>
          <m:rPr>
            <m:sty m:val="p"/>
          </m:rPr>
          <m:t>≥</m:t>
        </m:r>
        <m:r>
          <m:t>1.034</m:t>
        </m:r>
      </m:oMath>
      <w:r>
        <w:t xml:space="preserve"> </w:t>
      </w:r>
      <w:r>
        <w:t xml:space="preserve">with CIs excluding 1—including</w:t>
      </w:r>
      <w:r>
        <w:t xml:space="preserve"> </w:t>
      </w:r>
      <w:r>
        <w:t xml:space="preserve">the specification that</w:t>
      </w:r>
      <w:r>
        <w:t xml:space="preserve"> </w:t>
      </w:r>
      <w:r>
        <w:rPr>
          <w:i/>
          <w:iCs/>
        </w:rPr>
        <w:t xml:space="preserve">drops</w:t>
      </w:r>
      <w:r>
        <w:t xml:space="preserve"> </w:t>
      </w:r>
      <w:r>
        <w:t xml:space="preserve">the racially patterned juvenile</w:t>
      </w:r>
      <w:r>
        <w:t xml:space="preserve"> </w:t>
      </w:r>
      <w:r>
        <w:t xml:space="preserve">counts—and the five alternative distance constructions agree to</w:t>
      </w:r>
      <w:r>
        <w:t xml:space="preserve"> </w:t>
      </w:r>
      <w:r>
        <w:t xml:space="preserve">within</w:t>
      </w:r>
      <w:r>
        <w:t xml:space="preserve"> </w:t>
      </w:r>
      <m:oMath>
        <m:r>
          <m:t>0.005</m:t>
        </m:r>
      </m:oMath>
      <w:r>
        <w:t xml:space="preserve">. (The matching-</w:t>
      </w:r>
      <w:r>
        <w:rPr>
          <w:i/>
          <w:iCs/>
        </w:rPr>
        <w:t xml:space="preserve">parity</w:t>
      </w:r>
      <w:r>
        <w:t xml:space="preserve"> </w:t>
      </w:r>
      <w:r>
        <w:t xml:space="preserve">restrictions of</w:t>
      </w:r>
      <w:r>
        <w:t xml:space="preserve"> </w:t>
      </w:r>
      <w:r>
        <w:t xml:space="preserve">§4.5 are the specifications that move the estimate;</w:t>
      </w:r>
      <w:r>
        <w:t xml:space="preserve"> </w:t>
      </w:r>
      <w:r>
        <w:t xml:space="preserve">robustness to the metric family is not the same as robustness to</w:t>
      </w:r>
      <w:r>
        <w:t xml:space="preserve"> </w:t>
      </w:r>
      <w:r>
        <w:t xml:space="preserve">match quality, and the two should not be conflated.) The deeper</w:t>
      </w:r>
      <w:r>
        <w:t xml:space="preserve"> </w:t>
      </w:r>
      <w:r>
        <w:t xml:space="preserve">omitted-variable concern—COMPAS inputs absent from the public file</w:t>
      </w:r>
      <w:r>
        <w:t xml:space="preserve"> </w:t>
      </w:r>
      <w:r>
        <w:t xml:space="preserve">(substance use, education, employment) cannot be matched on—remains,</w:t>
      </w:r>
      <w:r>
        <w:t xml:space="preserve"> </w:t>
      </w:r>
      <w:r>
        <w:t xml:space="preserve">and is exactly the failure mode quantified as condition 4 of the</w:t>
      </w:r>
      <w:r>
        <w:t xml:space="preserve"> </w:t>
      </w:r>
      <w:r>
        <w:t xml:space="preserve">synthetic validation below.</w:t>
      </w:r>
    </w:p>
    <w:bookmarkEnd w:id="49"/>
    <w:bookmarkStart w:id="55" w:name="sec:synthetic"/>
    <w:p>
      <w:pPr>
        <w:pStyle w:val="Heading2"/>
      </w:pPr>
      <w:r>
        <w:t xml:space="preserve">Validation under known ground truth</w:t>
      </w:r>
    </w:p>
    <w:p>
      <w:pPr>
        <w:pStyle w:val="FirstParagraph"/>
      </w:pPr>
      <w:r>
        <w:t xml:space="preserve">A new diagnostic should demonstrate what it detects. We build</w:t>
      </w:r>
      <w:r>
        <w:t xml:space="preserve"> </w:t>
      </w:r>
      <w:r>
        <w:t xml:space="preserve">semi-synthetic scores on the</w:t>
      </w:r>
      <w:r>
        <w:t xml:space="preserve"> </w:t>
      </w:r>
      <w:r>
        <w:rPr>
          <w:i/>
          <w:iCs/>
        </w:rPr>
        <w:t xml:space="preserve">real</w:t>
      </w:r>
      <w:r>
        <w:t xml:space="preserve"> </w:t>
      </w:r>
      <w:r>
        <w:t xml:space="preserve">feature matrix and race</w:t>
      </w:r>
      <w:r>
        <w:t xml:space="preserve"> </w:t>
      </w:r>
      <w:r>
        <w:t xml:space="preserve">labels—preserving the actual race–feature dependence—and run the</w:t>
      </w:r>
      <w:r>
        <w:t xml:space="preserve"> </w:t>
      </w:r>
      <w:r>
        <w:t xml:space="preserve">full pipeline (estimator plus tests) under four known conditions. The</w:t>
      </w:r>
      <w:r>
        <w:t xml:space="preserve"> </w:t>
      </w:r>
      <w:r>
        <w:t xml:space="preserve">base score is</w:t>
      </w:r>
      <w:r>
        <w:t xml:space="preserve"> </w:t>
      </w:r>
      <m:oMath>
        <m:sSub>
          <m:e>
            <m:acc>
              <m:accPr>
                <m:chr m:val="̂"/>
              </m:accPr>
              <m:e>
                <m:r>
                  <m:t>f</m:t>
                </m:r>
              </m:e>
            </m:acc>
          </m:e>
          <m:sub>
            <m:r>
              <m:t>0</m:t>
            </m:r>
          </m:sub>
        </m:sSub>
        <m:r>
          <m:rPr>
            <m:sty m:val="p"/>
          </m:rPr>
          <m:t>(</m:t>
        </m:r>
        <m:r>
          <m:rPr>
            <m:sty m:val="b"/>
          </m:rPr>
          <m:t>x</m:t>
        </m:r>
        <m:r>
          <m:rPr>
            <m:sty m:val="p"/>
          </m:rPr>
          <m:t>)</m:t>
        </m:r>
      </m:oMath>
      <w:r>
        <w:t xml:space="preserve">, a linear fit of the observed</w:t>
      </w:r>
      <w:r>
        <w:t xml:space="preserve"> </w:t>
      </w:r>
      <w:r>
        <w:t xml:space="preserve">decile on the six standardized features (</w:t>
      </w:r>
      <m:oMath>
        <m:sSup>
          <m:e>
            <m:r>
              <m:t>R</m:t>
            </m:r>
          </m:e>
          <m:sup>
            <m:r>
              <m:t>2</m:t>
            </m:r>
          </m:sup>
        </m:sSup>
        <m:r>
          <m:rPr>
            <m:sty m:val="p"/>
          </m:rPr>
          <m:t>=</m:t>
        </m:r>
        <m:r>
          <m:t>0.42</m:t>
        </m:r>
      </m:oMath>
      <w:r>
        <w:t xml:space="preserve">, residual SD</w:t>
      </w:r>
      <w:r>
        <w:t xml:space="preserve"> </w:t>
      </w:r>
      <m:oMath>
        <m:r>
          <m:t>σ</m:t>
        </m:r>
        <m:r>
          <m:rPr>
            <m:sty m:val="p"/>
          </m:rPr>
          <m:t>=</m:t>
        </m:r>
        <m:r>
          <m:t>2.16</m:t>
        </m:r>
      </m:oMath>
      <w:r>
        <w:t xml:space="preserve"> </w:t>
      </w:r>
      <w:r>
        <w:t xml:space="preserve">deciles), plus Gaussian noise of the same residual</w:t>
      </w:r>
      <w:r>
        <w:t xml:space="preserve"> </w:t>
      </w:r>
      <w:r>
        <w:t xml:space="preserve">scale. Conditions: (1)</w:t>
      </w:r>
      <w:r>
        <w:t xml:space="preserve"> </w:t>
      </w:r>
      <w:r>
        <w:rPr>
          <w:i/>
          <w:iCs/>
        </w:rPr>
        <w:t xml:space="preserve">race-blind</w:t>
      </w:r>
      <w:r>
        <w:t xml:space="preserve">:</w:t>
      </w:r>
      <w:r>
        <w:t xml:space="preserve"> </w:t>
      </w:r>
      <m:oMath>
        <m:r>
          <m:t>S</m:t>
        </m:r>
        <m:r>
          <m:rPr>
            <m:sty m:val="p"/>
          </m:rPr>
          <m:t>=</m:t>
        </m:r>
        <m:sSub>
          <m:e>
            <m:acc>
              <m:accPr>
                <m:chr m:val="̂"/>
              </m:accPr>
              <m:e>
                <m:r>
                  <m:t>f</m:t>
                </m:r>
              </m:e>
            </m:acc>
          </m:e>
          <m:sub>
            <m:r>
              <m:t>0</m:t>
            </m:r>
          </m:sub>
        </m:sSub>
        <m:r>
          <m:rPr>
            <m:sty m:val="p"/>
          </m:rPr>
          <m:t>(</m:t>
        </m:r>
        <m:r>
          <m:rPr>
            <m:sty m:val="b"/>
          </m:rPr>
          <m:t>x</m:t>
        </m:r>
        <m:r>
          <m:rPr>
            <m:sty m:val="p"/>
          </m:rPr>
          <m:t>)</m:t>
        </m:r>
        <m:r>
          <m:rPr>
            <m:sty m:val="p"/>
          </m:rPr>
          <m:t>+</m:t>
        </m:r>
        <m:r>
          <m:t>ε</m:t>
        </m:r>
      </m:oMath>
      <w:r>
        <w:t xml:space="preserve">; (2)</w:t>
      </w:r>
      <w:r>
        <w:t xml:space="preserve"> </w:t>
      </w:r>
      <w:r>
        <w:rPr>
          <w:i/>
          <w:iCs/>
        </w:rPr>
        <w:t xml:space="preserve">direct</w:t>
      </w:r>
      <w:r>
        <w:t xml:space="preserve">: add</w:t>
      </w:r>
      <w:r>
        <w:t xml:space="preserve"> </w:t>
      </w:r>
      <m:oMath>
        <m:r>
          <m:t>β</m:t>
        </m:r>
        <m:r>
          <m:rPr>
            <m:sty m:val="p"/>
          </m:rPr>
          <m:t>⋅</m:t>
        </m:r>
        <m:r>
          <m:rPr>
            <m:sty m:val="b"/>
          </m:rPr>
          <m:t>1</m:t>
        </m:r>
        <m:r>
          <m:rPr>
            <m:sty m:val="p"/>
          </m:rPr>
          <m:t>[</m:t>
        </m:r>
        <m:r>
          <m:rPr>
            <m:nor/>
            <m:sty m:val="p"/>
          </m:rPr>
          <m:t>Black</m:t>
        </m:r>
        <m:r>
          <m:rPr>
            <m:sty m:val="p"/>
          </m:rPr>
          <m:t>]</m:t>
        </m:r>
      </m:oMath>
      <w:r>
        <w:t xml:space="preserve"> </w:t>
      </w:r>
      <w:r>
        <w:t xml:space="preserve">for</w:t>
      </w:r>
      <w:r>
        <w:t xml:space="preserve"> </w:t>
      </w:r>
      <m:oMath>
        <m:r>
          <m:t>β</m:t>
        </m:r>
        <m:r>
          <m:rPr>
            <m:sty m:val="p"/>
          </m:rPr>
          <m:t>∈</m:t>
        </m:r>
        <m:r>
          <m:rPr>
            <m:sty m:val="p"/>
          </m:rPr>
          <m:t>{</m:t>
        </m:r>
        <m:r>
          <m:t>0.25</m:t>
        </m:r>
        <m:r>
          <m:rPr>
            <m:sty m:val="p"/>
          </m:rPr>
          <m:t>,</m:t>
        </m:r>
        <m:r>
          <m:t>0.5</m:t>
        </m:r>
        <m:r>
          <m:rPr>
            <m:sty m:val="p"/>
          </m:rPr>
          <m:t>,</m:t>
        </m:r>
        <m:r>
          <m:t>1.0</m:t>
        </m:r>
        <m:r>
          <m:rPr>
            <m:sty m:val="p"/>
          </m:rPr>
          <m:t>}</m:t>
        </m:r>
      </m:oMath>
      <w:r>
        <w:t xml:space="preserve"> </w:t>
      </w:r>
      <w:r>
        <w:t xml:space="preserve">deciles;</w:t>
      </w:r>
      <w:r>
        <w:t xml:space="preserve"> </w:t>
      </w:r>
      <w:r>
        <w:t xml:space="preserve">(3)</w:t>
      </w:r>
      <w:r>
        <w:t xml:space="preserve"> </w:t>
      </w:r>
      <w:r>
        <w:rPr>
          <w:i/>
          <w:iCs/>
        </w:rPr>
        <w:t xml:space="preserve">proxy</w:t>
      </w:r>
      <w:r>
        <w:t xml:space="preserve">: add</w:t>
      </w:r>
      <w:r>
        <w:t xml:space="preserve"> </w:t>
      </w:r>
      <m:oMath>
        <m:r>
          <m:t>γ</m:t>
        </m:r>
        <m:r>
          <m:t>Z</m:t>
        </m:r>
      </m:oMath>
      <w:r>
        <w:t xml:space="preserve"> </w:t>
      </w:r>
      <w:r>
        <w:t xml:space="preserve">where</w:t>
      </w:r>
      <w:r>
        <w:t xml:space="preserve"> </w:t>
      </w:r>
      <m:oMath>
        <m:r>
          <m:t>Z</m:t>
        </m:r>
      </m:oMath>
      <w:r>
        <w:t xml:space="preserve"> </w:t>
      </w:r>
      <w:r>
        <w:t xml:space="preserve">has correlation</w:t>
      </w:r>
      <w:r>
        <w:t xml:space="preserve"> </w:t>
      </w:r>
      <m:oMath>
        <m:r>
          <m:t>0.8</m:t>
        </m:r>
      </m:oMath>
      <w:r>
        <w:t xml:space="preserve"> </w:t>
      </w:r>
      <w:r>
        <w:t xml:space="preserve">with race and</w:t>
      </w:r>
      <w:r>
        <w:t xml:space="preserve"> </w:t>
      </w:r>
      <m:oMath>
        <m:r>
          <m:t>γ</m:t>
        </m:r>
        <m:r>
          <m:rPr>
            <m:sty m:val="p"/>
          </m:rPr>
          <m:t>∈</m:t>
        </m:r>
        <m:r>
          <m:rPr>
            <m:sty m:val="p"/>
          </m:rPr>
          <m:t>{</m:t>
        </m:r>
        <m:r>
          <m:t>0.5</m:t>
        </m:r>
        <m:r>
          <m:rPr>
            <m:sty m:val="p"/>
          </m:rPr>
          <m:t>,</m:t>
        </m:r>
        <m:r>
          <m:t>1.0</m:t>
        </m:r>
        <m:r>
          <m:rPr>
            <m:sty m:val="p"/>
          </m:rPr>
          <m:t>}</m:t>
        </m:r>
      </m:oMath>
      <w:r>
        <w:t xml:space="preserve">; (4)</w:t>
      </w:r>
      <w:r>
        <w:t xml:space="preserve"> </w:t>
      </w:r>
      <w:r>
        <w:rPr>
          <w:i/>
          <w:iCs/>
        </w:rPr>
        <w:t xml:space="preserve">omitted</w:t>
      </w:r>
      <w:r>
        <w:rPr>
          <w:i/>
          <w:iCs/>
        </w:rPr>
        <w:t xml:space="preserve"> </w:t>
      </w:r>
      <w:r>
        <w:rPr>
          <w:i/>
          <w:iCs/>
        </w:rPr>
        <w:t xml:space="preserve">legitimate predictor</w:t>
      </w:r>
      <w:r>
        <w:t xml:space="preserve">: race-blind score built on all six features,</w:t>
      </w:r>
      <w:r>
        <w:t xml:space="preserve"> </w:t>
      </w:r>
      <w:r>
        <w:t xml:space="preserve">matching on only five (priors count withheld). Each condition runs</w:t>
      </w:r>
      <w:r>
        <w:t xml:space="preserve"> </w:t>
      </w:r>
      <m:oMath>
        <m:r>
          <m:t>60</m:t>
        </m:r>
      </m:oMath>
      <w:r>
        <w:t xml:space="preserve">–</w:t>
      </w:r>
      <m:oMath>
        <m:r>
          <m:t>200</m:t>
        </m:r>
      </m:oMath>
      <w:r>
        <w:t xml:space="preserve"> </w:t>
      </w:r>
      <w:r>
        <w:t xml:space="preserve">Monte Carlo replicates; each replicate is tested at the</w:t>
      </w:r>
      <w:r>
        <w:t xml:space="preserve"> </w:t>
      </w:r>
      <w:r>
        <w:t xml:space="preserve">5 % level by plain permutation and by CRT (200 draws each), with an</w:t>
      </w:r>
      <w:r>
        <w:t xml:space="preserve"> </w:t>
      </w:r>
      <w:r>
        <w:t xml:space="preserve">OLS race-coefficient</w:t>
      </w:r>
      <w:r>
        <w:t xml:space="preserve"> </w:t>
      </w:r>
      <m:oMath>
        <m:r>
          <m:t>t</m:t>
        </m:r>
      </m:oMath>
      <w:r>
        <w:t xml:space="preserve">-test as a parametric baseline.</w:t>
      </w:r>
    </w:p>
    <w:bookmarkStart w:id="50" w:name="tab:synthetic"/>
    <w:p>
      <w:pPr>
        <w:pStyle w:val="TableCaption"/>
      </w:pPr>
      <w:r>
        <w:t xml:space="preserve">Table 8: Semi-synthetic validation at</w:t>
      </w:r>
      <w:r>
        <w:t xml:space="preserve"> </w:t>
      </w:r>
      <m:oMath>
        <m:r>
          <m:t>k</m:t>
        </m:r>
        <m:r>
          <m:rPr>
            <m:sty m:val="p"/>
          </m:rPr>
          <m:t>=</m:t>
        </m:r>
        <m:r>
          <m:t>20</m:t>
        </m:r>
      </m:oMath>
      <w:r>
        <w:t xml:space="preserve">.</w:t>
      </w:r>
      <w:r>
        <w:t xml:space="preserve"> </w:t>
      </w:r>
      <w:r>
        <w:t xml:space="preserve">“Reject %”</w:t>
      </w:r>
      <w:r>
        <w:t xml:space="preserve"> </w:t>
      </w:r>
      <w:r>
        <w:t xml:space="preserve">is the</w:t>
      </w:r>
      <w:r>
        <w:t xml:space="preserve"> </w:t>
      </w:r>
      <w:r>
        <w:t xml:space="preserve">fraction of replicates in which each test rejects at the nominal</w:t>
      </w:r>
      <w:r>
        <w:t xml:space="preserve"> </w:t>
      </w:r>
      <w:r>
        <w:t xml:space="preserve">5 % level: under condition 1 this is the false-positive rate;</w:t>
      </w:r>
      <w:r>
        <w:t xml:space="preserve"> </w:t>
      </w:r>
      <w:r>
        <w:t xml:space="preserve">under conditions 2–3, power. The Dwork-style nearest-neighbour</w:t>
      </w:r>
      <w:r>
        <w:t xml:space="preserve"> </w:t>
      </w:r>
      <w:r>
        <w:t xml:space="preserve">consistency of the last column is flat across the race-structure</w:t>
      </w:r>
      <w:r>
        <w:t xml:space="preserve"> </w:t>
      </w:r>
      <w:r>
        <w:t xml:space="preserve">conditions (1–3) and responds only to the omitted-predictor</w:t>
      </w:r>
      <w:r>
        <w:t xml:space="preserve"> </w:t>
      </w:r>
      <w:r>
        <w:t xml:space="preserve">condition, illustrating that it measures smoothness of the score in</w:t>
      </w:r>
      <w:r>
        <w:t xml:space="preserve"> </w:t>
      </w:r>
      <w:r>
        <w:t xml:space="preserve">the matching space, not protected-attribute structure.</w:t>
      </w:r>
    </w:p>
    <w:tbl>
      <w:tblPr>
        <w:tblStyle w:val="Table"/>
        <w:tblW w:type="auto" w:w="0"/>
        <w:tblLook w:firstRow="0" w:lastRow="0" w:firstColumn="0" w:lastColumn="0" w:noHBand="0" w:noVBand="0" w:val="0000"/>
        <w:tblCaption w:val="Table 8: Semi-synthetic validation at k = 20. “Reject %” is the fraction of replicates in which each test rejects at the nominal 5 % level: under condition 1 this is the false-positive rate; under conditions 2–3, power. The Dwork-style nearest-neighbour consistency of the last column is flat across the race-structure conditions (1–3) and responds only to the omitted-predictor condition, illustrating that it measures smoothness of the score in the matching space, not protected-attribute structure."/>
      </w:tblPr>
      <w:tblGrid>
        <w:gridCol w:w="1320"/>
        <w:gridCol w:w="1320"/>
        <w:gridCol w:w="1320"/>
        <w:gridCol w:w="1320"/>
        <w:gridCol w:w="1320"/>
        <w:gridCol w:w="1320"/>
      </w:tblGrid>
      <w:tr>
        <w:tc>
          <w:tcPr/>
          <w:p>
            <w:pPr>
              <w:pStyle w:val="Compact"/>
              <w:jc w:val="left"/>
            </w:pPr>
            <w:r>
              <w:rPr>
                <w:b/>
                <w:bCs/>
              </w:rPr>
              <w:t xml:space="preserve">Condition</w:t>
            </w:r>
          </w:p>
        </w:tc>
        <w:tc>
          <w:tcPr/>
          <w:p>
            <w:pPr>
              <w:pStyle w:val="Compact"/>
              <w:jc w:val="right"/>
            </w:pPr>
            <w:r>
              <w:rPr>
                <w:b/>
                <w:bCs/>
              </w:rPr>
              <w:t xml:space="preserve">mean LBI</w:t>
            </w:r>
          </w:p>
        </w:tc>
        <w:tc>
          <w:tcPr>
            <w:gridSpan w:val="3"/>
          </w:tcPr>
          <w:p>
            <w:pPr>
              <w:pStyle w:val="Compact"/>
              <w:jc w:val="center"/>
            </w:pPr>
            <w:r>
              <w:rPr>
                <w:b/>
                <w:bCs/>
              </w:rPr>
              <w:t xml:space="preserve">Reject % (5 % level)</w:t>
            </w:r>
          </w:p>
        </w:tc>
        <w:tc>
          <w:tcPr/>
          <w:p>
            <w:pPr>
              <w:pStyle w:val="Compact"/>
              <w:jc w:val="right"/>
            </w:pPr>
            <w:r>
              <w:rPr>
                <w:b/>
                <w:bCs/>
              </w:rPr>
              <w:t xml:space="preserve">consistency</w:t>
            </w:r>
          </w:p>
        </w:tc>
      </w:tr>
      <w:tr>
        <w:tc>
          <w:tcPr/>
          <w:p>
            <w:pPr>
              <w:pStyle w:val="Compact"/>
            </w:pPr>
          </w:p>
        </w:tc>
        <w:tc>
          <w:tcPr/>
          <w:p>
            <w:pPr>
              <w:pStyle w:val="Compact"/>
            </w:pPr>
          </w:p>
        </w:tc>
        <w:tc>
          <w:tcPr/>
          <w:p>
            <w:pPr>
              <w:pStyle w:val="Compact"/>
              <w:jc w:val="right"/>
            </w:pPr>
            <w:r>
              <w:t xml:space="preserve">perm</w:t>
            </w:r>
          </w:p>
        </w:tc>
        <w:tc>
          <w:tcPr/>
          <w:p>
            <w:pPr>
              <w:pStyle w:val="Compact"/>
              <w:jc w:val="right"/>
            </w:pPr>
            <w:r>
              <w:t xml:space="preserve">CRT</w:t>
            </w:r>
          </w:p>
        </w:tc>
        <w:tc>
          <w:tcPr/>
          <w:p>
            <w:pPr>
              <w:pStyle w:val="Compact"/>
              <w:jc w:val="right"/>
            </w:pPr>
            <w:r>
              <w:t xml:space="preserve">OLS</w:t>
            </w:r>
          </w:p>
        </w:tc>
        <w:tc>
          <w:tcPr/>
          <w:p>
            <w:pPr>
              <w:pStyle w:val="Compact"/>
            </w:pPr>
          </w:p>
        </w:tc>
      </w:tr>
      <w:tr>
        <w:tc>
          <w:tcPr/>
          <w:p>
            <w:pPr>
              <w:pStyle w:val="Compact"/>
              <w:jc w:val="left"/>
            </w:pPr>
            <w:r>
              <w:t xml:space="preserve">1. race-blind</w:t>
            </w:r>
          </w:p>
        </w:tc>
        <w:tc>
          <w:tcPr/>
          <w:p>
            <w:pPr>
              <w:pStyle w:val="Compact"/>
              <w:jc w:val="right"/>
            </w:pPr>
            <m:oMath>
              <m:r>
                <m:t>1.009</m:t>
              </m:r>
              <m:r>
                <m:rPr>
                  <m:sty m:val="p"/>
                </m:rPr>
                <m:t>±</m:t>
              </m:r>
              <m:r>
                <m:t>0.006</m:t>
              </m:r>
            </m:oMath>
          </w:p>
        </w:tc>
        <w:tc>
          <w:tcPr/>
          <w:p>
            <w:pPr>
              <w:pStyle w:val="Compact"/>
              <w:jc w:val="right"/>
            </w:pPr>
            <w:r>
              <w:t xml:space="preserve">56.5</w:t>
            </w:r>
          </w:p>
        </w:tc>
        <w:tc>
          <w:tcPr/>
          <w:p>
            <w:pPr>
              <w:pStyle w:val="Compact"/>
              <w:jc w:val="right"/>
            </w:pPr>
            <w:r>
              <w:t xml:space="preserve">4.5</w:t>
            </w:r>
          </w:p>
        </w:tc>
        <w:tc>
          <w:tcPr/>
          <w:p>
            <w:pPr>
              <w:pStyle w:val="Compact"/>
              <w:jc w:val="right"/>
            </w:pPr>
            <w:r>
              <w:t xml:space="preserve">6.0</w:t>
            </w:r>
          </w:p>
        </w:tc>
        <w:tc>
          <w:tcPr/>
          <w:p>
            <w:pPr>
              <w:pStyle w:val="Compact"/>
              <w:jc w:val="right"/>
            </w:pPr>
            <w:r>
              <w:t xml:space="preserve">0.37</w:t>
            </w:r>
          </w:p>
        </w:tc>
      </w:tr>
      <w:tr>
        <w:tc>
          <w:tcPr/>
          <w:p>
            <w:pPr>
              <w:pStyle w:val="Compact"/>
              <w:jc w:val="left"/>
            </w:pPr>
            <w:r>
              <w:t xml:space="preserve">2. direct,</w:t>
            </w:r>
            <w:r>
              <w:t xml:space="preserve"> </w:t>
            </w:r>
            <m:oMath>
              <m:r>
                <m:t>β</m:t>
              </m:r>
              <m:r>
                <m:rPr>
                  <m:sty m:val="p"/>
                </m:rPr>
                <m:t>=</m:t>
              </m:r>
              <m:r>
                <m:t>0.25</m:t>
              </m:r>
            </m:oMath>
          </w:p>
        </w:tc>
        <w:tc>
          <w:tcPr/>
          <w:p>
            <w:pPr>
              <w:pStyle w:val="Compact"/>
              <w:jc w:val="right"/>
            </w:pPr>
            <m:oMath>
              <m:r>
                <m:t>1.015</m:t>
              </m:r>
              <m:r>
                <m:rPr>
                  <m:sty m:val="p"/>
                </m:rPr>
                <m:t>±</m:t>
              </m:r>
              <m:r>
                <m:t>0.006</m:t>
              </m:r>
            </m:oMath>
          </w:p>
        </w:tc>
        <w:tc>
          <w:tcPr/>
          <w:p>
            <w:pPr>
              <w:pStyle w:val="Compact"/>
              <w:jc w:val="right"/>
            </w:pPr>
            <w:r>
              <w:t xml:space="preserve">88.3</w:t>
            </w:r>
          </w:p>
        </w:tc>
        <w:tc>
          <w:tcPr/>
          <w:p>
            <w:pPr>
              <w:pStyle w:val="Compact"/>
              <w:jc w:val="right"/>
            </w:pPr>
            <w:r>
              <w:t xml:space="preserve">21.7</w:t>
            </w:r>
          </w:p>
        </w:tc>
        <w:tc>
          <w:tcPr/>
          <w:p>
            <w:pPr>
              <w:pStyle w:val="Compact"/>
              <w:jc w:val="right"/>
            </w:pPr>
            <w:r>
              <w:t xml:space="preserve">100</w:t>
            </w:r>
          </w:p>
        </w:tc>
        <w:tc>
          <w:tcPr/>
          <w:p>
            <w:pPr>
              <w:pStyle w:val="Compact"/>
              <w:jc w:val="right"/>
            </w:pPr>
            <w:r>
              <w:t xml:space="preserve">0.37</w:t>
            </w:r>
          </w:p>
        </w:tc>
      </w:tr>
      <w:tr>
        <w:tc>
          <w:tcPr/>
          <w:p>
            <w:pPr>
              <w:pStyle w:val="Compact"/>
              <w:jc w:val="left"/>
            </w:pPr>
            <w:r>
              <w:t xml:space="preserve">2. direct,</w:t>
            </w:r>
            <w:r>
              <w:t xml:space="preserve"> </w:t>
            </w:r>
            <m:oMath>
              <m:r>
                <m:t>β</m:t>
              </m:r>
              <m:r>
                <m:rPr>
                  <m:sty m:val="p"/>
                </m:rPr>
                <m:t>=</m:t>
              </m:r>
              <m:r>
                <m:t>0.5</m:t>
              </m:r>
            </m:oMath>
          </w:p>
        </w:tc>
        <w:tc>
          <w:tcPr/>
          <w:p>
            <w:pPr>
              <w:pStyle w:val="Compact"/>
              <w:jc w:val="right"/>
            </w:pPr>
            <m:oMath>
              <m:r>
                <m:t>1.027</m:t>
              </m:r>
              <m:r>
                <m:rPr>
                  <m:sty m:val="p"/>
                </m:rPr>
                <m:t>±</m:t>
              </m:r>
              <m:r>
                <m:t>0.007</m:t>
              </m:r>
            </m:oMath>
          </w:p>
        </w:tc>
        <w:tc>
          <w:tcPr/>
          <w:p>
            <w:pPr>
              <w:pStyle w:val="Compact"/>
              <w:jc w:val="right"/>
            </w:pPr>
            <w:r>
              <w:t xml:space="preserve">100</w:t>
            </w:r>
          </w:p>
        </w:tc>
        <w:tc>
          <w:tcPr/>
          <w:p>
            <w:pPr>
              <w:pStyle w:val="Compact"/>
              <w:jc w:val="right"/>
            </w:pPr>
            <w:r>
              <w:t xml:space="preserve">85.0</w:t>
            </w:r>
          </w:p>
        </w:tc>
        <w:tc>
          <w:tcPr/>
          <w:p>
            <w:pPr>
              <w:pStyle w:val="Compact"/>
              <w:jc w:val="right"/>
            </w:pPr>
            <w:r>
              <w:t xml:space="preserve">100</w:t>
            </w:r>
          </w:p>
        </w:tc>
        <w:tc>
          <w:tcPr/>
          <w:p>
            <w:pPr>
              <w:pStyle w:val="Compact"/>
              <w:jc w:val="right"/>
            </w:pPr>
            <w:r>
              <w:t xml:space="preserve">0.37</w:t>
            </w:r>
          </w:p>
        </w:tc>
      </w:tr>
      <w:tr>
        <w:tc>
          <w:tcPr/>
          <w:p>
            <w:pPr>
              <w:pStyle w:val="Compact"/>
              <w:jc w:val="left"/>
            </w:pPr>
            <w:r>
              <w:t xml:space="preserve">2. direct,</w:t>
            </w:r>
            <w:r>
              <w:t xml:space="preserve"> </w:t>
            </w:r>
            <m:oMath>
              <m:r>
                <m:t>β</m:t>
              </m:r>
              <m:r>
                <m:rPr>
                  <m:sty m:val="p"/>
                </m:rPr>
                <m:t>=</m:t>
              </m:r>
              <m:r>
                <m:t>1.0</m:t>
              </m:r>
            </m:oMath>
          </w:p>
        </w:tc>
        <w:tc>
          <w:tcPr/>
          <w:p>
            <w:pPr>
              <w:pStyle w:val="Compact"/>
              <w:jc w:val="right"/>
            </w:pPr>
            <m:oMath>
              <m:r>
                <m:t>1.071</m:t>
              </m:r>
              <m:r>
                <m:rPr>
                  <m:sty m:val="p"/>
                </m:rPr>
                <m:t>±</m:t>
              </m:r>
              <m:r>
                <m:t>0.010</m:t>
              </m:r>
            </m:oMath>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0.38</w:t>
            </w:r>
          </w:p>
        </w:tc>
      </w:tr>
      <w:tr>
        <w:tc>
          <w:tcPr/>
          <w:p>
            <w:pPr>
              <w:pStyle w:val="Compact"/>
              <w:jc w:val="left"/>
            </w:pPr>
            <w:r>
              <w:t xml:space="preserve">3. proxy,</w:t>
            </w:r>
            <w:r>
              <w:t xml:space="preserve"> </w:t>
            </w:r>
            <m:oMath>
              <m:r>
                <m:t>γ</m:t>
              </m:r>
              <m:r>
                <m:rPr>
                  <m:sty m:val="p"/>
                </m:rPr>
                <m:t>=</m:t>
              </m:r>
              <m:r>
                <m:t>0.5</m:t>
              </m:r>
            </m:oMath>
          </w:p>
        </w:tc>
        <w:tc>
          <w:tcPr/>
          <w:p>
            <w:pPr>
              <w:pStyle w:val="Compact"/>
              <w:jc w:val="right"/>
            </w:pPr>
            <m:oMath>
              <m:r>
                <m:t>1.052</m:t>
              </m:r>
              <m:r>
                <m:rPr>
                  <m:sty m:val="p"/>
                </m:rPr>
                <m:t>±</m:t>
              </m:r>
              <m:r>
                <m:t>0.008</m:t>
              </m:r>
            </m:oMath>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0.38</w:t>
            </w:r>
          </w:p>
        </w:tc>
      </w:tr>
      <w:tr>
        <w:tc>
          <w:tcPr/>
          <w:p>
            <w:pPr>
              <w:pStyle w:val="Compact"/>
              <w:jc w:val="left"/>
            </w:pPr>
            <w:r>
              <w:t xml:space="preserve">3. proxy,</w:t>
            </w:r>
            <w:r>
              <w:t xml:space="preserve"> </w:t>
            </w:r>
            <m:oMath>
              <m:r>
                <m:t>γ</m:t>
              </m:r>
              <m:r>
                <m:rPr>
                  <m:sty m:val="p"/>
                </m:rPr>
                <m:t>=</m:t>
              </m:r>
              <m:r>
                <m:t>1.0</m:t>
              </m:r>
            </m:oMath>
          </w:p>
        </w:tc>
        <w:tc>
          <w:tcPr/>
          <w:p>
            <w:pPr>
              <w:pStyle w:val="Compact"/>
              <w:jc w:val="right"/>
            </w:pPr>
            <m:oMath>
              <m:r>
                <m:t>1.153</m:t>
              </m:r>
              <m:r>
                <m:rPr>
                  <m:sty m:val="p"/>
                </m:rPr>
                <m:t>±</m:t>
              </m:r>
              <m:r>
                <m:t>0.013</m:t>
              </m:r>
            </m:oMath>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0.37</w:t>
            </w:r>
          </w:p>
        </w:tc>
      </w:tr>
      <w:tr>
        <w:tc>
          <w:tcPr/>
          <w:p>
            <w:pPr>
              <w:pStyle w:val="Compact"/>
              <w:jc w:val="left"/>
            </w:pPr>
            <w:r>
              <w:t xml:space="preserve">4. omitted predictor</w:t>
            </w:r>
          </w:p>
        </w:tc>
        <w:tc>
          <w:tcPr/>
          <w:p>
            <w:pPr>
              <w:pStyle w:val="Compact"/>
              <w:jc w:val="right"/>
            </w:pPr>
            <m:oMath>
              <m:r>
                <m:t>1.015</m:t>
              </m:r>
              <m:r>
                <m:rPr>
                  <m:sty m:val="p"/>
                </m:rPr>
                <m:t>±</m:t>
              </m:r>
              <m:r>
                <m:t>0.006</m:t>
              </m:r>
            </m:oMath>
          </w:p>
        </w:tc>
        <w:tc>
          <w:tcPr/>
          <w:p>
            <w:pPr>
              <w:pStyle w:val="Compact"/>
              <w:jc w:val="right"/>
            </w:pPr>
            <w:r>
              <w:t xml:space="preserve">88.3</w:t>
            </w:r>
          </w:p>
        </w:tc>
        <w:tc>
          <w:tcPr/>
          <w:p>
            <w:pPr>
              <w:pStyle w:val="Compact"/>
              <w:jc w:val="right"/>
            </w:pPr>
            <w:r>
              <w:t xml:space="preserve">5.0</w:t>
            </w:r>
          </w:p>
        </w:tc>
        <w:tc>
          <w:tcPr/>
          <w:p>
            <w:pPr>
              <w:pStyle w:val="Compact"/>
              <w:jc w:val="right"/>
            </w:pPr>
            <w:r>
              <w:t xml:space="preserve">1.7</w:t>
            </w:r>
          </w:p>
        </w:tc>
        <w:tc>
          <w:tcPr/>
          <w:p>
            <w:pPr>
              <w:pStyle w:val="Compact"/>
              <w:jc w:val="right"/>
            </w:pPr>
            <w:r>
              <w:t xml:space="preserve">0.31</w:t>
            </w:r>
          </w:p>
        </w:tc>
      </w:tr>
    </w:tbl>
    <w:bookmarkEnd w:id="50"/>
    <w:p>
      <w:pPr>
        <w:pStyle w:val="BodyText"/>
      </w:pPr>
      <w:r>
        <w:t xml:space="preserve">Table 8 and Figure 5 deliver five</w:t>
      </w:r>
      <w:r>
        <w:t xml:space="preserve"> </w:t>
      </w:r>
      <w:r>
        <w:t xml:space="preserve">conclusions.</w:t>
      </w:r>
    </w:p>
    <w:p>
      <w:pPr>
        <w:numPr>
          <w:ilvl w:val="0"/>
          <w:numId w:val="1003"/>
        </w:numPr>
      </w:pPr>
      <w:r>
        <w:rPr>
          <w:i/>
          <w:iCs/>
        </w:rPr>
        <w:t xml:space="preserve">Under a race-blind score the index sits near—but not</w:t>
      </w:r>
      <w:r>
        <w:rPr>
          <w:i/>
          <w:iCs/>
        </w:rPr>
        <w:t xml:space="preserve"> </w:t>
      </w:r>
      <w:r>
        <w:rPr>
          <w:i/>
          <w:iCs/>
        </w:rPr>
        <w:t xml:space="preserve">at—1</w:t>
      </w:r>
      <w:r>
        <w:t xml:space="preserve"> </w:t>
      </w:r>
      <w:r>
        <w:t xml:space="preserve">(</w:t>
      </w:r>
      <m:oMath>
        <m:r>
          <m:t>1.009</m:t>
        </m:r>
        <m:r>
          <m:rPr>
            <m:sty m:val="p"/>
          </m:rPr>
          <m:t>±</m:t>
        </m:r>
        <m:r>
          <m:t>0.006</m:t>
        </m:r>
      </m:oMath>
      <w:r>
        <w:t xml:space="preserve">): the mechanical matching component of</w:t>
      </w:r>
      <w:r>
        <w:t xml:space="preserve"> </w:t>
      </w:r>
      <w:r>
        <w:t xml:space="preserve">§4.5 is real but small on these data.</w:t>
      </w:r>
    </w:p>
    <w:p>
      <w:pPr>
        <w:numPr>
          <w:ilvl w:val="0"/>
          <w:numId w:val="1003"/>
        </w:numPr>
      </w:pPr>
      <w:r>
        <w:rPr>
          <w:i/>
          <w:iCs/>
        </w:rPr>
        <w:t xml:space="preserve">The plain permutation test is badly anticonservative</w:t>
      </w:r>
      <w:r>
        <w:t xml:space="preserve"> </w:t>
      </w:r>
      <w:r>
        <w:t xml:space="preserve">(false-positive rate 56.5 % at the nominal 5 % level), confirming</w:t>
      </w:r>
      <w:r>
        <w:t xml:space="preserve"> </w:t>
      </w:r>
      <w:r>
        <w:t xml:space="preserve">quantitatively the concern raised in review; it should not be used</w:t>
      </w:r>
      <w:r>
        <w:t xml:space="preserve"> </w:t>
      </w:r>
      <w:r>
        <w:t xml:space="preserve">with LBI, and we retain it only as a cautionary row. The CRT is</w:t>
      </w:r>
      <w:r>
        <w:t xml:space="preserve"> </w:t>
      </w:r>
      <w:r>
        <w:t xml:space="preserve">correctly calibrated (4.5 %).</w:t>
      </w:r>
    </w:p>
    <w:p>
      <w:pPr>
        <w:numPr>
          <w:ilvl w:val="0"/>
          <w:numId w:val="1003"/>
        </w:numPr>
      </w:pPr>
      <w:r>
        <w:rPr>
          <w:i/>
          <w:iCs/>
        </w:rPr>
        <w:t xml:space="preserve">The index rises monotonically with direct</w:t>
      </w:r>
      <w:r>
        <w:rPr>
          <w:i/>
          <w:iCs/>
        </w:rPr>
        <w:t xml:space="preserve"> </w:t>
      </w:r>
      <w:r>
        <w:rPr>
          <w:i/>
          <w:iCs/>
        </w:rPr>
        <w:t xml:space="preserve">discrimination</w:t>
      </w:r>
      <w:r>
        <w:t xml:space="preserve"> </w:t>
      </w:r>
      <w:r>
        <w:t xml:space="preserve">(</w:t>
      </w:r>
      <m:oMath>
        <m:r>
          <m:t>1.009</m:t>
        </m:r>
        <m:r>
          <m:rPr>
            <m:sty m:val="p"/>
          </m:rPr>
          <m:t>→</m:t>
        </m:r>
        <m:r>
          <m:t>1.015</m:t>
        </m:r>
        <m:r>
          <m:rPr>
            <m:sty m:val="p"/>
          </m:rPr>
          <m:t>→</m:t>
        </m:r>
        <m:r>
          <m:t>1.027</m:t>
        </m:r>
        <m:r>
          <m:rPr>
            <m:sty m:val="p"/>
          </m:rPr>
          <m:t>→</m:t>
        </m:r>
        <m:r>
          <m:t>1.071</m:t>
        </m:r>
      </m:oMath>
      <w:r>
        <w:t xml:space="preserve"> </w:t>
      </w:r>
      <w:r>
        <w:t xml:space="preserve">as</w:t>
      </w:r>
      <w:r>
        <w:t xml:space="preserve"> </w:t>
      </w:r>
      <m:oMath>
        <m:r>
          <m:t>β</m:t>
        </m:r>
      </m:oMath>
      <w:r>
        <w:t xml:space="preserve"> </w:t>
      </w:r>
      <w:r>
        <w:t xml:space="preserve">runs</w:t>
      </w:r>
      <w:r>
        <w:t xml:space="preserve"> </w:t>
      </w:r>
      <m:oMath>
        <m:r>
          <m:t>0</m:t>
        </m:r>
        <m:r>
          <m:rPr>
            <m:sty m:val="p"/>
          </m:rPr>
          <m:t>→</m:t>
        </m:r>
        <m:r>
          <m:t>1</m:t>
        </m:r>
      </m:oMath>
      <w:r>
        <w:t xml:space="preserve"> </w:t>
      </w:r>
      <w:r>
        <w:t xml:space="preserve">decile) and responds strongly to proxy discrimination</w:t>
      </w:r>
      <w:r>
        <w:t xml:space="preserve"> </w:t>
      </w:r>
      <w:r>
        <w:t xml:space="preserve">(</w:t>
      </w:r>
      <m:oMath>
        <m:r>
          <m:t>1.153</m:t>
        </m:r>
      </m:oMath>
      <w:r>
        <w:t xml:space="preserve"> </w:t>
      </w:r>
      <w:r>
        <w:t xml:space="preserve">at</w:t>
      </w:r>
      <w:r>
        <w:t xml:space="preserve"> </w:t>
      </w:r>
      <m:oMath>
        <m:r>
          <m:t>γ</m:t>
        </m:r>
        <m:r>
          <m:rPr>
            <m:sty m:val="p"/>
          </m:rPr>
          <m:t>=</m:t>
        </m:r>
        <m:r>
          <m:t>1</m:t>
        </m:r>
      </m:oMath>
      <w:r>
        <w:t xml:space="preserve">), which a race-blind-inputs audit would</w:t>
      </w:r>
      <w:r>
        <w:t xml:space="preserve"> </w:t>
      </w:r>
      <w:r>
        <w:t xml:space="preserve">miss entirely.</w:t>
      </w:r>
    </w:p>
    <w:p>
      <w:pPr>
        <w:numPr>
          <w:ilvl w:val="0"/>
          <w:numId w:val="1003"/>
        </w:numPr>
      </w:pPr>
      <w:r>
        <w:rPr>
          <w:i/>
          <w:iCs/>
        </w:rPr>
        <w:t xml:space="preserve">Matching failure inflates the point estimate but not the</w:t>
      </w:r>
      <w:r>
        <w:rPr>
          <w:i/>
          <w:iCs/>
        </w:rPr>
        <w:t xml:space="preserve"> </w:t>
      </w:r>
      <w:r>
        <w:rPr>
          <w:i/>
          <w:iCs/>
        </w:rPr>
        <w:t xml:space="preserve">calibrated test</w:t>
      </w:r>
      <w:r>
        <w:t xml:space="preserve">: withholding a legitimate predictor from the</w:t>
      </w:r>
      <w:r>
        <w:t xml:space="preserve"> </w:t>
      </w:r>
      <w:r>
        <w:t xml:space="preserve">matching set (condition 4) raises mean LBI to</w:t>
      </w:r>
      <w:r>
        <w:t xml:space="preserve"> </w:t>
      </w:r>
      <m:oMath>
        <m:r>
          <m:t>1.015</m:t>
        </m:r>
      </m:oMath>
      <w:r>
        <w:t xml:space="preserve">, yet the CRT</w:t>
      </w:r>
      <w:r>
        <w:t xml:space="preserve"> </w:t>
      </w:r>
      <w:r>
        <w:t xml:space="preserve">still rejects at only 5 %—because the CRT conditions on the full</w:t>
      </w:r>
      <w:r>
        <w:t xml:space="preserve"> </w:t>
      </w:r>
      <w:r>
        <w:t xml:space="preserve">covariate set, its validity survives an impoverished matching space,</w:t>
      </w:r>
      <w:r>
        <w:t xml:space="preserve"> </w:t>
      </w:r>
      <w:r>
        <w:t xml:space="preserve">provided the audit</w:t>
      </w:r>
      <w:r>
        <w:t xml:space="preserve"> </w:t>
      </w:r>
      <w:r>
        <w:rPr>
          <w:i/>
          <w:iCs/>
        </w:rPr>
        <w:t xml:space="preserve">records</w:t>
      </w:r>
      <w:r>
        <w:t xml:space="preserve"> </w:t>
      </w:r>
      <w:r>
        <w:t xml:space="preserve">the covariate even when it cannot</w:t>
      </w:r>
      <w:r>
        <w:t xml:space="preserve"> </w:t>
      </w:r>
      <w:r>
        <w:t xml:space="preserve">match well on it. When a legitimate determinant is unrecorded, both</w:t>
      </w:r>
      <w:r>
        <w:t xml:space="preserve"> </w:t>
      </w:r>
      <w:r>
        <w:t xml:space="preserve">LBI and every other observational diagnostic inherit the bias; that</w:t>
      </w:r>
      <w:r>
        <w:t xml:space="preserve"> </w:t>
      </w:r>
      <w:r>
        <w:t xml:space="preserve">is the irreducible limitation of §5.</w:t>
      </w:r>
    </w:p>
    <w:p>
      <w:pPr>
        <w:numPr>
          <w:ilvl w:val="0"/>
          <w:numId w:val="1003"/>
        </w:numPr>
      </w:pPr>
      <w:r>
        <w:rPr>
          <w:i/>
          <w:iCs/>
        </w:rPr>
        <w:t xml:space="preserve">Comparators</w:t>
      </w:r>
      <w:r>
        <w:t xml:space="preserve">: the OLS race coefficient is more powerful</w:t>
      </w:r>
      <w:r>
        <w:t xml:space="preserve"> </w:t>
      </w:r>
      <w:r>
        <w:t xml:space="preserve">than LBI against purely linear direct effects (100 % vs. 21.7 %</w:t>
      </w:r>
      <w:r>
        <w:t xml:space="preserve"> </w:t>
      </w:r>
      <w:r>
        <w:t xml:space="preserve">at</w:t>
      </w:r>
      <w:r>
        <w:t xml:space="preserve"> </w:t>
      </w:r>
      <m:oMath>
        <m:r>
          <m:t>β</m:t>
        </m:r>
        <m:r>
          <m:rPr>
            <m:sty m:val="p"/>
          </m:rPr>
          <m:t>=</m:t>
        </m:r>
        <m:r>
          <m:t>0.25</m:t>
        </m:r>
      </m:oMath>
      <w:r>
        <w:t xml:space="preserve">)—parametric tests win on their home turf—while a</w:t>
      </w:r>
      <w:r>
        <w:t xml:space="preserve"> </w:t>
      </w:r>
      <w:r>
        <w:t xml:space="preserve">Dwork-style nearest-neighbour consistency score is flat across the</w:t>
      </w:r>
      <w:r>
        <w:t xml:space="preserve"> </w:t>
      </w:r>
      <w:r>
        <w:t xml:space="preserve">race-structure conditions (0.37–0.38 as the injected effect grows</w:t>
      </w:r>
      <w:r>
        <w:t xml:space="preserve"> </w:t>
      </w:r>
      <w:r>
        <w:t xml:space="preserve">from zero to its largest value) and moves only when a legitimate</w:t>
      </w:r>
      <w:r>
        <w:t xml:space="preserve"> </w:t>
      </w:r>
      <w:r>
        <w:t xml:space="preserve">predictor is withheld from the matching space (0.31 under condition</w:t>
      </w:r>
      <w:r>
        <w:t xml:space="preserve"> </w:t>
      </w:r>
      <w:r>
        <w:t xml:space="preserve">4), confirming that it measures smoothness of the score in the</w:t>
      </w:r>
      <w:r>
        <w:t xml:space="preserve"> </w:t>
      </w:r>
      <w:r>
        <w:t xml:space="preserve">matched coordinates, not protected-attribute structure. LBI’s role is</w:t>
      </w:r>
      <w:r>
        <w:t xml:space="preserve"> </w:t>
      </w:r>
      <w:r>
        <w:t xml:space="preserve">the model-free middle</w:t>
      </w:r>
      <w:r>
        <w:t xml:space="preserve"> </w:t>
      </w:r>
      <w:r>
        <w:t xml:space="preserve">ground: no functional-form assumption, black-box outputs (including</w:t>
      </w:r>
      <w:r>
        <w:t xml:space="preserve"> </w:t>
      </w:r>
      <w:r>
        <w:t xml:space="preserve">purely categorical ones), and a null-calibrated test.</w:t>
      </w:r>
    </w:p>
    <w:bookmarkStart w:id="54" w:name="fig:synthetic"/>
    <w:p>
      <w:pPr>
        <w:pStyle w:val="CaptionedFigure"/>
      </w:pPr>
      <w:r>
        <w:drawing>
          <wp:inline>
            <wp:extent cx="4000500" cy="2571750"/>
            <wp:effectExtent b="0" l="0" r="0" t="0"/>
            <wp:docPr descr="" title="" id="52" name="Picture"/>
            <a:graphic>
              <a:graphicData uri="http://schemas.openxmlformats.org/drawingml/2006/picture">
                <pic:pic>
                  <pic:nvPicPr>
                    <pic:cNvPr descr="figures/synthetic_validation.png" id="53" name="Picture"/>
                    <pic:cNvPicPr>
                      <a:picLocks noChangeArrowheads="1" noChangeAspect="1"/>
                    </pic:cNvPicPr>
                  </pic:nvPicPr>
                  <pic:blipFill>
                    <a:blip r:embed="rId51"/>
                    <a:stretch>
                      <a:fillRect/>
                    </a:stretch>
                  </pic:blipFill>
                  <pic:spPr bwMode="auto">
                    <a:xfrm>
                      <a:off x="0" y="0"/>
                      <a:ext cx="4000500" cy="2571750"/>
                    </a:xfrm>
                    <a:prstGeom prst="rect">
                      <a:avLst/>
                    </a:prstGeom>
                    <a:noFill/>
                    <a:ln w="9525">
                      <a:noFill/>
                      <a:headEnd/>
                      <a:tailEnd/>
                    </a:ln>
                  </pic:spPr>
                </pic:pic>
              </a:graphicData>
            </a:graphic>
          </wp:inline>
        </w:drawing>
      </w:r>
    </w:p>
    <w:p>
      <w:pPr>
        <w:pStyle w:val="ImageCaption"/>
      </w:pPr>
      <w:r>
        <w:t xml:space="preserve">Figure 5: Semi-synthetic validation: mean LBI at</w:t>
      </w:r>
      <w:r>
        <w:t xml:space="preserve"> </w:t>
      </w:r>
      <m:oMath>
        <m:r>
          <m:t>k</m:t>
        </m:r>
        <m:r>
          <m:rPr>
            <m:sty m:val="p"/>
          </m:rPr>
          <m:t>=</m:t>
        </m:r>
        <m:r>
          <m:t>20</m:t>
        </m:r>
      </m:oMath>
      <w:r>
        <w:t xml:space="preserve"> </w:t>
      </w:r>
      <w:r>
        <w:t xml:space="preserve">(error bars</w:t>
      </w:r>
      <w:r>
        <w:t xml:space="preserve"> </w:t>
      </w:r>
      <m:oMath>
        <m:r>
          <m:rPr>
            <m:sty m:val="p"/>
          </m:rPr>
          <m:t>±</m:t>
        </m:r>
        <m:r>
          <m:t>2</m:t>
        </m:r>
      </m:oMath>
      <w:r>
        <w:t xml:space="preserve"> </w:t>
      </w:r>
      <w:r>
        <w:t xml:space="preserve">SD over replicates) as a function of an injected direct race</w:t>
      </w:r>
      <w:r>
        <w:t xml:space="preserve"> </w:t>
      </w:r>
      <w:r>
        <w:t xml:space="preserve">coefficient</w:t>
      </w:r>
      <w:r>
        <w:t xml:space="preserve"> </w:t>
      </w:r>
      <m:oMath>
        <m:r>
          <m:t>β</m:t>
        </m:r>
      </m:oMath>
      <w:r>
        <w:t xml:space="preserve">, on the real COMPAS feature distributions. The</w:t>
      </w:r>
      <w:r>
        <w:t xml:space="preserve"> </w:t>
      </w:r>
      <w:r>
        <w:t xml:space="preserve">race-blind level is</w:t>
      </w:r>
      <w:r>
        <w:t xml:space="preserve"> </w:t>
      </w:r>
      <m:oMath>
        <m:r>
          <m:t>1.009</m:t>
        </m:r>
      </m:oMath>
      <w:r>
        <w:t xml:space="preserve">, not</w:t>
      </w:r>
      <w:r>
        <w:t xml:space="preserve"> </w:t>
      </w:r>
      <m:oMath>
        <m:r>
          <m:t>1.000</m:t>
        </m:r>
      </m:oMath>
      <w:r>
        <w:t xml:space="preserve"> </w:t>
      </w:r>
      <w:r>
        <w:t xml:space="preserve">(the mechanical matching</w:t>
      </w:r>
      <w:r>
        <w:t xml:space="preserve"> </w:t>
      </w:r>
      <w:r>
        <w:t xml:space="preserve">component); the response is monotone in</w:t>
      </w:r>
      <w:r>
        <w:t xml:space="preserve"> </w:t>
      </w:r>
      <m:oMath>
        <m:r>
          <m:t>β</m:t>
        </m:r>
      </m:oMath>
      <w:r>
        <w:t xml:space="preserve">. The orange square</w:t>
      </w:r>
      <w:r>
        <w:t xml:space="preserve"> </w:t>
      </w:r>
      <w:r>
        <w:t xml:space="preserve">marks condition 4 (race-blind score, priors count omitted from the</w:t>
      </w:r>
      <w:r>
        <w:t xml:space="preserve"> </w:t>
      </w:r>
      <w:r>
        <w:t xml:space="preserve">matching set), whose inflation to</w:t>
      </w:r>
      <w:r>
        <w:t xml:space="preserve"> </w:t>
      </w:r>
      <m:oMath>
        <m:r>
          <m:t>1.015</m:t>
        </m:r>
      </m:oMath>
      <w:r>
        <w:t xml:space="preserve"> </w:t>
      </w:r>
      <w:r>
        <w:t xml:space="preserve">quantifies the</w:t>
      </w:r>
      <w:r>
        <w:t xml:space="preserve"> </w:t>
      </w:r>
      <w:r>
        <w:t xml:space="preserve">matching-failure failure mode.</w:t>
      </w:r>
    </w:p>
    <w:bookmarkEnd w:id="54"/>
    <w:bookmarkEnd w:id="55"/>
    <w:bookmarkStart w:id="56" w:name="sec:implementation"/>
    <w:p>
      <w:pPr>
        <w:pStyle w:val="Heading2"/>
      </w:pPr>
      <w:r>
        <w:t xml:space="preserve">Implementation details</w:t>
      </w:r>
    </w:p>
    <w:p>
      <w:pPr>
        <w:pStyle w:val="FirstParagraph"/>
      </w:pPr>
      <w:r>
        <w:t xml:space="preserve">For audit reproducibility we record the implementation choices that</w:t>
      </w:r>
      <w:r>
        <w:t xml:space="preserve"> </w:t>
      </w:r>
      <w:r>
        <w:t xml:space="preserve">the review process surfaced as material.</w:t>
      </w:r>
      <w:r>
        <w:t xml:space="preserve"> </w:t>
      </w:r>
      <w:r>
        <w:rPr>
          <w:i/>
          <w:iCs/>
        </w:rPr>
        <w:t xml:space="preserve">Ties and duplicates</w:t>
      </w:r>
      <w:r>
        <w:t xml:space="preserve">:</w:t>
      </w:r>
      <w:r>
        <w:t xml:space="preserve"> </w:t>
      </w:r>
      <w:r>
        <w:t xml:space="preserve">the six-feature space is heavily duplicated—3</w:t>
      </w:r>
      <w:r>
        <w:t xml:space="preserve">,</w:t>
      </w:r>
      <w:r>
        <w:t xml:space="preserve">673 of 5</w:t>
      </w:r>
      <w:r>
        <w:t xml:space="preserve">,</w:t>
      </w:r>
      <w:r>
        <w:t xml:space="preserve">278</w:t>
      </w:r>
      <w:r>
        <w:t xml:space="preserve"> </w:t>
      </w:r>
      <w:r>
        <w:t xml:space="preserve">defendants share their exact feature vector with at least one</w:t>
      </w:r>
      <w:r>
        <w:t xml:space="preserve"> </w:t>
      </w:r>
      <w:r>
        <w:t xml:space="preserve">other—so distance ties are pervasive (79 % of defendants have a</w:t>
      </w:r>
      <w:r>
        <w:t xml:space="preserve"> </w:t>
      </w:r>
      <w:r>
        <w:t xml:space="preserve">tie straddling the</w:t>
      </w:r>
      <w:r>
        <w:t xml:space="preserve"> </w:t>
      </w:r>
      <m:oMath>
        <m:r>
          <m:t>k</m:t>
        </m:r>
        <m:r>
          <m:rPr>
            <m:sty m:val="p"/>
          </m:rPr>
          <m:t>=</m:t>
        </m:r>
        <m:r>
          <m:t>20</m:t>
        </m:r>
      </m:oMath>
      <w:r>
        <w:t xml:space="preserve"> </w:t>
      </w:r>
      <w:r>
        <w:t xml:space="preserve">neighbourhood boundary). Neighbour</w:t>
      </w:r>
      <w:r>
        <w:t xml:space="preserve"> </w:t>
      </w:r>
      <w:r>
        <w:t xml:space="preserve">selection uses a stable sort, so tie-breaking is deterministic (by</w:t>
      </w:r>
      <w:r>
        <w:t xml:space="preserve"> </w:t>
      </w:r>
      <w:r>
        <w:t xml:space="preserve">dataset row order); estimates at</w:t>
      </w:r>
      <w:r>
        <w:t xml:space="preserve"> </w:t>
      </w:r>
      <m:oMath>
        <m:r>
          <m:t>k</m:t>
        </m:r>
        <m:r>
          <m:rPr>
            <m:sty m:val="p"/>
          </m:rPr>
          <m:t>=</m:t>
        </m:r>
        <m:r>
          <m:t>1</m:t>
        </m:r>
      </m:oMath>
      <w:r>
        <w:t xml:space="preserve"> </w:t>
      </w:r>
      <w:r>
        <w:t xml:space="preserve">are the most tie-sensitive,</w:t>
      </w:r>
      <w:r>
        <w:t xml:space="preserve"> </w:t>
      </w:r>
      <w:r>
        <w:t xml:space="preserve">which is why small-</w:t>
      </w:r>
      <m:oMath>
        <m:r>
          <m:t>k</m:t>
        </m:r>
      </m:oMath>
      <w:r>
        <w:t xml:space="preserve"> </w:t>
      </w:r>
      <w:r>
        <w:t xml:space="preserve">values should be read with their (wide) CIs.</w:t>
      </w:r>
      <w:r>
        <w:t xml:space="preserve"> </w:t>
      </w:r>
      <w:r>
        <w:rPr>
          <w:i/>
          <w:iCs/>
        </w:rPr>
        <w:t xml:space="preserve">Score ties</w:t>
      </w:r>
      <w:r>
        <w:t xml:space="preserve"> </w:t>
      </w:r>
      <w:r>
        <w:t xml:space="preserve">raise no issue: score gaps enter as absolute</w:t>
      </w:r>
      <w:r>
        <w:t xml:space="preserve"> </w:t>
      </w:r>
      <w:r>
        <w:t xml:space="preserve">differences.</w:t>
      </w:r>
      <w:r>
        <w:t xml:space="preserve"> </w:t>
      </w:r>
      <w:r>
        <w:rPr>
          <w:i/>
          <w:iCs/>
        </w:rPr>
        <w:t xml:space="preserve">Neighbour reuse</w:t>
      </w:r>
      <w:r>
        <w:t xml:space="preserve">: each defendant appears in a mean</w:t>
      </w:r>
      <w:r>
        <w:t xml:space="preserve"> </w:t>
      </w:r>
      <w:r>
        <w:t xml:space="preserve">of 40 (max 198) other defendants’ comparison sets; the</w:t>
      </w:r>
      <w:r>
        <w:t xml:space="preserve"> </w:t>
      </w:r>
      <w:r>
        <w:t xml:space="preserve">re-formed-neighbourhood bootstrap propagates this dependence into the</w:t>
      </w:r>
      <w:r>
        <w:t xml:space="preserve"> </w:t>
      </w:r>
      <w:r>
        <w:t xml:space="preserve">CIs.</w:t>
      </w:r>
      <w:r>
        <w:t xml:space="preserve"> </w:t>
      </w:r>
      <w:r>
        <w:rPr>
          <w:i/>
          <w:iCs/>
        </w:rPr>
        <w:t xml:space="preserve">Missing values</w:t>
      </w:r>
      <w:r>
        <w:t xml:space="preserve">: none among the six features in the</w:t>
      </w:r>
      <w:r>
        <w:t xml:space="preserve"> </w:t>
      </w:r>
      <w:r>
        <w:t xml:space="preserve">filtered subset.</w:t>
      </w:r>
      <w:r>
        <w:t xml:space="preserve"> </w:t>
      </w:r>
      <w:r>
        <w:rPr>
          <w:i/>
          <w:iCs/>
        </w:rPr>
        <w:t xml:space="preserve">Covariance inversion</w:t>
      </w:r>
      <w:r>
        <w:t xml:space="preserve">: the correlation matrix</w:t>
      </w:r>
      <w:r>
        <w:t xml:space="preserve"> </w:t>
      </w:r>
      <w:r>
        <w:t xml:space="preserve">has condition number 2.65; inversion uses a ridge of</w:t>
      </w:r>
      <w:r>
        <w:t xml:space="preserve"> </w:t>
      </w:r>
      <m:oMath>
        <m:sSup>
          <m:e>
            <m:r>
              <m:t>10</m:t>
            </m:r>
          </m:e>
          <m:sup>
            <m:r>
              <m:rPr>
                <m:sty m:val="p"/>
              </m:rPr>
              <m:t>−</m:t>
            </m:r>
            <m:r>
              <m:t>6</m:t>
            </m:r>
          </m:sup>
        </m:sSup>
      </m:oMath>
      <w:r>
        <w:t xml:space="preserve">.</w:t>
      </w:r>
      <w:r>
        <w:t xml:space="preserve"> </w:t>
      </w:r>
      <w:r>
        <w:rPr>
          <w:i/>
          <w:iCs/>
        </w:rPr>
        <w:t xml:space="preserve">Insufficient comparators</w:t>
      </w:r>
      <w:r>
        <w:t xml:space="preserve">: in unrestricted analyses every</w:t>
      </w:r>
      <w:r>
        <w:t xml:space="preserve"> </w:t>
      </w:r>
      <w:r>
        <w:t xml:space="preserve">defendant has at least</w:t>
      </w:r>
      <w:r>
        <w:t xml:space="preserve"> </w:t>
      </w:r>
      <m:oMath>
        <m:r>
          <m:t>k</m:t>
        </m:r>
        <m:r>
          <m:rPr>
            <m:sty m:val="p"/>
          </m:rPr>
          <m:t>=</m:t>
        </m:r>
        <m:r>
          <m:t>100</m:t>
        </m:r>
      </m:oMath>
      <w:r>
        <w:t xml:space="preserve"> </w:t>
      </w:r>
      <w:r>
        <w:t xml:space="preserve">comparators of each group; under</w:t>
      </w:r>
      <w:r>
        <w:t xml:space="preserve"> </w:t>
      </w:r>
      <w:r>
        <w:t xml:space="preserve">exact-stratum and coarsened-exact restrictions, defendants lacking</w:t>
      </w:r>
      <w:r>
        <w:t xml:space="preserve"> </w:t>
      </w:r>
      <m:oMath>
        <m:r>
          <m:t>k</m:t>
        </m:r>
      </m:oMath>
      <w:r>
        <w:t xml:space="preserve"> </w:t>
      </w:r>
      <w:r>
        <w:t xml:space="preserve">within-stratum comparators of either group are excluded and the</w:t>
      </w:r>
      <w:r>
        <w:t xml:space="preserve"> </w:t>
      </w:r>
      <w:r>
        <w:t xml:space="preserve">retained</w:t>
      </w:r>
      <w:r>
        <w:t xml:space="preserve"> </w:t>
      </w:r>
      <m:oMath>
        <m:r>
          <m:t>n</m:t>
        </m:r>
      </m:oMath>
      <w:r>
        <w:t xml:space="preserve"> </w:t>
      </w:r>
      <w:r>
        <w:t xml:space="preserve">is reported alongside the estimate.</w:t>
      </w:r>
    </w:p>
    <w:bookmarkEnd w:id="56"/>
    <w:bookmarkStart w:id="58" w:name="summary"/>
    <w:p>
      <w:pPr>
        <w:pStyle w:val="Heading2"/>
      </w:pPr>
      <w:r>
        <w:t xml:space="preserve">Summary</w:t>
      </w:r>
    </w:p>
    <w:p>
      <w:pPr>
        <w:pStyle w:val="FirstParagraph"/>
      </w:pPr>
      <w:r>
        <w:t xml:space="preserve">Table 9 summarizes the empirical findings.</w:t>
      </w:r>
    </w:p>
    <w:bookmarkStart w:id="57" w:name="tab:summary"/>
    <w:p>
      <w:pPr>
        <w:pStyle w:val="TableCaption"/>
      </w:pPr>
      <w:r>
        <w:t xml:space="preserve">Table 9: Headline fairness measurements on the COMPAS Black/White</w:t>
      </w:r>
      <w:r>
        <w:t xml:space="preserve"> </w:t>
      </w:r>
      <w:r>
        <w:t xml:space="preserve">subset,</w:t>
      </w:r>
      <w:r>
        <w:t xml:space="preserve"> </w:t>
      </w:r>
      <m:oMath>
        <m:r>
          <m:t>n</m:t>
        </m:r>
        <m:r>
          <m:rPr>
            <m:sty m:val="p"/>
          </m:rPr>
          <m:t>=</m:t>
        </m:r>
        <m:r>
          <m:t>5</m:t>
        </m:r>
        <m:r>
          <m:rPr>
            <m:sty m:val="p"/>
          </m:rPr>
          <m:t>,</m:t>
        </m:r>
        <m:r>
          <m:t>278</m:t>
        </m:r>
      </m:oMath>
      <w:r>
        <w:t xml:space="preserve">.</w:t>
      </w:r>
    </w:p>
    <w:tbl>
      <w:tblPr>
        <w:tblStyle w:val="Table"/>
        <w:tblW w:type="auto" w:w="0"/>
        <w:tblLook w:firstRow="1" w:lastRow="0" w:firstColumn="0" w:lastColumn="0" w:noHBand="0" w:noVBand="0" w:val="0020"/>
        <w:tblCaption w:val="Table 9: Headline fairness measurements on the COMPAS Black/White subset, n = 5{,}278."/>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Value</w:t>
            </w:r>
          </w:p>
        </w:tc>
        <w:tc>
          <w:tcPr/>
          <w:p>
            <w:pPr>
              <w:pStyle w:val="Compact"/>
              <w:jc w:val="left"/>
            </w:pPr>
            <w:r>
              <w:rPr>
                <w:b/>
                <w:bCs/>
              </w:rPr>
              <w:t xml:space="preserve">Interpretation</w:t>
            </w:r>
          </w:p>
        </w:tc>
      </w:tr>
      <w:tr>
        <w:tc>
          <w:tcPr/>
          <w:p>
            <w:pPr>
              <w:pStyle w:val="Compact"/>
              <w:jc w:val="left"/>
            </w:pPr>
            <w:r>
              <w:t xml:space="preserve">Disparate impact (Black/White, medium-or-high)</w:t>
            </w:r>
          </w:p>
        </w:tc>
        <w:tc>
          <w:tcPr/>
          <w:p>
            <w:pPr>
              <w:pStyle w:val="Compact"/>
              <w:jc w:val="left"/>
            </w:pPr>
            <m:oMath>
              <m:r>
                <m:t>1.741</m:t>
              </m:r>
            </m:oMath>
          </w:p>
        </w:tc>
        <w:tc>
          <w:tcPr/>
          <w:p>
            <w:pPr>
              <w:pStyle w:val="Compact"/>
              <w:jc w:val="left"/>
            </w:pPr>
            <w:r>
              <w:t xml:space="preserve">Fails the four-fifths screen if translated from employment law</w:t>
            </w:r>
            <w:r>
              <w:t xml:space="preserve"> </w:t>
            </w:r>
            <w:r>
              <w:t xml:space="preserve">(illustrative only; §6.3)</w:t>
            </w:r>
          </w:p>
        </w:tc>
      </w:tr>
      <w:tr>
        <w:tc>
          <w:tcPr/>
          <w:p>
            <w:pPr>
              <w:pStyle w:val="Compact"/>
              <w:jc w:val="left"/>
            </w:pPr>
            <w:r>
              <w:t xml:space="preserve">FPR disparity (Black</w:t>
            </w:r>
            <w:r>
              <w:t xml:space="preserve"> </w:t>
            </w:r>
            <m:oMath>
              <m:r>
                <m:rPr>
                  <m:sty m:val="p"/>
                </m:rPr>
                <m:t>−</m:t>
              </m:r>
            </m:oMath>
            <w:r>
              <w:t xml:space="preserve"> </w:t>
            </w:r>
            <w:r>
              <w:t xml:space="preserve">White)</w:t>
            </w:r>
          </w:p>
        </w:tc>
        <w:tc>
          <w:tcPr/>
          <w:p>
            <w:pPr>
              <w:pStyle w:val="Compact"/>
              <w:jc w:val="left"/>
            </w:pPr>
            <m:oMath>
              <m:r>
                <m:rPr>
                  <m:sty m:val="p"/>
                </m:rPr>
                <m:t>+</m:t>
              </m:r>
              <m:r>
                <m:t>0.203</m:t>
              </m:r>
            </m:oMath>
          </w:p>
        </w:tc>
        <w:tc>
          <w:tcPr/>
          <w:p>
            <w:pPr>
              <w:pStyle w:val="Compact"/>
              <w:jc w:val="left"/>
            </w:pPr>
            <w:r>
              <w:t xml:space="preserve">ProPublica’s headline finding; large</w:t>
            </w:r>
          </w:p>
        </w:tc>
      </w:tr>
      <w:tr>
        <w:tc>
          <w:tcPr/>
          <w:p>
            <w:pPr>
              <w:pStyle w:val="Compact"/>
              <w:jc w:val="left"/>
            </w:pPr>
            <w:r>
              <w:t xml:space="preserve">FNR disparity (Black</w:t>
            </w:r>
            <w:r>
              <w:t xml:space="preserve"> </w:t>
            </w:r>
            <m:oMath>
              <m:r>
                <m:rPr>
                  <m:sty m:val="p"/>
                </m:rPr>
                <m:t>−</m:t>
              </m:r>
            </m:oMath>
            <w:r>
              <w:t xml:space="preserve"> </w:t>
            </w:r>
            <w:r>
              <w:t xml:space="preserve">White)</w:t>
            </w:r>
          </w:p>
        </w:tc>
        <w:tc>
          <w:tcPr/>
          <w:p>
            <w:pPr>
              <w:pStyle w:val="Compact"/>
              <w:jc w:val="left"/>
            </w:pPr>
            <m:oMath>
              <m:r>
                <m:rPr>
                  <m:sty m:val="p"/>
                </m:rPr>
                <m:t>−</m:t>
              </m:r>
              <m:r>
                <m:t>0.211</m:t>
              </m:r>
            </m:oMath>
          </w:p>
        </w:tc>
        <w:tc>
          <w:tcPr/>
          <w:p>
            <w:pPr>
              <w:pStyle w:val="Compact"/>
              <w:jc w:val="left"/>
            </w:pPr>
            <w:r>
              <w:t xml:space="preserve">Complementary rate (distinct denominator); large</w:t>
            </w:r>
          </w:p>
        </w:tc>
      </w:tr>
      <w:tr>
        <w:tc>
          <w:tcPr/>
          <w:p>
            <w:pPr>
              <w:pStyle w:val="Compact"/>
              <w:jc w:val="left"/>
            </w:pPr>
            <w:r>
              <w:t xml:space="preserve">Predictive-parity gap,</w:t>
            </w:r>
            <w:r>
              <w:t xml:space="preserve"> </w:t>
            </w:r>
            <m:oMath>
              <m:r>
                <m:rPr>
                  <m:sty m:val="p"/>
                </m:rPr>
                <m:t>Pr</m:t>
              </m:r>
              <m:r>
                <m:rPr>
                  <m:sty m:val="p"/>
                </m:rPr>
                <m:t>(</m:t>
              </m:r>
              <m:r>
                <m:rPr>
                  <m:nor/>
                  <m:sty m:val="p"/>
                </m:rPr>
                <m:t>recid</m:t>
              </m:r>
              <m:r>
                <m:rPr>
                  <m:sty m:val="p"/>
                </m:rPr>
                <m:t>∣</m:t>
              </m:r>
              <m:r>
                <m:rPr>
                  <m:nor/>
                  <m:sty m:val="p"/>
                </m:rPr>
                <m:t>high</m:t>
              </m:r>
              <m:r>
                <m:rPr>
                  <m:sty m:val="p"/>
                </m:rPr>
                <m:t>)</m:t>
              </m:r>
            </m:oMath>
            <w:r>
              <w:t xml:space="preserve"> </w:t>
            </w:r>
            <w:r>
              <w:t xml:space="preserve">(Black</w:t>
            </w:r>
            <w:r>
              <w:t xml:space="preserve"> </w:t>
            </w:r>
            <m:oMath>
              <m:r>
                <m:rPr>
                  <m:sty m:val="p"/>
                </m:rPr>
                <m:t>−</m:t>
              </m:r>
            </m:oMath>
            <w:r>
              <w:t xml:space="preserve"> </w:t>
            </w:r>
            <w:r>
              <w:t xml:space="preserve">White)</w:t>
            </w:r>
          </w:p>
        </w:tc>
        <w:tc>
          <w:tcPr/>
          <w:p>
            <w:pPr>
              <w:pStyle w:val="Compact"/>
              <w:jc w:val="left"/>
            </w:pPr>
            <m:oMath>
              <m:r>
                <m:rPr>
                  <m:sty m:val="p"/>
                </m:rPr>
                <m:t>+</m:t>
              </m:r>
              <m:r>
                <m:t>0.055</m:t>
              </m:r>
            </m:oMath>
          </w:p>
        </w:tc>
        <w:tc>
          <w:tcPr/>
          <w:p>
            <w:pPr>
              <w:pStyle w:val="Compact"/>
              <w:jc w:val="left"/>
            </w:pPr>
            <w:r>
              <w:t xml:space="preserve">Northpointe’s defence; small</w:t>
            </w:r>
          </w:p>
        </w:tc>
      </w:tr>
      <w:tr>
        <w:tc>
          <w:tcPr/>
          <w:p>
            <w:pPr>
              <w:pStyle w:val="Compact"/>
              <w:jc w:val="left"/>
            </w:pPr>
            <w:r>
              <w:rPr>
                <w:b/>
                <w:bCs/>
              </w:rPr>
              <w:t xml:space="preserve">LBI(race) at</w:t>
            </w:r>
            <w:r>
              <w:rPr>
                <w:b/>
                <w:bCs/>
              </w:rPr>
              <w:t xml:space="preserve"> </w:t>
            </w:r>
            <m:oMath>
              <m:r>
                <m:t>k</m:t>
              </m:r>
              <m:r>
                <m:rPr>
                  <m:sty m:val="p"/>
                </m:rPr>
                <m:t>=</m:t>
              </m:r>
              <m:r>
                <m:t>20</m:t>
              </m:r>
            </m:oMath>
          </w:p>
        </w:tc>
        <w:tc>
          <w:tcPr/>
          <w:p>
            <w:pPr>
              <w:pStyle w:val="Compact"/>
              <w:jc w:val="left"/>
            </w:pPr>
            <m:oMath>
              <m:r>
                <m:rPr>
                  <m:sty m:val="b"/>
                </m:rPr>
                <m:t>1.049</m:t>
              </m:r>
            </m:oMath>
          </w:p>
        </w:tc>
        <w:tc>
          <w:tcPr/>
          <w:p>
            <w:pPr>
              <w:pStyle w:val="Compact"/>
              <w:jc w:val="left"/>
            </w:pPr>
            <w:r>
              <w:rPr>
                <w:b/>
                <w:bCs/>
              </w:rPr>
              <w:t xml:space="preserve">CI</w:t>
            </w:r>
            <w:r>
              <w:rPr>
                <w:b/>
                <w:bCs/>
              </w:rPr>
              <w:t xml:space="preserve"> </w:t>
            </w:r>
            <m:oMath>
              <m:r>
                <m:rPr>
                  <m:sty m:val="p"/>
                </m:rPr>
                <m:t>[</m:t>
              </m:r>
              <m:r>
                <m:t>1.027</m:t>
              </m:r>
              <m:r>
                <m:rPr>
                  <m:sty m:val="p"/>
                </m:rPr>
                <m:t>,</m:t>
              </m:r>
              <m:r>
                <m:t>1.072</m:t>
              </m:r>
              <m:r>
                <m:rPr>
                  <m:sty m:val="p"/>
                </m:rPr>
                <m:t>]</m:t>
              </m:r>
            </m:oMath>
            <w:r>
              <w:rPr>
                <w:b/>
                <w:bCs/>
              </w:rPr>
              <w:t xml:space="preserve">; CRT</w:t>
            </w:r>
            <w:r>
              <w:rPr>
                <w:b/>
                <w:bCs/>
              </w:rPr>
              <w:t xml:space="preserve"> </w:t>
            </w:r>
            <m:oMath>
              <m:r>
                <m:t>z</m:t>
              </m:r>
              <m:r>
                <m:rPr>
                  <m:sty m:val="p"/>
                </m:rPr>
                <m:t>=</m:t>
              </m:r>
              <m:r>
                <m:t>4.9</m:t>
              </m:r>
            </m:oMath>
            <w:r>
              <w:rPr>
                <w:b/>
                <w:bCs/>
              </w:rPr>
              <w:t xml:space="preserve">, global</w:t>
            </w:r>
            <w:r>
              <w:rPr>
                <w:b/>
                <w:bCs/>
              </w:rPr>
              <w:t xml:space="preserve"> </w:t>
            </w:r>
            <m:oMath>
              <m:r>
                <m:t>p</m:t>
              </m:r>
              <m:r>
                <m:rPr>
                  <m:sty m:val="p"/>
                </m:rPr>
                <m:t>=</m:t>
              </m:r>
              <m:r>
                <m:t>0.001</m:t>
              </m:r>
            </m:oMath>
          </w:p>
        </w:tc>
      </w:tr>
      <w:tr>
        <w:tc>
          <w:tcPr/>
          <w:p>
            <w:pPr>
              <w:pStyle w:val="Compact"/>
              <w:jc w:val="left"/>
            </w:pPr>
            <w:r>
              <w:t xml:space="preserve">under matching-parity restrictions</w:t>
            </w:r>
          </w:p>
        </w:tc>
        <w:tc>
          <w:tcPr/>
          <w:p>
            <w:pPr>
              <w:pStyle w:val="Compact"/>
              <w:jc w:val="left"/>
            </w:pPr>
            <m:oMath>
              <m:r>
                <m:t>1.00</m:t>
              </m:r>
            </m:oMath>
            <w:r>
              <w:t xml:space="preserve">–</w:t>
            </w:r>
            <m:oMath>
              <m:r>
                <m:t>1.02</m:t>
              </m:r>
            </m:oMath>
          </w:p>
        </w:tc>
        <w:tc>
          <w:tcPr/>
          <w:p>
            <w:pPr>
              <w:pStyle w:val="Compact"/>
              <w:jc w:val="left"/>
            </w:pPr>
            <w:r>
              <w:t xml:space="preserve">mechanical component removed (§4.5)</w:t>
            </w:r>
          </w:p>
        </w:tc>
      </w:tr>
      <w:tr>
        <w:tc>
          <w:tcPr/>
          <w:p>
            <w:pPr>
              <w:pStyle w:val="Compact"/>
              <w:jc w:val="left"/>
            </w:pPr>
            <w:r>
              <w:t xml:space="preserve">at the medium-or-high threshold</w:t>
            </w:r>
          </w:p>
        </w:tc>
        <w:tc>
          <w:tcPr/>
          <w:p>
            <w:pPr>
              <w:pStyle w:val="Compact"/>
              <w:jc w:val="left"/>
            </w:pPr>
            <m:oMath>
              <m:r>
                <m:t>1.092</m:t>
              </m:r>
            </m:oMath>
          </w:p>
        </w:tc>
        <w:tc>
          <w:tcPr/>
          <w:p>
            <w:pPr>
              <w:pStyle w:val="Compact"/>
              <w:jc w:val="left"/>
            </w:pPr>
            <w:r>
              <w:t xml:space="preserve">disagreement rates 37.3 % vs. 34.2 %</w:t>
            </w:r>
          </w:p>
        </w:tc>
      </w:tr>
    </w:tbl>
    <w:bookmarkEnd w:id="57"/>
    <w:p>
      <w:pPr>
        <w:pStyle w:val="BodyText"/>
      </w:pPr>
      <w:r>
        <w:t xml:space="preserve">The honest summary is two-sided. The unadjusted index overstates the</w:t>
      </w:r>
      <w:r>
        <w:t xml:space="preserve"> </w:t>
      </w:r>
      <w:r>
        <w:t xml:space="preserve">race-associated component: roughly</w:t>
      </w:r>
      <w:r>
        <w:t xml:space="preserve"> </w:t>
      </w:r>
      <m:oMath>
        <m:r>
          <m:rPr>
            <m:sty m:val="p"/>
          </m:rPr>
          <m:t>+</m:t>
        </m:r>
        <m:r>
          <m:t>0.01</m:t>
        </m:r>
      </m:oMath>
      <w:r>
        <w:t xml:space="preserve"> </w:t>
      </w:r>
      <w:r>
        <w:t xml:space="preserve">to</w:t>
      </w:r>
      <w:r>
        <w:t xml:space="preserve"> </w:t>
      </w:r>
      <m:oMath>
        <m:r>
          <m:rPr>
            <m:sty m:val="p"/>
          </m:rPr>
          <m:t>+</m:t>
        </m:r>
        <m:r>
          <m:t>0.015</m:t>
        </m:r>
      </m:oMath>
      <w:r>
        <w:t xml:space="preserve"> </w:t>
      </w:r>
      <w:r>
        <w:t xml:space="preserve">of the excess</w:t>
      </w:r>
      <w:r>
        <w:t xml:space="preserve"> </w:t>
      </w:r>
      <w:r>
        <w:t xml:space="preserve">is mechanical, attributable to cross-race neighbours being</w:t>
      </w:r>
      <w:r>
        <w:t xml:space="preserve"> </w:t>
      </w:r>
      <w:r>
        <w:t xml:space="preserve">worse-matched on these feature distributions, and specifications</w:t>
      </w:r>
      <w:r>
        <w:t xml:space="preserve"> </w:t>
      </w:r>
      <w:r>
        <w:t xml:space="preserve">that force matching parity land at</w:t>
      </w:r>
      <w:r>
        <w:t xml:space="preserve"> </w:t>
      </w:r>
      <m:oMath>
        <m:r>
          <m:t>1.01</m:t>
        </m:r>
      </m:oMath>
      <w:r>
        <w:t xml:space="preserve">–</w:t>
      </w:r>
      <m:oMath>
        <m:r>
          <m:t>1.02</m:t>
        </m:r>
      </m:oMath>
      <w:r>
        <w:t xml:space="preserve">. What remains is</w:t>
      </w:r>
      <w:r>
        <w:t xml:space="preserve"> </w:t>
      </w:r>
      <w:r>
        <w:t xml:space="preserve">nonetheless statistically unambiguous under the correctly calibrated</w:t>
      </w:r>
      <w:r>
        <w:t xml:space="preserve"> </w:t>
      </w:r>
      <w:r>
        <w:t xml:space="preserve">conditional test (</w:t>
      </w:r>
      <m:oMath>
        <m:r>
          <m:t>z</m:t>
        </m:r>
        <m:r>
          <m:rPr>
            <m:sty m:val="p"/>
          </m:rPr>
          <m:t>=</m:t>
        </m:r>
        <m:r>
          <m:t>4.9</m:t>
        </m:r>
      </m:oMath>
      <w:r>
        <w:t xml:space="preserve">, global</w:t>
      </w:r>
      <w:r>
        <w:t xml:space="preserve"> </w:t>
      </w:r>
      <m:oMath>
        <m:r>
          <m:t>p</m:t>
        </m:r>
        <m:r>
          <m:rPr>
            <m:sty m:val="p"/>
          </m:rPr>
          <m:t>=</m:t>
        </m:r>
        <m:r>
          <m:t>0.001</m:t>
        </m:r>
      </m:oMath>
      <w:r>
        <w:t xml:space="preserve"> </w:t>
      </w:r>
      <w:r>
        <w:t xml:space="preserve">across all scales),</w:t>
      </w:r>
      <w:r>
        <w:t xml:space="preserve"> </w:t>
      </w:r>
      <w:r>
        <w:t xml:space="preserve">is concentrated among defendants with scarce cross-race comparators</w:t>
      </w:r>
      <w:r>
        <w:t xml:space="preserve"> </w:t>
      </w:r>
      <w:r>
        <w:t xml:space="preserve">and in the upper tail of the gap distribution, is asymmetric across</w:t>
      </w:r>
      <w:r>
        <w:t xml:space="preserve"> </w:t>
      </w:r>
      <w:r>
        <w:t xml:space="preserve">focal groups (</w:t>
      </w:r>
      <m:oMath>
        <m:r>
          <m:t>1.087</m:t>
        </m:r>
      </m:oMath>
      <w:r>
        <w:t xml:space="preserve"> </w:t>
      </w:r>
      <w:r>
        <w:t xml:space="preserve">White-focal vs. </w:t>
      </w:r>
      <m:oMath>
        <m:r>
          <m:t>1.027</m:t>
        </m:r>
      </m:oMath>
      <w:r>
        <w:t xml:space="preserve"> </w:t>
      </w:r>
      <w:r>
        <w:t xml:space="preserve">Black-focal), and is</w:t>
      </w:r>
      <w:r>
        <w:t xml:space="preserve"> </w:t>
      </w:r>
      <w:r>
        <w:t xml:space="preserve">largest at the classification threshold that drove the public</w:t>
      </w:r>
      <w:r>
        <w:t xml:space="preserve"> </w:t>
      </w:r>
      <w:r>
        <w:t xml:space="preserve">controversy (</w:t>
      </w:r>
      <m:oMath>
        <m:r>
          <m:t>1.092</m:t>
        </m:r>
      </m:oMath>
      <w:r>
        <w:t xml:space="preserve">; 37.3 % vs. 34.2 % disagreement).</w:t>
      </w:r>
    </w:p>
    <w:bookmarkEnd w:id="58"/>
    <w:bookmarkEnd w:id="59"/>
    <w:bookmarkStart w:id="64" w:name="sec:discussion"/>
    <w:p>
      <w:pPr>
        <w:pStyle w:val="Heading1"/>
      </w:pPr>
      <w:r>
        <w:t xml:space="preserve">Discussion</w:t>
      </w:r>
    </w:p>
    <w:bookmarkStart w:id="60" w:name="what-lbi-adds-to-the-fairness-literature"/>
    <w:p>
      <w:pPr>
        <w:pStyle w:val="Heading2"/>
      </w:pPr>
      <w:r>
        <w:t xml:space="preserve">What LBI adds to the fairness literature</w:t>
      </w:r>
    </w:p>
    <w:p>
      <w:pPr>
        <w:pStyle w:val="FirstParagraph"/>
      </w:pPr>
      <w:r>
        <w:t xml:space="preserve">LBI complements rather than replaces the existing fairness metrics.</w:t>
      </w:r>
      <w:r>
        <w:t xml:space="preserve"> </w:t>
      </w:r>
      <w:r>
        <w:t xml:space="preserve">Three properties distinguish it:</w:t>
      </w:r>
    </w:p>
    <w:p>
      <w:pPr>
        <w:pStyle w:val="BodyText"/>
      </w:pPr>
      <w:r>
        <w:rPr>
          <w:b/>
          <w:bCs/>
        </w:rPr>
        <w:t xml:space="preserve">(i) It is matched-neighbourhood, not marginal.</w:t>
      </w:r>
      <w:r>
        <w:t xml:space="preserve"> </w:t>
      </w:r>
      <w:r>
        <w:t xml:space="preserve">The</w:t>
      </w:r>
      <w:r>
        <w:t xml:space="preserve"> </w:t>
      </w:r>
      <w:r>
        <w:t xml:space="preserve">Chouldechova–Kleinberg impossibility is a constraint on marginal,</w:t>
      </w:r>
      <w:r>
        <w:t xml:space="preserve"> </w:t>
      </w:r>
      <w:r>
        <w:t xml:space="preserve">group-level statistics (error rates and calibration conditioned only</w:t>
      </w:r>
      <w:r>
        <w:t xml:space="preserve"> </w:t>
      </w:r>
      <w:r>
        <w:t xml:space="preserve">on group and outcome). LBI is built from local comparisons between</w:t>
      </w:r>
      <w:r>
        <w:t xml:space="preserve"> </w:t>
      </w:r>
      <w:r>
        <w:t xml:space="preserve">defendants matched on legitimate predictors and then aggregated, so</w:t>
      </w:r>
      <w:r>
        <w:t xml:space="preserve"> </w:t>
      </w:r>
      <w:r>
        <w:t xml:space="preserve">it is best described as a population-level summary of case-level</w:t>
      </w:r>
      <w:r>
        <w:t xml:space="preserve"> </w:t>
      </w:r>
      <w:r>
        <w:t xml:space="preserve">contrasts; what distinguishes it from the marginal metrics is the</w:t>
      </w:r>
      <w:r>
        <w:t xml:space="preserve"> </w:t>
      </w:r>
      <w:r>
        <w:rPr>
          <w:i/>
          <w:iCs/>
        </w:rPr>
        <w:t xml:space="preserve">conditioning</w:t>
      </w:r>
      <w:r>
        <w:t xml:space="preserve">—every comparison is between similarly-situated</w:t>
      </w:r>
      <w:r>
        <w:t xml:space="preserve"> </w:t>
      </w:r>
      <w:r>
        <w:t xml:space="preserve">defendants—not the level of aggregation. The impossibility theorem</w:t>
      </w:r>
      <w:r>
        <w:t xml:space="preserve"> </w:t>
      </w:r>
      <w:r>
        <w:t xml:space="preserve">does not constrain it: an algorithm can have</w:t>
      </w:r>
      <w:r>
        <w:t xml:space="preserve"> </w:t>
      </w:r>
      <m:oMath>
        <m:r>
          <m:rPr>
            <m:sty m:val="p"/>
          </m:rPr>
          <m:t>L</m:t>
        </m:r>
        <m:r>
          <m:rPr>
            <m:sty m:val="p"/>
          </m:rPr>
          <m:t>B</m:t>
        </m:r>
        <m:r>
          <m:rPr>
            <m:sty m:val="p"/>
          </m:rPr>
          <m:t>I</m:t>
        </m:r>
        <m:r>
          <m:rPr>
            <m:sty m:val="p"/>
          </m:rPr>
          <m:t>=</m:t>
        </m:r>
        <m:r>
          <m:t>1</m:t>
        </m:r>
      </m:oMath>
      <w:r>
        <w:t xml:space="preserve"> </w:t>
      </w:r>
      <w:r>
        <w:t xml:space="preserve">without satisfying either calibration or equalized odds, and</w:t>
      </w:r>
      <w:r>
        <w:t xml:space="preserve"> </w:t>
      </w:r>
      <w:r>
        <w:t xml:space="preserve">conversely.</w:t>
      </w:r>
    </w:p>
    <w:p>
      <w:pPr>
        <w:pStyle w:val="BodyText"/>
      </w:pPr>
      <w:r>
        <w:rPr>
          <w:b/>
          <w:bCs/>
        </w:rPr>
        <w:t xml:space="preserve">(ii) It is a compact, reportable object.</w:t>
      </w:r>
      <w:r>
        <w:t xml:space="preserve"> </w:t>
      </w:r>
      <w:r>
        <w:t xml:space="preserve">Population-level</w:t>
      </w:r>
      <w:r>
        <w:t xml:space="preserve"> </w:t>
      </w:r>
      <w:r>
        <w:t xml:space="preserve">metrics typically come in matched pairs (FPR and FNR; precision at</w:t>
      </w:r>
      <w:r>
        <w:t xml:space="preserve"> </w:t>
      </w:r>
      <w:r>
        <w:t xml:space="preserve">high and low; positive-prediction rate by group). LBI is a</w:t>
      </w:r>
      <w:r>
        <w:t xml:space="preserve"> </w:t>
      </w:r>
      <w:r>
        <w:t xml:space="preserve">scale-indexed curve with pointwise confidence intervals and a single</w:t>
      </w:r>
      <w:r>
        <w:t xml:space="preserve"> </w:t>
      </w:r>
      <w:r>
        <w:t xml:space="preserve">global test, a compact form that could slot into audit-style</w:t>
      </w:r>
      <w:r>
        <w:t xml:space="preserve"> </w:t>
      </w:r>
      <w:r>
        <w:t xml:space="preserve">reporting if the metric matures beyond its current research stage.</w:t>
      </w:r>
      <w:r>
        <w:t xml:space="preserve"> </w:t>
      </w:r>
      <w:r>
        <w:t xml:space="preserve">Compactness is a reporting convenience, not an epistemic virtue:</w:t>
      </w:r>
      <w:r>
        <w:t xml:space="preserve"> </w:t>
      </w:r>
      <w:r>
        <w:t xml:space="preserve">case-level disparity may itself vary by offence type, decision point,</w:t>
      </w:r>
      <w:r>
        <w:t xml:space="preserve"> </w:t>
      </w:r>
      <w:r>
        <w:t xml:space="preserve">or assessment window—and on COMPAS it demonstrably varies by focal</w:t>
      </w:r>
      <w:r>
        <w:t xml:space="preserve"> </w:t>
      </w:r>
      <w:r>
        <w:t xml:space="preserve">group and by region of feature space (§4.4,</w:t>
      </w:r>
      <w:r>
        <w:t xml:space="preserve"> </w:t>
      </w:r>
      <w:r>
        <w:t xml:space="preserve">§4.5)—so the index is best read as a screening</w:t>
      </w:r>
      <w:r>
        <w:t xml:space="preserve"> </w:t>
      </w:r>
      <w:r>
        <w:t xml:space="preserve">signal to be disaggregated when it fires, not a substitute for the</w:t>
      </w:r>
      <w:r>
        <w:t xml:space="preserve"> </w:t>
      </w:r>
      <w:r>
        <w:t xml:space="preserve">fuller metric panel.</w:t>
      </w:r>
    </w:p>
    <w:p>
      <w:pPr>
        <w:pStyle w:val="BodyText"/>
      </w:pPr>
      <w:r>
        <w:rPr>
          <w:b/>
          <w:bCs/>
        </w:rPr>
        <w:t xml:space="preserve">(iii) It depends on a metric on legitimate predictors, not</w:t>
      </w:r>
      <w:r>
        <w:rPr>
          <w:b/>
          <w:bCs/>
        </w:rPr>
        <w:t xml:space="preserve"> </w:t>
      </w:r>
      <w:r>
        <w:rPr>
          <w:b/>
          <w:bCs/>
        </w:rPr>
        <w:t xml:space="preserve">on the algorithm’s internals.</w:t>
      </w:r>
      <w:r>
        <w:t xml:space="preserve"> </w:t>
      </w:r>
      <w:r>
        <w:t xml:space="preserve">LBI can be computed by an auditor</w:t>
      </w:r>
      <w:r>
        <w:t xml:space="preserve"> </w:t>
      </w:r>
      <w:r>
        <w:t xml:space="preserve">who has access to the inputs and outputs of the algorithm but not</w:t>
      </w:r>
      <w:r>
        <w:t xml:space="preserve"> </w:t>
      </w:r>
      <w:r>
        <w:t xml:space="preserve">to its parameters. This is the typical audit setting: a regulator</w:t>
      </w:r>
      <w:r>
        <w:t xml:space="preserve"> </w:t>
      </w:r>
      <w:r>
        <w:t xml:space="preserve">or oversight body can observe predictions but not the model.</w:t>
      </w:r>
    </w:p>
    <w:bookmarkEnd w:id="60"/>
    <w:bookmarkStart w:id="61" w:name="sec:individualfairness"/>
    <w:p>
      <w:pPr>
        <w:pStyle w:val="Heading2"/>
      </w:pPr>
      <w:r>
        <w:t xml:space="preserve">Relationship to individual fairness</w:t>
      </w:r>
    </w:p>
    <w:p>
      <w:pPr>
        <w:pStyle w:val="FirstParagraph"/>
      </w:pPr>
      <w:r>
        <w:t xml:space="preserve">Dwork et al. (2012) introduced individual fairness as the requirement</w:t>
      </w:r>
      <w:r>
        <w:t xml:space="preserve"> </w:t>
      </w:r>
      <w:r>
        <w:t xml:space="preserve">that</w:t>
      </w:r>
      <w:r>
        <w:t xml:space="preserve"> </w:t>
      </w:r>
      <w:r>
        <w:t xml:space="preserve">“similar individuals are treated similarly,”</w:t>
      </w:r>
      <w:r>
        <w:t xml:space="preserve"> </w:t>
      </w:r>
      <w:r>
        <w:t xml:space="preserve">formalized as a Lipschitz constraint with respect to a</w:t>
      </w:r>
      <w:r>
        <w:t xml:space="preserve"> </w:t>
      </w:r>
      <w:r>
        <w:t xml:space="preserve">task-appropriate metric. They acknowledged the difficulty of</w:t>
      </w:r>
      <w:r>
        <w:t xml:space="preserve"> </w:t>
      </w:r>
      <w:r>
        <w:t xml:space="preserve">specifying the metric and treated it as an open problem.</w:t>
      </w:r>
    </w:p>
    <w:p>
      <w:pPr>
        <w:pStyle w:val="BodyText"/>
      </w:pPr>
      <w:r>
        <w:t xml:space="preserve">LBI is not an implementation of individual fairness; it is a</w:t>
      </w:r>
      <w:r>
        <w:t xml:space="preserve"> </w:t>
      </w:r>
      <w:r>
        <w:t xml:space="preserve">matched-neighbourhood disparity diagnostic</w:t>
      </w:r>
      <w:r>
        <w:t xml:space="preserve"> </w:t>
      </w:r>
      <w:r>
        <w:rPr>
          <w:i/>
          <w:iCs/>
        </w:rPr>
        <w:t xml:space="preserve">inspired by</w:t>
      </w:r>
      <w:r>
        <w:t xml:space="preserve"> </w:t>
      </w:r>
      <w:r>
        <w:t xml:space="preserve">individual-fairness principles, with two specific choices: the</w:t>
      </w:r>
      <w:r>
        <w:t xml:space="preserve"> </w:t>
      </w:r>
      <w:r>
        <w:t xml:space="preserve">metric is the Mahalanobis distance on the available legitimate</w:t>
      </w:r>
      <w:r>
        <w:t xml:space="preserve"> </w:t>
      </w:r>
      <w:r>
        <w:t xml:space="preserve">predictors, and the quantity reported is the matched-pair</w:t>
      </w:r>
      <w:r>
        <w:t xml:space="preserve"> </w:t>
      </w:r>
      <m:oMath>
        <m:r>
          <m:t>k</m:t>
        </m:r>
      </m:oMath>
      <w:r>
        <w:t xml:space="preserve">-NN</w:t>
      </w:r>
      <w:r>
        <w:t xml:space="preserve"> </w:t>
      </w:r>
      <w:r>
        <w:t xml:space="preserve">ratio rather than a uniform Lipschitz bound. The distinction</w:t>
      </w:r>
      <w:r>
        <w:t xml:space="preserve"> </w:t>
      </w:r>
      <w:r>
        <w:t xml:space="preserve">matters, and it is a weakness of the approach relative to the ideal:</w:t>
      </w:r>
      <w:r>
        <w:t xml:space="preserve"> </w:t>
      </w:r>
      <w:r>
        <w:t xml:space="preserve">because the matching metric is defined only on the</w:t>
      </w:r>
      <w:r>
        <w:t xml:space="preserve"> </w:t>
      </w:r>
      <w:r>
        <w:rPr>
          <w:i/>
          <w:iCs/>
        </w:rPr>
        <w:t xml:space="preserve">measured</w:t>
      </w:r>
      <w:r>
        <w:t xml:space="preserve"> </w:t>
      </w:r>
      <w:r>
        <w:t xml:space="preserve">predictors—a subset of what COMPAS uses—matched neighbours are</w:t>
      </w:r>
      <w:r>
        <w:t xml:space="preserve"> </w:t>
      </w:r>
      <w:r>
        <w:t xml:space="preserve">similar in the measured coordinates, not certifiably similar</w:t>
      </w:r>
      <w:r>
        <w:t xml:space="preserve"> </w:t>
      </w:r>
      <w:r>
        <w:t xml:space="preserve">simpliciter, so LBI can neither verify nor refute the</w:t>
      </w:r>
      <w:r>
        <w:t xml:space="preserve"> </w:t>
      </w:r>
      <w:r>
        <w:t xml:space="preserve">Dwork-style property itself. What the matched-pair formulation buys</w:t>
      </w:r>
      <w:r>
        <w:t xml:space="preserve"> </w:t>
      </w:r>
      <w:r>
        <w:t xml:space="preserve">is operational tractability—to verify a uniform Lipschitz bound,</w:t>
      </w:r>
      <w:r>
        <w:t xml:space="preserve"> </w:t>
      </w:r>
      <w:r>
        <w:t xml:space="preserve">one must evaluate the algorithm on all pairs in the domain, which is</w:t>
      </w:r>
      <w:r>
        <w:t xml:space="preserve"> </w:t>
      </w:r>
      <w:r>
        <w:t xml:space="preserve">infeasible for any non-trivial population—at the price of this</w:t>
      </w:r>
      <w:r>
        <w:t xml:space="preserve"> </w:t>
      </w:r>
      <w:r>
        <w:t xml:space="preserve">weaker, conditional guarantee.</w:t>
      </w:r>
    </w:p>
    <w:bookmarkEnd w:id="61"/>
    <w:bookmarkStart w:id="62" w:name="relationship-to-counterfactual-fairness"/>
    <w:p>
      <w:pPr>
        <w:pStyle w:val="Heading2"/>
      </w:pPr>
      <w:r>
        <w:t xml:space="preserve">Relationship to counterfactual fairness</w:t>
      </w:r>
    </w:p>
    <w:p>
      <w:pPr>
        <w:pStyle w:val="FirstParagraph"/>
      </w:pPr>
      <w:r>
        <w:t xml:space="preserve">Kusner et al. (2017) require that the algorithm’s output be invariant</w:t>
      </w:r>
      <w:r>
        <w:t xml:space="preserve"> </w:t>
      </w:r>
      <w:r>
        <w:t xml:space="preserve">under a counterfactual change of the protected attribute, holding</w:t>
      </w:r>
      <w:r>
        <w:t xml:space="preserve"> </w:t>
      </w:r>
      <w:r>
        <w:t xml:space="preserve">the legitimate features fixed at their observed values. This is a</w:t>
      </w:r>
      <w:r>
        <w:t xml:space="preserve"> </w:t>
      </w:r>
      <w:r>
        <w:t xml:space="preserve">strict version of case-level fairness; LBI is a soft version. The</w:t>
      </w:r>
      <w:r>
        <w:t xml:space="preserve"> </w:t>
      </w:r>
      <w:r>
        <w:t xml:space="preserve">strict version requires a causal model of how the legitimate</w:t>
      </w:r>
      <w:r>
        <w:t xml:space="preserve"> </w:t>
      </w:r>
      <w:r>
        <w:t xml:space="preserve">features depend on the protected attribute; the soft version (LBI)</w:t>
      </w:r>
      <w:r>
        <w:t xml:space="preserve"> </w:t>
      </w:r>
      <w:r>
        <w:t xml:space="preserve">does not. The relationship between the two is heuristic, not exact,</w:t>
      </w:r>
      <w:r>
        <w:t xml:space="preserve"> </w:t>
      </w:r>
      <w:r>
        <w:t xml:space="preserve">because LBI compares</w:t>
      </w:r>
      <w:r>
        <w:t xml:space="preserve"> </w:t>
      </w:r>
      <w:r>
        <w:rPr>
          <w:i/>
          <w:iCs/>
        </w:rPr>
        <w:t xml:space="preserve">different individuals</w:t>
      </w:r>
      <w:r>
        <w:t xml:space="preserve"> </w:t>
      </w:r>
      <w:r>
        <w:t xml:space="preserve">while</w:t>
      </w:r>
      <w:r>
        <w:t xml:space="preserve"> </w:t>
      </w:r>
      <w:r>
        <w:t xml:space="preserve">counterfactual fairness compares counterfactual versions of the</w:t>
      </w:r>
      <w:r>
        <w:t xml:space="preserve"> </w:t>
      </w:r>
      <w:r>
        <w:rPr>
          <w:i/>
          <w:iCs/>
        </w:rPr>
        <w:t xml:space="preserve">same</w:t>
      </w:r>
      <w:r>
        <w:t xml:space="preserve"> </w:t>
      </w:r>
      <w:r>
        <w:t xml:space="preserve">individual: if the matching features capture all</w:t>
      </w:r>
      <w:r>
        <w:t xml:space="preserve"> </w:t>
      </w:r>
      <w:r>
        <w:t xml:space="preserve">legitimate determinants of the score and matched neighbours are</w:t>
      </w:r>
      <w:r>
        <w:t xml:space="preserve"> </w:t>
      </w:r>
      <w:r>
        <w:t xml:space="preserve">close, a counterfactually fair algorithm will exhibit</w:t>
      </w:r>
      <w:r>
        <w:t xml:space="preserve"> </w:t>
      </w:r>
      <m:oMath>
        <m:r>
          <m:rPr>
            <m:sty m:val="p"/>
          </m:rPr>
          <m:t>L</m:t>
        </m:r>
        <m:r>
          <m:rPr>
            <m:sty m:val="p"/>
          </m:rPr>
          <m:t>B</m:t>
        </m:r>
        <m:r>
          <m:rPr>
            <m:sty m:val="p"/>
          </m:rPr>
          <m:t>I</m:t>
        </m:r>
        <m:r>
          <m:rPr>
            <m:sty m:val="p"/>
          </m:rPr>
          <m:t>≈</m:t>
        </m:r>
        <m:r>
          <m:t>1</m:t>
        </m:r>
      </m:oMath>
      <w:r>
        <w:t xml:space="preserve">; and an elevated LBI is what counterfactual</w:t>
      </w:r>
      <w:r>
        <w:t xml:space="preserve"> </w:t>
      </w:r>
      <w:r>
        <w:t xml:space="preserve">unfairness would produce, but it can also be produced by omitted</w:t>
      </w:r>
      <w:r>
        <w:t xml:space="preserve"> </w:t>
      </w:r>
      <w:r>
        <w:t xml:space="preserve">legitimate determinants (§4.9, condition 4), so the</w:t>
      </w:r>
      <w:r>
        <w:t xml:space="preserve"> </w:t>
      </w:r>
      <w:r>
        <w:t xml:space="preserve">implication runs cleanly only in the presence of a causal model.</w:t>
      </w:r>
    </w:p>
    <w:bookmarkEnd w:id="62"/>
    <w:bookmarkStart w:id="63" w:name="limitations"/>
    <w:p>
      <w:pPr>
        <w:pStyle w:val="Heading2"/>
      </w:pPr>
      <w:r>
        <w:t xml:space="preserve">Limitations</w:t>
      </w:r>
    </w:p>
    <w:p>
      <w:pPr>
        <w:pStyle w:val="FirstParagraph"/>
      </w:pPr>
      <w:r>
        <w:rPr>
          <w:b/>
          <w:bCs/>
        </w:rPr>
        <w:t xml:space="preserve">Choice of legitimate features, and contested proxies.</w:t>
      </w:r>
      <w:r>
        <w:t xml:space="preserve"> </w:t>
      </w:r>
      <w:r>
        <w:t xml:space="preserve">The LBI</w:t>
      </w:r>
      <w:r>
        <w:t xml:space="preserve"> </w:t>
      </w:r>
      <w:r>
        <w:t xml:space="preserve">signal depends on what we declare</w:t>
      </w:r>
      <w:r>
        <w:t xml:space="preserve"> </w:t>
      </w:r>
      <w:r>
        <w:t xml:space="preserve">“legitimate,”</w:t>
      </w:r>
      <w:r>
        <w:t xml:space="preserve"> </w:t>
      </w:r>
      <w:r>
        <w:t xml:space="preserve">and that choice is</w:t>
      </w:r>
      <w:r>
        <w:t xml:space="preserve"> </w:t>
      </w:r>
      <w:r>
        <w:t xml:space="preserve">normative, not merely practical—data availability cannot substitute for</w:t>
      </w:r>
      <w:r>
        <w:t xml:space="preserve"> </w:t>
      </w:r>
      <w:r>
        <w:t xml:space="preserve">legal justification. Two failure modes cut in opposite directions. If</w:t>
      </w:r>
      <w:r>
        <w:t xml:space="preserve"> </w:t>
      </w:r>
      <w:r>
        <w:t xml:space="preserve">relevant legitimate predictors are</w:t>
      </w:r>
      <w:r>
        <w:t xml:space="preserve"> </w:t>
      </w:r>
      <w:r>
        <w:rPr>
          <w:i/>
          <w:iCs/>
        </w:rPr>
        <w:t xml:space="preserve">omitted</w:t>
      </w:r>
      <w:r>
        <w:t xml:space="preserve">, matched pairs are not</w:t>
      </w:r>
      <w:r>
        <w:t xml:space="preserve"> </w:t>
      </w:r>
      <w:r>
        <w:t xml:space="preserve">truly similarly situated and LBI can</w:t>
      </w:r>
      <w:r>
        <w:t xml:space="preserve"> </w:t>
      </w:r>
      <w:r>
        <w:rPr>
          <w:i/>
          <w:iCs/>
        </w:rPr>
        <w:t xml:space="preserve">overstate</w:t>
      </w:r>
      <w:r>
        <w:t xml:space="preserve"> </w:t>
      </w:r>
      <w:r>
        <w:t xml:space="preserve">unfairness; the</w:t>
      </w:r>
      <w:r>
        <w:t xml:space="preserve"> </w:t>
      </w:r>
      <w:r>
        <w:t xml:space="preserve">public ProPublica file omits COMPAS inputs such as substance-use,</w:t>
      </w:r>
      <w:r>
        <w:t xml:space="preserve"> </w:t>
      </w:r>
      <w:r>
        <w:t xml:space="preserve">education, and employment items, so our matching is necessarily on a</w:t>
      </w:r>
      <w:r>
        <w:t xml:space="preserve"> </w:t>
      </w:r>
      <w:r>
        <w:t xml:space="preserve">subset. Conversely, some included features are themselves</w:t>
      </w:r>
      <w:r>
        <w:t xml:space="preserve"> </w:t>
      </w:r>
      <w:r>
        <w:rPr>
          <w:i/>
          <w:iCs/>
        </w:rPr>
        <w:t xml:space="preserve">racially patterned proxies</w:t>
      </w:r>
      <w:r>
        <w:t xml:space="preserve">—prior counts and juvenile counts</w:t>
      </w:r>
      <w:r>
        <w:t xml:space="preserve"> </w:t>
      </w:r>
      <w:r>
        <w:t xml:space="preserve">reflect policing, surveillance, and charging practices as much as</w:t>
      </w:r>
      <w:r>
        <w:t xml:space="preserve"> </w:t>
      </w:r>
      <w:r>
        <w:t xml:space="preserve">underlying conduct—so controlling on them can</w:t>
      </w:r>
      <w:r>
        <w:t xml:space="preserve"> </w:t>
      </w:r>
      <w:r>
        <w:rPr>
          <w:i/>
          <w:iCs/>
        </w:rPr>
        <w:t xml:space="preserve">understate</w:t>
      </w:r>
      <w:r>
        <w:t xml:space="preserve"> </w:t>
      </w:r>
      <w:r>
        <w:t xml:space="preserve">unfairness by normalizing part of the very disparity we seek to measure.</w:t>
      </w:r>
      <w:r>
        <w:t xml:space="preserve"> </w:t>
      </w:r>
      <w:r>
        <w:t xml:space="preserve">These features are therefore not</w:t>
      </w:r>
      <w:r>
        <w:t xml:space="preserve"> </w:t>
      </w:r>
      <w:r>
        <w:t xml:space="preserve">“uncontroversial”</w:t>
      </w:r>
      <w:r>
        <w:t xml:space="preserve">; a careful audit</w:t>
      </w:r>
      <w:r>
        <w:t xml:space="preserve"> </w:t>
      </w:r>
      <w:r>
        <w:t xml:space="preserve">distinguishes predictors that are legitimate-and-available,</w:t>
      </w:r>
      <w:r>
        <w:t xml:space="preserve"> </w:t>
      </w:r>
      <w:r>
        <w:t xml:space="preserve">legitimate-but-unavailable, and available-but-contested. The robustness</w:t>
      </w:r>
      <w:r>
        <w:t xml:space="preserve"> </w:t>
      </w:r>
      <w:r>
        <w:t xml:space="preserve">analysis (§4.8) shows the case-level signal survives</w:t>
      </w:r>
      <w:r>
        <w:t xml:space="preserve"> </w:t>
      </w:r>
      <w:r>
        <w:t xml:space="preserve">every available-feature choice we can test—including</w:t>
      </w:r>
      <w:r>
        <w:t xml:space="preserve"> </w:t>
      </w:r>
      <w:r>
        <w:rPr>
          <w:i/>
          <w:iCs/>
        </w:rPr>
        <w:t xml:space="preserve">dropping</w:t>
      </w:r>
      <w:r>
        <w:t xml:space="preserve"> </w:t>
      </w:r>
      <w:r>
        <w:t xml:space="preserve">the contested juvenile counts—but the unmeasured COMPAS inputs remain a</w:t>
      </w:r>
      <w:r>
        <w:t xml:space="preserve"> </w:t>
      </w:r>
      <w:r>
        <w:t xml:space="preserve">genuine limit on any claim of complete case-level similarity. To state</w:t>
      </w:r>
      <w:r>
        <w:t xml:space="preserve"> </w:t>
      </w:r>
      <w:r>
        <w:t xml:space="preserve">the weakness plainly: because the public dataset contains only a subset</w:t>
      </w:r>
      <w:r>
        <w:t xml:space="preserve"> </w:t>
      </w:r>
      <w:r>
        <w:t xml:space="preserve">of the variables COMPAS uses, this analysis cannot establish full</w:t>
      </w:r>
      <w:r>
        <w:t xml:space="preserve"> </w:t>
      </w:r>
      <w:r>
        <w:t xml:space="preserve">individual fairness or its violation—it cannot confirm that the</w:t>
      </w:r>
      <w:r>
        <w:t xml:space="preserve"> </w:t>
      </w:r>
      <w:r>
        <w:t xml:space="preserve">compared defendants were fully similarly situated, cannot isolate a</w:t>
      </w:r>
      <w:r>
        <w:t xml:space="preserve"> </w:t>
      </w:r>
      <w:r>
        <w:t xml:space="preserve">causal effect of race, and cannot prove discrimination. Every finding</w:t>
      </w:r>
      <w:r>
        <w:t xml:space="preserve"> </w:t>
      </w:r>
      <w:r>
        <w:t xml:space="preserve">in this paper is conditional on the measured predictors.</w:t>
      </w:r>
    </w:p>
    <w:p>
      <w:pPr>
        <w:pStyle w:val="BodyText"/>
      </w:pPr>
      <w:r>
        <w:rPr>
          <w:b/>
          <w:bCs/>
        </w:rPr>
        <w:t xml:space="preserve">External validity of the semi-synthetic validation.</w:t>
      </w:r>
      <w:r>
        <w:t xml:space="preserve"> </w:t>
      </w:r>
      <w:r>
        <w:t xml:space="preserve">The</w:t>
      </w:r>
      <w:r>
        <w:t xml:space="preserve"> </w:t>
      </w:r>
      <w:r>
        <w:t xml:space="preserve">validation suite of §4.9 is built on the COMPAS</w:t>
      </w:r>
      <w:r>
        <w:t xml:space="preserve"> </w:t>
      </w:r>
      <w:r>
        <w:t xml:space="preserve">feature matrix, its race–feature dependence, and one linear score</w:t>
      </w:r>
      <w:r>
        <w:t xml:space="preserve"> </w:t>
      </w:r>
      <w:r>
        <w:t xml:space="preserve">family. It establishes calibration and power</w:t>
      </w:r>
      <w:r>
        <w:t xml:space="preserve"> </w:t>
      </w:r>
      <w:r>
        <w:rPr>
          <w:i/>
          <w:iCs/>
        </w:rPr>
        <w:t xml:space="preserve">in this setting</w:t>
      </w:r>
      <w:r>
        <w:t xml:space="preserve">;</w:t>
      </w:r>
      <w:r>
        <w:t xml:space="preserve"> </w:t>
      </w:r>
      <w:r>
        <w:t xml:space="preserve">it does not establish that the metric or its inference machinery will</w:t>
      </w:r>
      <w:r>
        <w:t xml:space="preserve"> </w:t>
      </w:r>
      <w:r>
        <w:t xml:space="preserve">perform consistently across other algorithms, jurisdictions, or</w:t>
      </w:r>
      <w:r>
        <w:t xml:space="preserve"> </w:t>
      </w:r>
      <w:r>
        <w:t xml:space="preserve">decision settings. This is a weakness of the present evidence:</w:t>
      </w:r>
      <w:r>
        <w:t xml:space="preserve"> </w:t>
      </w:r>
      <w:r>
        <w:t xml:space="preserve">transportability of the diagnostic is untested, and each new setting</w:t>
      </w:r>
      <w:r>
        <w:t xml:space="preserve"> </w:t>
      </w:r>
      <w:r>
        <w:t xml:space="preserve">requires its own ground-truth validation before the index is relied</w:t>
      </w:r>
      <w:r>
        <w:t xml:space="preserve"> </w:t>
      </w:r>
      <w:r>
        <w:t xml:space="preserve">upon there.</w:t>
      </w:r>
    </w:p>
    <w:p>
      <w:pPr>
        <w:pStyle w:val="BodyText"/>
      </w:pPr>
      <w:r>
        <w:rPr>
          <w:b/>
          <w:bCs/>
        </w:rPr>
        <w:t xml:space="preserve">Binary protected attributes.</w:t>
      </w:r>
      <w:r>
        <w:t xml:space="preserve"> </w:t>
      </w:r>
      <w:r>
        <w:t xml:space="preserve">Definition 1 treats</w:t>
      </w:r>
      <w:r>
        <w:t xml:space="preserve"> </w:t>
      </w:r>
      <w:r>
        <w:t xml:space="preserve">the protected attribute as binary. Multi-class extension is</w:t>
      </w:r>
      <w:r>
        <w:t xml:space="preserve"> </w:t>
      </w:r>
      <w:r>
        <w:t xml:space="preserve">straightforward in either of two ways: compute pairwise LBI between</w:t>
      </w:r>
      <w:r>
        <w:t xml:space="preserve"> </w:t>
      </w:r>
      <w:r>
        <w:t xml:space="preserve">all pairs of classes (giving a matrix of values), or take a</w:t>
      </w:r>
      <w:r>
        <w:t xml:space="preserve"> </w:t>
      </w:r>
      <w:r>
        <w:t xml:space="preserve">one-vs-rest formulation. The COMPAS analysis uses the</w:t>
      </w:r>
      <w:r>
        <w:t xml:space="preserve"> </w:t>
      </w:r>
      <w:r>
        <w:t xml:space="preserve">African-American vs. Caucasian binary because that is the contrast</w:t>
      </w:r>
      <w:r>
        <w:t xml:space="preserve"> </w:t>
      </w:r>
      <w:r>
        <w:t xml:space="preserve">that drove the public controversy; the extension to multiple race</w:t>
      </w:r>
      <w:r>
        <w:t xml:space="preserve"> </w:t>
      </w:r>
      <w:r>
        <w:t xml:space="preserve">categories is mechanical.</w:t>
      </w:r>
    </w:p>
    <w:p>
      <w:pPr>
        <w:pStyle w:val="BodyText"/>
      </w:pPr>
      <w:r>
        <w:rPr>
          <w:b/>
          <w:bCs/>
        </w:rPr>
        <w:t xml:space="preserve">The 5 % magnitude.</w:t>
      </w:r>
      <w:r>
        <w:t xml:space="preserve"> </w:t>
      </w:r>
      <w:r>
        <w:t xml:space="preserve">The COMPAS LBI of</w:t>
      </w:r>
      <w:r>
        <w:t xml:space="preserve"> </w:t>
      </w:r>
      <m:oMath>
        <m:r>
          <m:t>1.049</m:t>
        </m:r>
      </m:oMath>
      <w:r>
        <w:t xml:space="preserve"> </w:t>
      </w:r>
      <w:r>
        <w:t xml:space="preserve">is</w:t>
      </w:r>
      <w:r>
        <w:t xml:space="preserve"> </w:t>
      </w:r>
      <w:r>
        <w:t xml:space="preserve">statistically robust but quantitatively modest, and because it is a</w:t>
      </w:r>
      <w:r>
        <w:t xml:space="preserve"> </w:t>
      </w:r>
      <w:r>
        <w:rPr>
          <w:i/>
          <w:iCs/>
        </w:rPr>
        <w:t xml:space="preserve">relative</w:t>
      </w:r>
      <w:r>
        <w:t xml:space="preserve"> </w:t>
      </w:r>
      <w:r>
        <w:t xml:space="preserve">measure, its practical import depends on the</w:t>
      </w:r>
      <w:r>
        <w:t xml:space="preserve"> </w:t>
      </w:r>
      <w:r>
        <w:t xml:space="preserve">underlying rates: at the binary medium-or-high threshold, the</w:t>
      </w:r>
      <w:r>
        <w:t xml:space="preserve"> </w:t>
      </w:r>
      <w:r>
        <w:t xml:space="preserve">matched cross-race classification-disagreement rate is</w:t>
      </w:r>
      <w:r>
        <w:t xml:space="preserve"> </w:t>
      </w:r>
      <w:r>
        <w:t xml:space="preserve">37.3 % against a same-race rate of 34.2 %—a</w:t>
      </w:r>
      <w:r>
        <w:t xml:space="preserve"> </w:t>
      </w:r>
      <w:r>
        <w:t xml:space="preserve">9.2 % relative excess, or 3.1 percentage points</w:t>
      </w:r>
      <w:r>
        <w:t xml:space="preserve"> </w:t>
      </w:r>
      <w:r>
        <w:t xml:space="preserve">(§4.7). The legal and regulatory significance of an</w:t>
      </w:r>
      <w:r>
        <w:t xml:space="preserve"> </w:t>
      </w:r>
      <w:r>
        <w:t xml:space="preserve">excess of this size is a policy question, not a statistical one; and</w:t>
      </w:r>
      <w:r>
        <w:t xml:space="preserve"> </w:t>
      </w:r>
      <w:r>
        <w:t xml:space="preserve">the matching-parity analyses of §4.5 imply the</w:t>
      </w:r>
      <w:r>
        <w:t xml:space="preserve"> </w:t>
      </w:r>
      <w:r>
        <w:t xml:space="preserve">adjusted excess on the decile score is smaller still</w:t>
      </w:r>
      <w:r>
        <w:t xml:space="preserve"> </w:t>
      </w:r>
      <w:r>
        <w:t xml:space="preserve">(</w:t>
      </w:r>
      <m:oMath>
        <m:r>
          <m:t>1.00</m:t>
        </m:r>
      </m:oMath>
      <w:r>
        <w:t xml:space="preserve">–</w:t>
      </w:r>
      <m:oMath>
        <m:r>
          <m:t>1.02</m:t>
        </m:r>
      </m:oMath>
      <w:r>
        <w:t xml:space="preserve">).</w:t>
      </w:r>
    </w:p>
    <w:p>
      <w:pPr>
        <w:pStyle w:val="BodyText"/>
      </w:pPr>
      <w:r>
        <w:rPr>
          <w:b/>
          <w:bCs/>
        </w:rPr>
        <w:t xml:space="preserve">Mahalanobis on</w:t>
      </w:r>
      <w:r>
        <w:rPr>
          <w:b/>
          <w:bCs/>
        </w:rPr>
        <w:t xml:space="preserve"> </w:t>
      </w:r>
      <m:oMath>
        <m:sSup>
          <m:e>
            <m:r>
              <m:rPr>
                <m:scr m:val="double-struck"/>
                <m:sty m:val="p"/>
              </m:rPr>
              <m:t>R</m:t>
            </m:r>
          </m:e>
          <m:sup>
            <m:r>
              <m:t>d</m:t>
            </m:r>
          </m:sup>
        </m:sSup>
      </m:oMath>
      <w:r>
        <w:rPr>
          <w:b/>
          <w:bCs/>
        </w:rPr>
        <w:t xml:space="preserve">.</w:t>
      </w:r>
      <w:r>
        <w:t xml:space="preserve"> </w:t>
      </w:r>
      <w:r>
        <w:t xml:space="preserve">For continuous and binary</w:t>
      </w:r>
      <w:r>
        <w:t xml:space="preserve"> </w:t>
      </w:r>
      <w:r>
        <w:t xml:space="preserve">features the Mahalanobis metric is well-defined; for genuinely</w:t>
      </w:r>
      <w:r>
        <w:t xml:space="preserve"> </w:t>
      </w:r>
      <w:r>
        <w:t xml:space="preserve">categorical features (e.g., charge type with twenty levels), a</w:t>
      </w:r>
      <w:r>
        <w:t xml:space="preserve"> </w:t>
      </w:r>
      <w:r>
        <w:t xml:space="preserve">modified metric (Gower distance, learned similarity, propensity</w:t>
      </w:r>
      <w:r>
        <w:t xml:space="preserve"> </w:t>
      </w:r>
      <w:r>
        <w:t xml:space="preserve">score) may be more appropriate. The COMPAS feature space is</w:t>
      </w:r>
      <w:r>
        <w:t xml:space="preserve"> </w:t>
      </w:r>
      <w:r>
        <w:t xml:space="preserve">predominantly continuous so this issue does not arise here. In</w:t>
      </w:r>
      <w:r>
        <w:t xml:space="preserve"> </w:t>
      </w:r>
      <w:r>
        <w:t xml:space="preserve">settings where cases are unstructured documents rather than feature</w:t>
      </w:r>
      <w:r>
        <w:t xml:space="preserve"> </w:t>
      </w:r>
      <w:r>
        <w:t xml:space="preserve">vectors, a learned case-similarity embedding could in principle</w:t>
      </w:r>
      <w:r>
        <w:t xml:space="preserve"> </w:t>
      </w:r>
      <w:r>
        <w:t xml:space="preserve">supply the metric, but it should not be assumed adequate:</w:t>
      </w:r>
      <w:r>
        <w:t xml:space="preserve"> </w:t>
      </w:r>
      <w:r>
        <w:t xml:space="preserve">general-purpose text embeddings conflate legal structure with</w:t>
      </w:r>
      <w:r>
        <w:t xml:space="preserve"> </w:t>
      </w:r>
      <w:r>
        <w:t xml:space="preserve">generic textual similarity, so any learned metric should be</w:t>
      </w:r>
      <w:r>
        <w:t xml:space="preserve"> </w:t>
      </w:r>
      <w:r>
        <w:t xml:space="preserve">validated against external structure (citation networks, expert</w:t>
      </w:r>
      <w:r>
        <w:t xml:space="preserve"> </w:t>
      </w:r>
      <w:r>
        <w:t xml:space="preserve">similarity judgments) before it anchors a fairness audit. The</w:t>
      </w:r>
      <w:r>
        <w:t xml:space="preserve"> </w:t>
      </w:r>
      <w:r>
        <w:t xml:space="preserve">metric is a substantive, validated input to the audit, not a</w:t>
      </w:r>
      <w:r>
        <w:t xml:space="preserve"> </w:t>
      </w:r>
      <w:r>
        <w:t xml:space="preserve">commodity.</w:t>
      </w:r>
    </w:p>
    <w:p>
      <w:pPr>
        <w:pStyle w:val="BodyText"/>
      </w:pPr>
      <w:r>
        <w:rPr>
          <w:b/>
          <w:bCs/>
        </w:rPr>
        <w:t xml:space="preserve">Causal disentanglement.</w:t>
      </w:r>
      <w:r>
        <w:t xml:space="preserve"> </w:t>
      </w:r>
      <w:r>
        <w:t xml:space="preserve">LBI measures a statistical</w:t>
      </w:r>
      <w:r>
        <w:t xml:space="preserve"> </w:t>
      </w:r>
      <w:r>
        <w:t xml:space="preserve">association between the protected attribute and the algorithm’s</w:t>
      </w:r>
      <w:r>
        <w:t xml:space="preserve"> </w:t>
      </w:r>
      <w:r>
        <w:t xml:space="preserve">output, controlling for legitimate features via the Mahalanobis</w:t>
      </w:r>
      <w:r>
        <w:t xml:space="preserve"> </w:t>
      </w:r>
      <w:r>
        <w:t xml:space="preserve">neighbourhood. It does not by itself establish a causal mechanism</w:t>
      </w:r>
      <w:r>
        <w:t xml:space="preserve"> </w:t>
      </w:r>
      <w:r>
        <w:t xml:space="preserve">for that association. The causal story may be that the algorithm</w:t>
      </w:r>
      <w:r>
        <w:t xml:space="preserve"> </w:t>
      </w:r>
      <w:r>
        <w:t xml:space="preserve">encodes race indirectly through correlated features that are not</w:t>
      </w:r>
      <w:r>
        <w:t xml:space="preserve"> </w:t>
      </w:r>
      <w:r>
        <w:t xml:space="preserve">in our legitimate-feature set (residential zip code, employment</w:t>
      </w:r>
      <w:r>
        <w:t xml:space="preserve"> </w:t>
      </w:r>
      <w:r>
        <w:t xml:space="preserve">history). Distinguishing these causal pathways is beyond what LBI</w:t>
      </w:r>
      <w:r>
        <w:t xml:space="preserve"> </w:t>
      </w:r>
      <w:r>
        <w:t xml:space="preserve">alone can do; LBI is an audit signal that flags the issue and</w:t>
      </w:r>
      <w:r>
        <w:t xml:space="preserve"> </w:t>
      </w:r>
      <w:r>
        <w:t xml:space="preserve">quantifies its magnitude, not a complete causal account.</w:t>
      </w:r>
    </w:p>
    <w:bookmarkEnd w:id="63"/>
    <w:bookmarkEnd w:id="64"/>
    <w:bookmarkStart w:id="68" w:name="sec:policy"/>
    <w:p>
      <w:pPr>
        <w:pStyle w:val="Heading1"/>
      </w:pPr>
      <w:r>
        <w:t xml:space="preserve">Policy and Regulatory Implications</w:t>
      </w:r>
    </w:p>
    <w:bookmarkStart w:id="65" w:name="Xc10fe20775f66e71ed3f0bf8bfac70000b4edda"/>
    <w:p>
      <w:pPr>
        <w:pStyle w:val="Heading2"/>
      </w:pPr>
      <w:r>
        <w:t xml:space="preserve">A research-stage screening signal for legal-AI audits</w:t>
      </w:r>
    </w:p>
    <w:p>
      <w:pPr>
        <w:pStyle w:val="FirstParagraph"/>
      </w:pPr>
      <w:r>
        <w:t xml:space="preserve">The LBI is a research-stage screening signal that may contribute one</w:t>
      </w:r>
      <w:r>
        <w:t xml:space="preserve"> </w:t>
      </w:r>
      <w:r>
        <w:t xml:space="preserve">input to an audit of a scored or classified decision process; it is</w:t>
      </w:r>
      <w:r>
        <w:t xml:space="preserve"> </w:t>
      </w:r>
      <w:r>
        <w:t xml:space="preserve">not a validated regulatory audit standard, and nothing in this paper</w:t>
      </w:r>
      <w:r>
        <w:t xml:space="preserve"> </w:t>
      </w:r>
      <w:r>
        <w:t xml:space="preserve">should be read as certifying it for that role. Its validation to date</w:t>
      </w:r>
      <w:r>
        <w:t xml:space="preserve"> </w:t>
      </w:r>
      <w:r>
        <w:t xml:space="preserve">consists of one dataset and one semi-synthetic suite</w:t>
      </w:r>
      <w:r>
        <w:t xml:space="preserve"> </w:t>
      </w:r>
      <w:r>
        <w:t xml:space="preserve">(§4.9), which—as noted in</w:t>
      </w:r>
      <w:r>
        <w:t xml:space="preserve"> </w:t>
      </w:r>
      <w:r>
        <w:t xml:space="preserve">§5—does not establish consistent performance</w:t>
      </w:r>
      <w:r>
        <w:t xml:space="preserve"> </w:t>
      </w:r>
      <w:r>
        <w:t xml:space="preserve">across other algorithms, jurisdictions, or decision settings. With</w:t>
      </w:r>
      <w:r>
        <w:t xml:space="preserve"> </w:t>
      </w:r>
      <w:r>
        <w:t xml:space="preserve">that standing caveat, the ingredients an LBI screen requires are</w:t>
      </w:r>
      <w:r>
        <w:t xml:space="preserve"> </w:t>
      </w:r>
      <w:r>
        <w:t xml:space="preserve">modest: a dataset containing the algorithm’s legitimate inputs, its</w:t>
      </w:r>
      <w:r>
        <w:t xml:space="preserve"> </w:t>
      </w:r>
      <w:r>
        <w:t xml:space="preserve">outputs, and the protected attribute; the algorithm itself need not</w:t>
      </w:r>
      <w:r>
        <w:t xml:space="preserve"> </w:t>
      </w:r>
      <w:r>
        <w:t xml:space="preserve">take the protected attribute as an input—COMPAS, whose</w:t>
      </w:r>
      <w:r>
        <w:t xml:space="preserve"> </w:t>
      </w:r>
      <w:r>
        <w:t xml:space="preserve">questionnaire does not ask race, is the case in point. The candidate</w:t>
      </w:r>
      <w:r>
        <w:t xml:space="preserve"> </w:t>
      </w:r>
      <w:r>
        <w:t xml:space="preserve">procedure is:</w:t>
      </w:r>
    </w:p>
    <w:p>
      <w:pPr>
        <w:numPr>
          <w:ilvl w:val="0"/>
          <w:numId w:val="1004"/>
        </w:numPr>
      </w:pPr>
      <w:r>
        <w:t xml:space="preserve">Obtain a sample of the algorithm’s inputs and outputs, joined</w:t>
      </w:r>
      <w:r>
        <w:t xml:space="preserve"> </w:t>
      </w:r>
      <w:r>
        <w:t xml:space="preserve">to the protected attribute from administrative records (</w:t>
      </w:r>
      <m:oMath>
        <m:r>
          <m:t>n</m:t>
        </m:r>
      </m:oMath>
      <w:r>
        <w:t xml:space="preserve"> </w:t>
      </w:r>
      <w:r>
        <w:t xml:space="preserve">in the</w:t>
      </w:r>
      <w:r>
        <w:t xml:space="preserve"> </w:t>
      </w:r>
      <w:r>
        <w:t xml:space="preserve">thousands; the COMPAS analysis used</w:t>
      </w:r>
      <w:r>
        <w:t xml:space="preserve"> </w:t>
      </w:r>
      <m:oMath>
        <m:r>
          <m:t>n</m:t>
        </m:r>
        <m:r>
          <m:rPr>
            <m:sty m:val="p"/>
          </m:rPr>
          <m:t>=</m:t>
        </m:r>
        <m:r>
          <m:t>5</m:t>
        </m:r>
        <m:r>
          <m:rPr>
            <m:sty m:val="p"/>
          </m:rPr>
          <m:t>,</m:t>
        </m:r>
        <m:r>
          <m:t>278</m:t>
        </m:r>
      </m:oMath>
      <w:r>
        <w:t xml:space="preserve">).</w:t>
      </w:r>
    </w:p>
    <w:p>
      <w:pPr>
        <w:numPr>
          <w:ilvl w:val="0"/>
          <w:numId w:val="1004"/>
        </w:numPr>
      </w:pPr>
      <w:r>
        <w:t xml:space="preserve">Specify the legitimate-feature set (this is the normative input</w:t>
      </w:r>
      <w:r>
        <w:t xml:space="preserve"> </w:t>
      </w:r>
      <w:r>
        <w:t xml:space="preserve">that the audit cannot supply; it must come from statute,</w:t>
      </w:r>
      <w:r>
        <w:t xml:space="preserve"> </w:t>
      </w:r>
      <w:r>
        <w:t xml:space="preserve">regulation, or expert designation).</w:t>
      </w:r>
    </w:p>
    <w:p>
      <w:pPr>
        <w:numPr>
          <w:ilvl w:val="0"/>
          <w:numId w:val="1004"/>
        </w:numPr>
      </w:pPr>
      <w:r>
        <w:t xml:space="preserve">Compute LBI(protected attribute) across prespecified</w:t>
      </w:r>
      <w:r>
        <w:t xml:space="preserve"> </w:t>
      </w:r>
      <w:r>
        <w:t xml:space="preserve">neighbourhood scales</w:t>
      </w:r>
      <w:r>
        <w:t xml:space="preserve"> </w:t>
      </w:r>
      <m:oMath>
        <m:r>
          <m:t>k</m:t>
        </m:r>
      </m:oMath>
      <w:r>
        <w:t xml:space="preserve">, with the matching-quality diagnostics of</w:t>
      </w:r>
      <w:r>
        <w:t xml:space="preserve"> </w:t>
      </w:r>
      <w:r>
        <w:t xml:space="preserve">§4.5.</w:t>
      </w:r>
    </w:p>
    <w:p>
      <w:pPr>
        <w:numPr>
          <w:ilvl w:val="0"/>
          <w:numId w:val="1004"/>
        </w:numPr>
      </w:pPr>
      <w:r>
        <w:t xml:space="preserve">Report the</w:t>
      </w:r>
      <w:r>
        <w:t xml:space="preserve"> </w:t>
      </w:r>
      <m:oMath>
        <m:r>
          <m:t>k</m:t>
        </m:r>
      </m:oMath>
      <w:r>
        <w:t xml:space="preserve">-curve, pointwise confidence intervals, the</w:t>
      </w:r>
      <w:r>
        <w:t xml:space="preserve"> </w:t>
      </w:r>
      <w:r>
        <w:t xml:space="preserve">global multiscale randomization</w:t>
      </w:r>
      <w:r>
        <w:t xml:space="preserve"> </w:t>
      </w:r>
      <m:oMath>
        <m:r>
          <m:t>p</m:t>
        </m:r>
      </m:oMath>
      <w:r>
        <w:t xml:space="preserve">-value, and the underlying</w:t>
      </w:r>
      <w:r>
        <w:t xml:space="preserve"> </w:t>
      </w:r>
      <w:r>
        <w:t xml:space="preserve">cross- and same-group rates at the operational decision threshold.</w:t>
      </w:r>
    </w:p>
    <w:p>
      <w:pPr>
        <w:pStyle w:val="FirstParagraph"/>
      </w:pPr>
      <w:r>
        <w:t xml:space="preserve">The procedure does not require access to the algorithm’s parameters,</w:t>
      </w:r>
      <w:r>
        <w:t xml:space="preserve"> </w:t>
      </w:r>
      <w:r>
        <w:t xml:space="preserve">training data, or vendor documentation. It treats the algorithm as a</w:t>
      </w:r>
      <w:r>
        <w:t xml:space="preserve"> </w:t>
      </w:r>
      <w:r>
        <w:t xml:space="preserve">black box and audits its outputs directly. This makes it well-suited</w:t>
      </w:r>
      <w:r>
        <w:t xml:space="preserve"> </w:t>
      </w:r>
      <w:r>
        <w:t xml:space="preserve">to settings where the algorithm is proprietary, as COMPAS is. The</w:t>
      </w:r>
      <w:r>
        <w:t xml:space="preserve"> </w:t>
      </w:r>
      <w:r>
        <w:t xml:space="preserve">COMPAS analysis of this paper also illustrates the procedure’s</w:t>
      </w:r>
      <w:r>
        <w:t xml:space="preserve"> </w:t>
      </w:r>
      <w:r>
        <w:t xml:space="preserve">standing weakness: whatever the screen reports is conditional on the</w:t>
      </w:r>
      <w:r>
        <w:t xml:space="preserve"> </w:t>
      </w:r>
      <w:r>
        <w:t xml:space="preserve">predictors the audit dataset actually contains. Where those are a</w:t>
      </w:r>
      <w:r>
        <w:t xml:space="preserve"> </w:t>
      </w:r>
      <w:r>
        <w:t xml:space="preserve">subset of the instrument’s true inputs—as here—an elevated index</w:t>
      </w:r>
      <w:r>
        <w:t xml:space="preserve"> </w:t>
      </w:r>
      <w:r>
        <w:t xml:space="preserve">does not establish that fully similarly situated individuals were</w:t>
      </w:r>
      <w:r>
        <w:t xml:space="preserve"> </w:t>
      </w:r>
      <w:r>
        <w:t xml:space="preserve">treated differently, and a null result does not certify that they</w:t>
      </w:r>
      <w:r>
        <w:t xml:space="preserve"> </w:t>
      </w:r>
      <w:r>
        <w:t xml:space="preserve">were not.</w:t>
      </w:r>
      <w:r>
        <w:t xml:space="preserve"> </w:t>
      </w:r>
      <w:r>
        <w:t xml:space="preserve">Nothing in the construction is specific to criminal justice: the same</w:t>
      </w:r>
      <w:r>
        <w:t xml:space="preserve"> </w:t>
      </w:r>
      <w:r>
        <w:t xml:space="preserve">audit applies wherever a scored or classified decision process can be</w:t>
      </w:r>
      <w:r>
        <w:t xml:space="preserve"> </w:t>
      </w:r>
      <w:r>
        <w:t xml:space="preserve">joined to legitimate features and a protected attribute—consistency</w:t>
      </w:r>
      <w:r>
        <w:t xml:space="preserve"> </w:t>
      </w:r>
      <w:r>
        <w:t xml:space="preserve">of content-moderation decisions across the identity groups mentioned</w:t>
      </w:r>
      <w:r>
        <w:t xml:space="preserve"> </w:t>
      </w:r>
      <w:r>
        <w:t xml:space="preserve">in the content, lending decisions across applicant demographics,</w:t>
      </w:r>
      <w:r>
        <w:t xml:space="preserve"> </w:t>
      </w:r>
      <w:r>
        <w:t xml:space="preserve">triage scores across patient groups—with the legitimate-feature</w:t>
      </w:r>
      <w:r>
        <w:t xml:space="preserve"> </w:t>
      </w:r>
      <w:r>
        <w:t xml:space="preserve">designation supplied, in each domain, by the governing normative</w:t>
      </w:r>
      <w:r>
        <w:t xml:space="preserve"> </w:t>
      </w:r>
      <w:r>
        <w:t xml:space="preserve">framework.</w:t>
      </w:r>
    </w:p>
    <w:bookmarkEnd w:id="65"/>
    <w:bookmarkStart w:id="66" w:name="threshold-setting"/>
    <w:p>
      <w:pPr>
        <w:pStyle w:val="Heading2"/>
      </w:pPr>
      <w:r>
        <w:t xml:space="preserve">Threshold setting</w:t>
      </w:r>
    </w:p>
    <w:p>
      <w:pPr>
        <w:pStyle w:val="FirstParagraph"/>
      </w:pPr>
      <w:r>
        <w:t xml:space="preserve">A regulatory threshold for LBI must come from policy, not statistics,</w:t>
      </w:r>
      <w:r>
        <w:t xml:space="preserve"> </w:t>
      </w:r>
      <w:r>
        <w:t xml:space="preserve">and we propose none here. Earlier drafts of this paper offered</w:t>
      </w:r>
      <w:r>
        <w:t xml:space="preserve"> </w:t>
      </w:r>
      <w:r>
        <w:t xml:space="preserve">descriptive ranges (</w:t>
      </w:r>
      <w:r>
        <w:t xml:space="preserve">“probably acceptable,”</w:t>
      </w:r>
      <w:r>
        <w:t xml:space="preserve"> </w:t>
      </w:r>
      <w:r>
        <w:t xml:space="preserve">“probably warrants</w:t>
      </w:r>
      <w:r>
        <w:t xml:space="preserve"> </w:t>
      </w:r>
      <w:r>
        <w:t xml:space="preserve">mitigation”</w:t>
      </w:r>
      <w:r>
        <w:t xml:space="preserve">); we have removed them, because no empirical benchmark,</w:t>
      </w:r>
      <w:r>
        <w:t xml:space="preserve"> </w:t>
      </w:r>
      <w:r>
        <w:t xml:space="preserve">power analysis, or regulatory consensus yet exists that would ground</w:t>
      </w:r>
      <w:r>
        <w:t xml:space="preserve"> </w:t>
      </w:r>
      <w:r>
        <w:t xml:space="preserve">such judgments. What can be said now is narrower and better</w:t>
      </w:r>
      <w:r>
        <w:t xml:space="preserve"> </w:t>
      </w:r>
      <w:r>
        <w:t xml:space="preserve">supported: the synthetic validation of §4.9 shows</w:t>
      </w:r>
      <w:r>
        <w:t xml:space="preserve"> </w:t>
      </w:r>
      <w:r>
        <w:t xml:space="preserve">how the index behaves under known race-blind, direct-coefficient,</w:t>
      </w:r>
      <w:r>
        <w:t xml:space="preserve"> </w:t>
      </w:r>
      <w:r>
        <w:t xml:space="preserve">and proxy-coefficient conditions on realistic feature distributions,</w:t>
      </w:r>
      <w:r>
        <w:t xml:space="preserve"> </w:t>
      </w:r>
      <w:r>
        <w:t xml:space="preserve">and audits of this kind—accumulated across instruments and</w:t>
      </w:r>
      <w:r>
        <w:t xml:space="preserve"> </w:t>
      </w:r>
      <w:r>
        <w:t xml:space="preserve">jurisdictions—are the raw material from which defensible reference</w:t>
      </w:r>
      <w:r>
        <w:t xml:space="preserve"> </w:t>
      </w:r>
      <w:r>
        <w:t xml:space="preserve">ranges could eventually be built. Until then, an elevated LBI should</w:t>
      </w:r>
      <w:r>
        <w:t xml:space="preserve"> </w:t>
      </w:r>
      <w:r>
        <w:t xml:space="preserve">be read as a trigger for the disaggregated follow-up analyses</w:t>
      </w:r>
      <w:r>
        <w:t xml:space="preserve"> </w:t>
      </w:r>
      <w:r>
        <w:t xml:space="preserve">described above, weighed alongside the standard metric panel, not</w:t>
      </w:r>
      <w:r>
        <w:t xml:space="preserve"> </w:t>
      </w:r>
      <w:r>
        <w:t xml:space="preserve">against a numeric cutoff.</w:t>
      </w:r>
    </w:p>
    <w:bookmarkEnd w:id="66"/>
    <w:bookmarkStart w:id="67" w:name="sec:doctrine"/>
    <w:p>
      <w:pPr>
        <w:pStyle w:val="Heading2"/>
      </w:pPr>
      <w:r>
        <w:t xml:space="preserve">Doctrinal context</w:t>
      </w:r>
    </w:p>
    <w:p>
      <w:pPr>
        <w:pStyle w:val="FirstParagraph"/>
      </w:pPr>
      <w:r>
        <w:t xml:space="preserve">LBI is not a substitute for the constitutional and statutory</w:t>
      </w:r>
      <w:r>
        <w:t xml:space="preserve"> </w:t>
      </w:r>
      <w:r>
        <w:t xml:space="preserve">analysis that determines whether an algorithm’s deployment is</w:t>
      </w:r>
      <w:r>
        <w:t xml:space="preserve"> </w:t>
      </w:r>
      <w:r>
        <w:t xml:space="preserve">lawful, and the doctrinal landscape it feeds into is more demanding</w:t>
      </w:r>
      <w:r>
        <w:t xml:space="preserve"> </w:t>
      </w:r>
      <w:r>
        <w:t xml:space="preserve">than a statistical disparity. Four points situate the tool.</w:t>
      </w:r>
    </w:p>
    <w:p>
      <w:pPr>
        <w:pStyle w:val="BodyText"/>
      </w:pPr>
      <w:r>
        <w:rPr>
          <w:i/>
          <w:iCs/>
        </w:rPr>
        <w:t xml:space="preserve">Equal protection.</w:t>
      </w:r>
      <w:r>
        <w:t xml:space="preserve"> </w:t>
      </w:r>
      <w:r>
        <w:t xml:space="preserve">Under</w:t>
      </w:r>
      <w:r>
        <w:t xml:space="preserve"> </w:t>
      </w:r>
      <w:r>
        <w:rPr>
          <w:i/>
          <w:iCs/>
        </w:rPr>
        <w:t xml:space="preserve">Washington v. Davis</w:t>
      </w:r>
      <w:r>
        <w:t xml:space="preserve">, 426 U.S.</w:t>
      </w:r>
      <w:r>
        <w:t xml:space="preserve"> </w:t>
      </w:r>
      <w:r>
        <w:t xml:space="preserve">229 (1976), a facially neutral practice violates the Equal Protection</w:t>
      </w:r>
      <w:r>
        <w:t xml:space="preserve"> </w:t>
      </w:r>
      <w:r>
        <w:t xml:space="preserve">Clause only on a showing of discriminatory</w:t>
      </w:r>
      <w:r>
        <w:t xml:space="preserve"> </w:t>
      </w:r>
      <w:r>
        <w:rPr>
          <w:i/>
          <w:iCs/>
        </w:rPr>
        <w:t xml:space="preserve">purpose</w:t>
      </w:r>
      <w:r>
        <w:t xml:space="preserve">; disparate</w:t>
      </w:r>
      <w:r>
        <w:t xml:space="preserve"> </w:t>
      </w:r>
      <w:r>
        <w:t xml:space="preserve">impact alone is insufficient.</w:t>
      </w:r>
      <w:r>
        <w:t xml:space="preserve"> </w:t>
      </w:r>
      <w:r>
        <w:rPr>
          <w:i/>
          <w:iCs/>
        </w:rPr>
        <w:t xml:space="preserve">McCleskey v. Kemp</w:t>
      </w:r>
      <w:r>
        <w:t xml:space="preserve">, 481 U.S. 279</w:t>
      </w:r>
      <w:r>
        <w:t xml:space="preserve"> </w:t>
      </w:r>
      <w:r>
        <w:t xml:space="preserve">(1987), rejected an equal-protection challenge to capital sentencing</w:t>
      </w:r>
      <w:r>
        <w:t xml:space="preserve"> </w:t>
      </w:r>
      <w:r>
        <w:t xml:space="preserve">built on rigorous statistical evidence of race-correlated outcomes,</w:t>
      </w:r>
      <w:r>
        <w:t xml:space="preserve"> </w:t>
      </w:r>
      <w:r>
        <w:t xml:space="preserve">requiring proof of discriminatory purpose in the individual case. An</w:t>
      </w:r>
      <w:r>
        <w:t xml:space="preserve"> </w:t>
      </w:r>
      <w:r>
        <w:t xml:space="preserve">elevated LBI is therefore evidence of a race-associated disparity</w:t>
      </w:r>
      <w:r>
        <w:t xml:space="preserve"> </w:t>
      </w:r>
      <w:r>
        <w:t xml:space="preserve">among similarly-situated defendants—probative, perhaps, of how an</w:t>
      </w:r>
      <w:r>
        <w:t xml:space="preserve"> </w:t>
      </w:r>
      <w:r>
        <w:t xml:space="preserve">instrument operates, but nowhere near sufficient for a</w:t>
      </w:r>
      <w:r>
        <w:t xml:space="preserve"> </w:t>
      </w:r>
      <w:r>
        <w:t xml:space="preserve">constitutional claim (Huq, 2019).</w:t>
      </w:r>
    </w:p>
    <w:p>
      <w:pPr>
        <w:pStyle w:val="BodyText"/>
      </w:pPr>
      <w:r>
        <w:rPr>
          <w:i/>
          <w:iCs/>
        </w:rPr>
        <w:t xml:space="preserve">Due process and contestability.</w:t>
      </w:r>
      <w:r>
        <w:t xml:space="preserve"> </w:t>
      </w:r>
      <w:r>
        <w:t xml:space="preserve">In</w:t>
      </w:r>
      <w:r>
        <w:t xml:space="preserve"> </w:t>
      </w:r>
      <w:r>
        <w:rPr>
          <w:i/>
          <w:iCs/>
        </w:rPr>
        <w:t xml:space="preserve">State v. Loomis</w:t>
      </w:r>
      <w:r>
        <w:t xml:space="preserve">,</w:t>
      </w:r>
      <w:r>
        <w:t xml:space="preserve"> </w:t>
      </w:r>
      <w:r>
        <w:t xml:space="preserve">881 N.W.2d 749 (Wis. 2016),</w:t>
      </w:r>
      <w:r>
        <w:t xml:space="preserve"> </w:t>
      </w:r>
      <w:r>
        <w:rPr>
          <w:i/>
          <w:iCs/>
        </w:rPr>
        <w:t xml:space="preserve">cert. denied</w:t>
      </w:r>
      <w:r>
        <w:t xml:space="preserve">, 137 S. Ct. 2290</w:t>
      </w:r>
      <w:r>
        <w:t xml:space="preserve"> </w:t>
      </w:r>
      <w:r>
        <w:t xml:space="preserve">(2017), the Wisconsin Supreme Court upheld the sentencing use of</w:t>
      </w:r>
      <w:r>
        <w:t xml:space="preserve"> </w:t>
      </w:r>
      <w:r>
        <w:t xml:space="preserve">COMPAS against a due-process challenge grounded in the instrument’s</w:t>
      </w:r>
      <w:r>
        <w:t xml:space="preserve"> </w:t>
      </w:r>
      <w:r>
        <w:t xml:space="preserve">proprietary, non-inspectable methodology, while requiring written</w:t>
      </w:r>
      <w:r>
        <w:t xml:space="preserve"> </w:t>
      </w:r>
      <w:r>
        <w:t xml:space="preserve">warnings about, inter alia, undisclosed methodology and studies</w:t>
      </w:r>
      <w:r>
        <w:t xml:space="preserve"> </w:t>
      </w:r>
      <w:r>
        <w:t xml:space="preserve">questioning accuracy across racial groups. The black-box audit</w:t>
      </w:r>
      <w:r>
        <w:t xml:space="preserve"> </w:t>
      </w:r>
      <w:r>
        <w:t xml:space="preserve">posture of LBI is designed for exactly this setting: it gives courts,</w:t>
      </w:r>
      <w:r>
        <w:t xml:space="preserve"> </w:t>
      </w:r>
      <w:r>
        <w:t xml:space="preserve">defendants, and oversight bodies a quantitative handle on a</w:t>
      </w:r>
      <w:r>
        <w:t xml:space="preserve"> </w:t>
      </w:r>
      <w:r>
        <w:t xml:space="preserve">proprietary instrument’s behaviour without access to its internals,</w:t>
      </w:r>
      <w:r>
        <w:t xml:space="preserve"> </w:t>
      </w:r>
      <w:r>
        <w:t xml:space="preserve">addressing part of the contestability deficit identified in the</w:t>
      </w:r>
      <w:r>
        <w:t xml:space="preserve"> </w:t>
      </w:r>
      <w:r>
        <w:t xml:space="preserve">technological due-process literature (Citron, 2008).</w:t>
      </w:r>
    </w:p>
    <w:p>
      <w:pPr>
        <w:pStyle w:val="BodyText"/>
      </w:pPr>
      <w:r>
        <w:rPr>
          <w:i/>
          <w:iCs/>
        </w:rPr>
        <w:t xml:space="preserve">Statutory frameworks.</w:t>
      </w:r>
      <w:r>
        <w:t xml:space="preserve"> </w:t>
      </w:r>
      <w:r>
        <w:t xml:space="preserve">Title VII’s disparate-impact framework</w:t>
      </w:r>
      <w:r>
        <w:t xml:space="preserve"> </w:t>
      </w:r>
      <w:r>
        <w:t xml:space="preserve">(with the EEOC four-fifths heuristic) governs employment selection,</w:t>
      </w:r>
      <w:r>
        <w:t xml:space="preserve"> </w:t>
      </w:r>
      <w:r>
        <w:t xml:space="preserve">not pretrial or sentencing risk assessment; no analogous federal</w:t>
      </w:r>
      <w:r>
        <w:t xml:space="preserve"> </w:t>
      </w:r>
      <w:r>
        <w:t xml:space="preserve">statutory regime currently governs criminal-justice risk</w:t>
      </w:r>
      <w:r>
        <w:t xml:space="preserve"> </w:t>
      </w:r>
      <w:r>
        <w:t xml:space="preserve">instruments. Analyses that import the four-fifths rule into this</w:t>
      </w:r>
      <w:r>
        <w:t xml:space="preserve"> </w:t>
      </w:r>
      <w:r>
        <w:t xml:space="preserve">setting (including, descriptively, our Table 9)</w:t>
      </w:r>
      <w:r>
        <w:t xml:space="preserve"> </w:t>
      </w:r>
      <w:r>
        <w:t xml:space="preserve">should be read as illustrative translation, not doctrine.</w:t>
      </w:r>
    </w:p>
    <w:p>
      <w:pPr>
        <w:pStyle w:val="BodyText"/>
      </w:pPr>
      <w:r>
        <w:rPr>
          <w:i/>
          <w:iCs/>
        </w:rPr>
        <w:t xml:space="preserve">The use of protected attributes in risk assessment.</w:t>
      </w:r>
      <w:r>
        <w:t xml:space="preserve"> </w:t>
      </w:r>
      <w:r>
        <w:t xml:space="preserve">Whether a</w:t>
      </w:r>
      <w:r>
        <w:t xml:space="preserve"> </w:t>
      </w:r>
      <w:r>
        <w:t xml:space="preserve">protected attribute is</w:t>
      </w:r>
      <w:r>
        <w:t xml:space="preserve"> </w:t>
      </w:r>
      <w:r>
        <w:t xml:space="preserve">“legally irrelevant”</w:t>
      </w:r>
      <w:r>
        <w:t xml:space="preserve"> </w:t>
      </w:r>
      <w:r>
        <w:t xml:space="preserve">is attribute- and</w:t>
      </w:r>
      <w:r>
        <w:t xml:space="preserve"> </w:t>
      </w:r>
      <w:r>
        <w:t xml:space="preserve">context-specific. Express use of race in sentencing risk assessment</w:t>
      </w:r>
      <w:r>
        <w:t xml:space="preserve"> </w:t>
      </w:r>
      <w:r>
        <w:t xml:space="preserve">is constitutionally foreclosed; sex is different—</w:t>
      </w:r>
      <w:r>
        <w:rPr>
          <w:i/>
          <w:iCs/>
        </w:rPr>
        <w:t xml:space="preserve">Loomis</w:t>
      </w:r>
      <w:r>
        <w:t xml:space="preserve"> </w:t>
      </w:r>
      <w:r>
        <w:t xml:space="preserve">itself upheld COMPAS’s use of sex as statistically necessary, and</w:t>
      </w:r>
      <w:r>
        <w:t xml:space="preserve"> </w:t>
      </w:r>
      <w:r>
        <w:t xml:space="preserve">some jurisdictions use sex-specific instruments—which is why we</w:t>
      </w:r>
      <w:r>
        <w:t xml:space="preserve"> </w:t>
      </w:r>
      <w:r>
        <w:t xml:space="preserve">report LBI(sex) as a comparison, not as a violation. The broader</w:t>
      </w:r>
      <w:r>
        <w:t xml:space="preserve"> </w:t>
      </w:r>
      <w:r>
        <w:t xml:space="preserve">scholarly debate on whether risk assessment can be race-neutral at</w:t>
      </w:r>
      <w:r>
        <w:t xml:space="preserve"> </w:t>
      </w:r>
      <w:r>
        <w:t xml:space="preserve">all, given racially patterned inputs like criminal history, is</w:t>
      </w:r>
      <w:r>
        <w:t xml:space="preserve"> </w:t>
      </w:r>
      <w:r>
        <w:t xml:space="preserve">developed in Starr (2014), Mayson (2019), and</w:t>
      </w:r>
      <w:r>
        <w:t xml:space="preserve"> </w:t>
      </w:r>
      <w:r>
        <w:t xml:space="preserve">Huq (2019); our treatment of prior and juvenile counts as</w:t>
      </w:r>
      <w:r>
        <w:t xml:space="preserve"> </w:t>
      </w:r>
      <w:r>
        <w:t xml:space="preserve">“available-but-contested”</w:t>
      </w:r>
      <w:r>
        <w:t xml:space="preserve"> </w:t>
      </w:r>
      <w:r>
        <w:t xml:space="preserve">matching features</w:t>
      </w:r>
      <w:r>
        <w:t xml:space="preserve"> </w:t>
      </w:r>
      <w:r>
        <w:t xml:space="preserve">(§5) follows that literature.</w:t>
      </w:r>
    </w:p>
    <w:p>
      <w:pPr>
        <w:pStyle w:val="BodyText"/>
      </w:pPr>
      <w:r>
        <w:t xml:space="preserve">A high LBI does not, by itself, establish a violation of any</w:t>
      </w:r>
      <w:r>
        <w:t xml:space="preserve"> </w:t>
      </w:r>
      <w:r>
        <w:t xml:space="preserve">specific legal rule; a low LBI does not, by itself, license</w:t>
      </w:r>
      <w:r>
        <w:t xml:space="preserve"> </w:t>
      </w:r>
      <w:r>
        <w:t xml:space="preserve">deployment. LBI provides a quantitative input to legal analysis; the</w:t>
      </w:r>
      <w:r>
        <w:t xml:space="preserve"> </w:t>
      </w:r>
      <w:r>
        <w:t xml:space="preserve">legal analysis itself proceeds under the doctrinal categories</w:t>
      </w:r>
      <w:r>
        <w:t xml:space="preserve"> </w:t>
      </w:r>
      <w:r>
        <w:t xml:space="preserve">appropriate to the deployment context.</w:t>
      </w:r>
    </w:p>
    <w:bookmarkEnd w:id="67"/>
    <w:bookmarkEnd w:id="68"/>
    <w:bookmarkStart w:id="71" w:name="sec:conclusion"/>
    <w:p>
      <w:pPr>
        <w:pStyle w:val="Heading1"/>
      </w:pPr>
      <w:r>
        <w:t xml:space="preserve">Conclusion</w:t>
      </w:r>
    </w:p>
    <w:p>
      <w:pPr>
        <w:pStyle w:val="FirstParagraph"/>
      </w:pPr>
      <w:r>
        <w:t xml:space="preserve">The COMPAS controversy crystallized a structural ambiguity in</w:t>
      </w:r>
      <w:r>
        <w:t xml:space="preserve"> </w:t>
      </w:r>
      <w:r>
        <w:t xml:space="preserve">algorithmic fairness: when group base rates differ,</w:t>
      </w:r>
      <w:r>
        <w:t xml:space="preserve"> </w:t>
      </w:r>
      <w:r>
        <w:t xml:space="preserve">no scoring rule can simultaneously satisfy calibration and equalized</w:t>
      </w:r>
      <w:r>
        <w:t xml:space="preserve"> </w:t>
      </w:r>
      <w:r>
        <w:t xml:space="preserve">error rates. The literature has responded by proliferating fairness</w:t>
      </w:r>
      <w:r>
        <w:t xml:space="preserve"> </w:t>
      </w:r>
      <w:r>
        <w:t xml:space="preserve">criteria, each capturing a different facet, none of them dispositive.</w:t>
      </w:r>
    </w:p>
    <w:p>
      <w:pPr>
        <w:pStyle w:val="BodyText"/>
      </w:pPr>
      <w:r>
        <w:t xml:space="preserve">We have introduced the Legal Bond Index, a measure that sits on a</w:t>
      </w:r>
      <w:r>
        <w:t xml:space="preserve"> </w:t>
      </w:r>
      <w:r>
        <w:t xml:space="preserve">distinct axis: it summarizes matched-neighbourhood behaviour rather</w:t>
      </w:r>
      <w:r>
        <w:t xml:space="preserve"> </w:t>
      </w:r>
      <w:r>
        <w:t xml:space="preserve">than constraining marginal group statistics. On the ProPublica COMPAS</w:t>
      </w:r>
      <w:r>
        <w:t xml:space="preserve"> </w:t>
      </w:r>
      <w:r>
        <w:t xml:space="preserve">dataset the index curve lies above 1 at every prespecified</w:t>
      </w:r>
      <w:r>
        <w:t xml:space="preserve"> </w:t>
      </w:r>
      <w:r>
        <w:t xml:space="preserve">neighbourhood scale (</w:t>
      </w:r>
      <m:oMath>
        <m:r>
          <m:t>1.041</m:t>
        </m:r>
      </m:oMath>
      <w:r>
        <w:t xml:space="preserve">–</w:t>
      </w:r>
      <m:oMath>
        <m:r>
          <m:t>1.069</m:t>
        </m:r>
      </m:oMath>
      <w:r>
        <w:t xml:space="preserve">;</w:t>
      </w:r>
      <w:r>
        <w:t xml:space="preserve"> </w:t>
      </w:r>
      <m:oMath>
        <m:r>
          <m:t>1.049</m:t>
        </m:r>
      </m:oMath>
      <w:r>
        <w:t xml:space="preserve"> </w:t>
      </w:r>
      <w:r>
        <w:t xml:space="preserve">at</w:t>
      </w:r>
      <w:r>
        <w:t xml:space="preserve"> </w:t>
      </w:r>
      <m:oMath>
        <m:r>
          <m:t>k</m:t>
        </m:r>
        <m:r>
          <m:rPr>
            <m:sty m:val="p"/>
          </m:rPr>
          <m:t>=</m:t>
        </m:r>
        <m:r>
          <m:t>20</m:t>
        </m:r>
      </m:oMath>
      <w:r>
        <w:t xml:space="preserve">, 95 % CI</w:t>
      </w:r>
      <w:r>
        <w:t xml:space="preserve"> </w:t>
      </w:r>
      <m:oMath>
        <m:r>
          <m:rPr>
            <m:sty m:val="p"/>
          </m:rPr>
          <m:t>[</m:t>
        </m:r>
        <m:r>
          <m:t>1.027</m:t>
        </m:r>
        <m:r>
          <m:rPr>
            <m:sty m:val="p"/>
          </m:rPr>
          <m:t>,</m:t>
        </m:r>
        <m:r>
          <m:t>1.072</m:t>
        </m:r>
        <m:r>
          <m:rPr>
            <m:sty m:val="p"/>
          </m:rPr>
          <m:t>]</m:t>
        </m:r>
      </m:oMath>
      <w:r>
        <w:t xml:space="preserve">), and the finding survives the strictest inference</w:t>
      </w:r>
      <w:r>
        <w:t xml:space="preserve"> </w:t>
      </w:r>
      <w:r>
        <w:t xml:space="preserve">we could construct—a conditional randomization test whose null</w:t>
      </w:r>
      <w:r>
        <w:t xml:space="preserve"> </w:t>
      </w:r>
      <w:r>
        <w:t xml:space="preserve">absorbs the mechanical effect of cross-race neighbours being</w:t>
      </w:r>
      <w:r>
        <w:t xml:space="preserve"> </w:t>
      </w:r>
      <w:r>
        <w:t xml:space="preserve">worse-matched, validated for calibration on semi-synthetic ground</w:t>
      </w:r>
      <w:r>
        <w:t xml:space="preserve"> </w:t>
      </w:r>
      <w:r>
        <w:t xml:space="preserve">truth (</w:t>
      </w:r>
      <m:oMath>
        <m:r>
          <m:t>z</m:t>
        </m:r>
        <m:r>
          <m:rPr>
            <m:sty m:val="p"/>
          </m:rPr>
          <m:t>=</m:t>
        </m:r>
        <m:r>
          <m:t>4.9</m:t>
        </m:r>
      </m:oMath>
      <w:r>
        <w:t xml:space="preserve">, global multiscale</w:t>
      </w:r>
      <w:r>
        <w:t xml:space="preserve"> </w:t>
      </w:r>
      <m:oMath>
        <m:r>
          <m:t>p</m:t>
        </m:r>
        <m:r>
          <m:rPr>
            <m:sty m:val="p"/>
          </m:rPr>
          <m:t>=</m:t>
        </m:r>
        <m:r>
          <m:t>0.001</m:t>
        </m:r>
      </m:oMath>
      <w:r>
        <w:t xml:space="preserve">). The same</w:t>
      </w:r>
      <w:r>
        <w:t xml:space="preserve"> </w:t>
      </w:r>
      <w:r>
        <w:t xml:space="preserve">diagnostics that certify the signal also bound it: matching-parity</w:t>
      </w:r>
      <w:r>
        <w:t xml:space="preserve"> </w:t>
      </w:r>
      <w:r>
        <w:t xml:space="preserve">specifications put the adjusted decile-score excess at</w:t>
      </w:r>
      <w:r>
        <w:t xml:space="preserve"> </w:t>
      </w:r>
      <m:oMath>
        <m:r>
          <m:t>1.00</m:t>
        </m:r>
      </m:oMath>
      <w:r>
        <w:t xml:space="preserve">–</w:t>
      </w:r>
      <m:oMath>
        <m:r>
          <m:t>1.02</m:t>
        </m:r>
      </m:oMath>
      <w:r>
        <w:t xml:space="preserve">,</w:t>
      </w:r>
      <w:r>
        <w:t xml:space="preserve"> </w:t>
      </w:r>
      <w:r>
        <w:t xml:space="preserve">the disparity concentrates where close cross-race comparators are</w:t>
      </w:r>
      <w:r>
        <w:t xml:space="preserve"> </w:t>
      </w:r>
      <w:r>
        <w:t xml:space="preserve">scarce, and it is largest at ProPublica’s medium-or-high</w:t>
      </w:r>
      <w:r>
        <w:t xml:space="preserve"> </w:t>
      </w:r>
      <w:r>
        <w:t xml:space="preserve">classification threshold (</w:t>
      </w:r>
      <m:oMath>
        <m:r>
          <m:t>1.092</m:t>
        </m:r>
      </m:oMath>
      <w:r>
        <w:t xml:space="preserve">; disagreement rates 37.3 % vs. 34.2 %). The result is small in magnitude, statistically</w:t>
      </w:r>
      <w:r>
        <w:t xml:space="preserve"> </w:t>
      </w:r>
      <w:r>
        <w:t xml:space="preserve">unambiguous, orthogonal to the calibration–equalized-odds debate,</w:t>
      </w:r>
      <w:r>
        <w:t xml:space="preserve"> </w:t>
      </w:r>
      <w:r>
        <w:t xml:space="preserve">and reported with the diagnostics a reader needs to weigh it.</w:t>
      </w:r>
    </w:p>
    <w:p>
      <w:pPr>
        <w:pStyle w:val="BodyText"/>
      </w:pPr>
      <w:r>
        <w:t xml:space="preserve">Two weaknesses bound what these findings can support, and we restate</w:t>
      </w:r>
      <w:r>
        <w:t xml:space="preserve"> </w:t>
      </w:r>
      <w:r>
        <w:t xml:space="preserve">them here so no reader overlooks them. First, the public dataset</w:t>
      </w:r>
      <w:r>
        <w:t xml:space="preserve"> </w:t>
      </w:r>
      <w:r>
        <w:t xml:space="preserve">contains only a subset of the variables COMPAS uses, so the findings</w:t>
      </w:r>
      <w:r>
        <w:t xml:space="preserve"> </w:t>
      </w:r>
      <w:r>
        <w:t xml:space="preserve">are conditional on the measured predictors: they do not establish</w:t>
      </w:r>
      <w:r>
        <w:t xml:space="preserve"> </w:t>
      </w:r>
      <w:r>
        <w:t xml:space="preserve">that fully similarly situated defendants were treated differently,</w:t>
      </w:r>
      <w:r>
        <w:t xml:space="preserve"> </w:t>
      </w:r>
      <w:r>
        <w:t xml:space="preserve">do not isolate a causal effect of race, and do not prove</w:t>
      </w:r>
      <w:r>
        <w:t xml:space="preserve"> </w:t>
      </w:r>
      <w:r>
        <w:t xml:space="preserve">discrimination. Second, the semi-synthetic validation is specific to</w:t>
      </w:r>
      <w:r>
        <w:t xml:space="preserve"> </w:t>
      </w:r>
      <w:r>
        <w:t xml:space="preserve">this dataset and score family; it does not establish that the metric</w:t>
      </w:r>
      <w:r>
        <w:t xml:space="preserve"> </w:t>
      </w:r>
      <w:r>
        <w:t xml:space="preserve">will perform consistently across other algorithms, jurisdictions, or</w:t>
      </w:r>
      <w:r>
        <w:t xml:space="preserve"> </w:t>
      </w:r>
      <w:r>
        <w:t xml:space="preserve">decision settings.</w:t>
      </w:r>
    </w:p>
    <w:p>
      <w:pPr>
        <w:pStyle w:val="BodyText"/>
      </w:pPr>
      <w:r>
        <w:t xml:space="preserve">Within those limits, LBI is a matched-neighbourhood disparity</w:t>
      </w:r>
      <w:r>
        <w:t xml:space="preserve"> </w:t>
      </w:r>
      <w:r>
        <w:t xml:space="preserve">diagnostic inspired by individual-fairness principles and by</w:t>
      </w:r>
      <w:r>
        <w:t xml:space="preserve"> </w:t>
      </w:r>
      <w:r>
        <w:t xml:space="preserve">Aristotle’s like-cases-alike criterion; it is cheap to compute; it</w:t>
      </w:r>
      <w:r>
        <w:t xml:space="preserve"> </w:t>
      </w:r>
      <w:r>
        <w:t xml:space="preserve">requires only an audit dataset of inputs, outputs, and the protected</w:t>
      </w:r>
      <w:r>
        <w:t xml:space="preserve"> </w:t>
      </w:r>
      <w:r>
        <w:t xml:space="preserve">attribute; and it produces a scale-indexed curve with confidence</w:t>
      </w:r>
      <w:r>
        <w:t xml:space="preserve"> </w:t>
      </w:r>
      <w:r>
        <w:t xml:space="preserve">intervals. It is offered as a research-stage screening signal that</w:t>
      </w:r>
      <w:r>
        <w:t xml:space="preserve"> </w:t>
      </w:r>
      <w:r>
        <w:t xml:space="preserve">may contribute one input to an audit, not as a validated regulatory</w:t>
      </w:r>
      <w:r>
        <w:t xml:space="preserve"> </w:t>
      </w:r>
      <w:r>
        <w:t xml:space="preserve">audit standard.</w:t>
      </w:r>
    </w:p>
    <w:p>
      <w:pPr>
        <w:pStyle w:val="BodyText"/>
      </w:pPr>
      <w:r>
        <w:t xml:space="preserve">The reference implementation is openly archived on Zenodo at</w:t>
      </w:r>
      <w:r>
        <w:t xml:space="preserve"> </w:t>
      </w:r>
      <w:hyperlink r:id="rId69">
        <w:r>
          <w:rPr>
            <w:rStyle w:val="Hyperlink"/>
          </w:rPr>
          <w:t xml:space="preserve">doi:10.5281/zenodo.21310251</w:t>
        </w:r>
      </w:hyperlink>
      <w:r>
        <w:t xml:space="preserve"> </w:t>
      </w:r>
      <w:r>
        <w:t xml:space="preserve">(concept DOI, resolving to the latest version; source in the</w:t>
      </w:r>
      <w:r>
        <w:t xml:space="preserve"> </w:t>
      </w:r>
      <w:r>
        <w:rPr>
          <w:rStyle w:val="VerbatimChar"/>
        </w:rPr>
        <w:t xml:space="preserve">ahb-sjsu/erisml-lib</w:t>
      </w:r>
      <w:r>
        <w:t xml:space="preserve"> </w:t>
      </w:r>
      <w:r>
        <w:t xml:space="preserve">repository under</w:t>
      </w:r>
      <w:r>
        <w:t xml:space="preserve"> </w:t>
      </w:r>
      <w:r>
        <w:rPr>
          <w:rStyle w:val="VerbatimChar"/>
        </w:rPr>
        <w:t xml:space="preserve">docs/papers/foundations/submission/jscilaw/</w:t>
      </w:r>
      <w:r>
        <w:t xml:space="preserve">). The data, the</w:t>
      </w:r>
      <w:r>
        <w:t xml:space="preserve"> </w:t>
      </w:r>
      <w:r>
        <w:t xml:space="preserve">filter, the metric, and the figures are all reproducible from the public</w:t>
      </w:r>
      <w:r>
        <w:t xml:space="preserve"> </w:t>
      </w:r>
      <w:r>
        <w:t xml:space="preserve">ProPublica file.</w:t>
      </w:r>
    </w:p>
    <w:p>
      <w:pPr>
        <w:pStyle w:val="BodyText"/>
      </w:pPr>
      <w:r>
        <w:rPr>
          <w:b/>
          <w:bCs/>
        </w:rPr>
        <w:t xml:space="preserve">Author note.</w:t>
      </w:r>
      <w:r>
        <w:t xml:space="preserve"> </w:t>
      </w:r>
      <w:r>
        <w:t xml:space="preserve">LBI was originally motivated by a</w:t>
      </w:r>
      <w:r>
        <w:t xml:space="preserve"> </w:t>
      </w:r>
      <w:r>
        <w:t xml:space="preserve">geometric framework for legal analysis (the</w:t>
      </w:r>
      <w:r>
        <w:t xml:space="preserve"> </w:t>
      </w:r>
      <w:r>
        <w:t xml:space="preserve">“Judicial Complex,”</w:t>
      </w:r>
      <w:r>
        <w:t xml:space="preserve"> </w:t>
      </w:r>
      <w:r>
        <w:t xml:space="preserve">in which legal states form a weighted simplicial complex and legal</w:t>
      </w:r>
      <w:r>
        <w:t xml:space="preserve"> </w:t>
      </w:r>
      <w:r>
        <w:t xml:space="preserve">judgments are required to be invariant under legally irrelevant</w:t>
      </w:r>
      <w:r>
        <w:t xml:space="preserve"> </w:t>
      </w:r>
      <w:r>
        <w:t xml:space="preserve">transformations of the case description), developed in companion</w:t>
      </w:r>
      <w:r>
        <w:t xml:space="preserve"> </w:t>
      </w:r>
      <w:r>
        <w:t xml:space="preserve">theoretical work (Bond, 2026a; Bond, 2026b). The</w:t>
      </w:r>
      <w:r>
        <w:t xml:space="preserve"> </w:t>
      </w:r>
      <w:r>
        <w:t xml:space="preserve">present paper is self-contained and makes no use of that machinery;</w:t>
      </w:r>
      <w:r>
        <w:t xml:space="preserve"> </w:t>
      </w:r>
      <w:r>
        <w:t xml:space="preserve">readers interested only in LBI as an audit tool may ignore it</w:t>
      </w:r>
      <w:r>
        <w:t xml:space="preserve"> </w:t>
      </w:r>
      <w:r>
        <w:t xml:space="preserve">entirely.</w:t>
      </w:r>
    </w:p>
    <w:p>
      <w:pPr>
        <w:pStyle w:val="BodyText"/>
      </w:pPr>
      <w:r>
        <w:rPr>
          <w:b/>
          <w:bCs/>
        </w:rPr>
        <w:t xml:space="preserve">Data availability.</w:t>
      </w:r>
      <w:r>
        <w:t xml:space="preserve"> </w:t>
      </w:r>
      <w:r>
        <w:t xml:space="preserve">The COMPAS data are public at</w:t>
      </w:r>
      <w:r>
        <w:t xml:space="preserve"> </w:t>
      </w:r>
      <w:hyperlink r:id="rId70">
        <w:r>
          <w:rPr>
            <w:rStyle w:val="Hyperlink"/>
          </w:rPr>
          <w:t xml:space="preserve">https://github.com/propublica/compas-analysis</w:t>
        </w:r>
      </w:hyperlink>
      <w:r>
        <w:t xml:space="preserve">. A single script</w:t>
      </w:r>
      <w:r>
        <w:t xml:space="preserve"> </w:t>
      </w:r>
      <w:r>
        <w:t xml:space="preserve">(</w:t>
      </w:r>
      <w:r>
        <w:rPr>
          <w:rStyle w:val="VerbatimChar"/>
        </w:rPr>
        <w:t xml:space="preserve">revision2_analysis.py</w:t>
      </w:r>
      <w:r>
        <w:t xml:space="preserve">, fixed seed) reproduces every</w:t>
      </w:r>
      <w:r>
        <w:t xml:space="preserve"> </w:t>
      </w:r>
      <w:r>
        <w:t xml:space="preserve">number, table, and figure in this paper from the public file; the</w:t>
      </w:r>
      <w:r>
        <w:t xml:space="preserve"> </w:t>
      </w:r>
      <w:r>
        <w:t xml:space="preserve">script and its outputs are bundled with the manuscript submission.</w:t>
      </w:r>
    </w:p>
    <w:p>
      <w:pPr>
        <w:pStyle w:val="BodyText"/>
      </w:pPr>
      <w:r>
        <w:rPr>
          <w:b/>
          <w:bCs/>
        </w:rPr>
        <w:t xml:space="preserve">Competing interests.</w:t>
      </w:r>
      <w:r>
        <w:t xml:space="preserve"> </w:t>
      </w:r>
      <w:r>
        <w:t xml:space="preserve">The author declares no</w:t>
      </w:r>
      <w:r>
        <w:t xml:space="preserve"> </w:t>
      </w:r>
      <w:r>
        <w:t xml:space="preserve">competing interests.</w:t>
      </w:r>
    </w:p>
    <w:p>
      <w:pPr>
        <w:pStyle w:val="BodyText"/>
      </w:pPr>
      <w:r>
        <w:rPr>
          <w:b/>
          <w:bCs/>
        </w:rPr>
        <w:t xml:space="preserve">Funding.</w:t>
      </w:r>
      <w:r>
        <w:t xml:space="preserve"> </w:t>
      </w:r>
      <w:r>
        <w:t xml:space="preserve">No external funding supported this work.</w:t>
      </w:r>
    </w:p>
    <w:bookmarkEnd w:id="71"/>
    <w:bookmarkStart w:id="72" w:name="references"/>
    <w:p>
      <w:pPr>
        <w:pStyle w:val="Heading1"/>
      </w:pPr>
      <w:r>
        <w:t xml:space="preserve">References</w:t>
      </w:r>
    </w:p>
    <w:p>
      <w:pPr>
        <w:pStyle w:val="FirstParagraph"/>
      </w:pPr>
      <w:r>
        <w:t xml:space="preserve">99</w:t>
      </w:r>
    </w:p>
    <w:p>
      <w:pPr>
        <w:pStyle w:val="BodyText"/>
      </w:pPr>
      <w:r>
        <w:t xml:space="preserve">Angwin, J., Larson, J., Mattu, S., &amp; Kirchner, L. (2016).</w:t>
      </w:r>
      <w:r>
        <w:t xml:space="preserve"> </w:t>
      </w:r>
      <w:r>
        <w:t xml:space="preserve">Machine bias.</w:t>
      </w:r>
      <w:r>
        <w:t xml:space="preserve"> </w:t>
      </w:r>
      <w:r>
        <w:rPr>
          <w:i/>
          <w:iCs/>
        </w:rPr>
        <w:t xml:space="preserve">ProPublica</w:t>
      </w:r>
      <w:r>
        <w:t xml:space="preserve">, May 23, 2016.</w:t>
      </w:r>
    </w:p>
    <w:p>
      <w:pPr>
        <w:pStyle w:val="BodyText"/>
      </w:pPr>
      <w:r>
        <w:t xml:space="preserve">Barocas, S., &amp; Selbst, A. D. (2016).</w:t>
      </w:r>
      <w:r>
        <w:t xml:space="preserve"> </w:t>
      </w:r>
      <w:r>
        <w:t xml:space="preserve">Big data’s disparate impact.</w:t>
      </w:r>
      <w:r>
        <w:t xml:space="preserve"> </w:t>
      </w:r>
      <w:r>
        <w:rPr>
          <w:i/>
          <w:iCs/>
        </w:rPr>
        <w:t xml:space="preserve">California Law Review</w:t>
      </w:r>
      <w:r>
        <w:t xml:space="preserve">, 104(3), 671–732.</w:t>
      </w:r>
    </w:p>
    <w:p>
      <w:pPr>
        <w:pStyle w:val="BodyText"/>
      </w:pPr>
      <w:r>
        <w:t xml:space="preserve">Bond, A. H. (2026a).</w:t>
      </w:r>
      <w:r>
        <w:t xml:space="preserve"> </w:t>
      </w:r>
      <w:r>
        <w:rPr>
          <w:i/>
          <w:iCs/>
        </w:rPr>
        <w:t xml:space="preserve">Geometric Economics: Heuristic Bounded Rationality, the Bond</w:t>
      </w:r>
      <w:r>
        <w:rPr>
          <w:i/>
          <w:iCs/>
        </w:rPr>
        <w:t xml:space="preserve"> </w:t>
      </w:r>
      <w:r>
        <w:rPr>
          <w:i/>
          <w:iCs/>
        </w:rPr>
        <w:t xml:space="preserve">Geodesic, and the Death of Homo Economicus</w:t>
      </w:r>
      <w:r>
        <w:t xml:space="preserve">. Monograph.</w:t>
      </w:r>
    </w:p>
    <w:p>
      <w:pPr>
        <w:pStyle w:val="BodyText"/>
      </w:pPr>
      <w:r>
        <w:t xml:space="preserve">Bond, A. H. (2026b).</w:t>
      </w:r>
      <w:r>
        <w:t xml:space="preserve"> </w:t>
      </w:r>
      <w:r>
        <w:t xml:space="preserve">The computational origin of bounded rationality: a tractability</w:t>
      </w:r>
      <w:r>
        <w:t xml:space="preserve"> </w:t>
      </w:r>
      <w:r>
        <w:t xml:space="preserve">theorem for behavioral equilibria on the economic decision manifold.</w:t>
      </w:r>
      <w:r>
        <w:t xml:space="preserve"> </w:t>
      </w:r>
      <w:r>
        <w:rPr>
          <w:i/>
          <w:iCs/>
        </w:rPr>
        <w:t xml:space="preserve">Working paper</w:t>
      </w:r>
      <w:r>
        <w:t xml:space="preserve">.</w:t>
      </w:r>
    </w:p>
    <w:p>
      <w:pPr>
        <w:pStyle w:val="BodyText"/>
      </w:pPr>
      <w:r>
        <w:t xml:space="preserve">Chouldechova, A. (2017).</w:t>
      </w:r>
      <w:r>
        <w:t xml:space="preserve"> </w:t>
      </w:r>
      <w:r>
        <w:t xml:space="preserve">Fair prediction with disparate impact: A study of bias in recidivism</w:t>
      </w:r>
      <w:r>
        <w:t xml:space="preserve"> </w:t>
      </w:r>
      <w:r>
        <w:t xml:space="preserve">prediction instruments.</w:t>
      </w:r>
      <w:r>
        <w:t xml:space="preserve"> </w:t>
      </w:r>
      <w:r>
        <w:rPr>
          <w:i/>
          <w:iCs/>
        </w:rPr>
        <w:t xml:space="preserve">Big Data</w:t>
      </w:r>
      <w:r>
        <w:t xml:space="preserve">, 5(2), 153–163.</w:t>
      </w:r>
    </w:p>
    <w:p>
      <w:pPr>
        <w:pStyle w:val="BodyText"/>
      </w:pPr>
      <w:r>
        <w:t xml:space="preserve">Citron, D. K. (2008).</w:t>
      </w:r>
      <w:r>
        <w:t xml:space="preserve"> </w:t>
      </w:r>
      <w:r>
        <w:t xml:space="preserve">Technological due process.</w:t>
      </w:r>
      <w:r>
        <w:t xml:space="preserve"> </w:t>
      </w:r>
      <w:r>
        <w:rPr>
          <w:i/>
          <w:iCs/>
        </w:rPr>
        <w:t xml:space="preserve">Washington University Law Review</w:t>
      </w:r>
      <w:r>
        <w:t xml:space="preserve">, 85(6), 1249–1313.</w:t>
      </w:r>
    </w:p>
    <w:p>
      <w:pPr>
        <w:pStyle w:val="BodyText"/>
      </w:pPr>
      <w:r>
        <w:t xml:space="preserve">Dieterich, W., Mendoza, C., &amp; Brennan, T. (2016).</w:t>
      </w:r>
      <w:r>
        <w:t xml:space="preserve"> </w:t>
      </w:r>
      <w:r>
        <w:t xml:space="preserve">COMPAS risk scales: Demonstrating accuracy equity and predictive</w:t>
      </w:r>
      <w:r>
        <w:t xml:space="preserve"> </w:t>
      </w:r>
      <w:r>
        <w:t xml:space="preserve">parity. Northpointe Inc. Research Department.</w:t>
      </w:r>
    </w:p>
    <w:p>
      <w:pPr>
        <w:pStyle w:val="BodyText"/>
      </w:pPr>
      <w:r>
        <w:t xml:space="preserve">Dwork, C., Hardt, M., Pitassi, T., Reingold, O., &amp; Zemel, R. (2012).</w:t>
      </w:r>
      <w:r>
        <w:t xml:space="preserve"> </w:t>
      </w:r>
      <w:r>
        <w:t xml:space="preserve">Fairness through awareness.</w:t>
      </w:r>
      <w:r>
        <w:t xml:space="preserve"> </w:t>
      </w:r>
      <w:r>
        <w:t xml:space="preserve">In</w:t>
      </w:r>
      <w:r>
        <w:t xml:space="preserve"> </w:t>
      </w:r>
      <w:r>
        <w:rPr>
          <w:i/>
          <w:iCs/>
        </w:rPr>
        <w:t xml:space="preserve">Proceedings of the 3rd Innovations in Theoretical Computer</w:t>
      </w:r>
      <w:r>
        <w:rPr>
          <w:i/>
          <w:iCs/>
        </w:rPr>
        <w:t xml:space="preserve"> </w:t>
      </w:r>
      <w:r>
        <w:rPr>
          <w:i/>
          <w:iCs/>
        </w:rPr>
        <w:t xml:space="preserve">Science Conference</w:t>
      </w:r>
      <w:r>
        <w:t xml:space="preserve">, 214–226.</w:t>
      </w:r>
    </w:p>
    <w:p>
      <w:pPr>
        <w:pStyle w:val="BodyText"/>
      </w:pPr>
      <w:r>
        <w:t xml:space="preserve">Feldman, M., Friedler, S. A., Moeller, J., Scheidegger, C., &amp;</w:t>
      </w:r>
      <w:r>
        <w:t xml:space="preserve"> </w:t>
      </w:r>
      <w:r>
        <w:t xml:space="preserve">Venkatasubramanian, S. (2015).</w:t>
      </w:r>
      <w:r>
        <w:t xml:space="preserve"> </w:t>
      </w:r>
      <w:r>
        <w:t xml:space="preserve">Certifying and removing disparate impact.</w:t>
      </w:r>
      <w:r>
        <w:t xml:space="preserve"> </w:t>
      </w:r>
      <w:r>
        <w:t xml:space="preserve">In</w:t>
      </w:r>
      <w:r>
        <w:t xml:space="preserve"> </w:t>
      </w:r>
      <w:r>
        <w:rPr>
          <w:i/>
          <w:iCs/>
        </w:rPr>
        <w:t xml:space="preserve">Proceedings of the 21st ACM SIGKDD International Conference</w:t>
      </w:r>
      <w:r>
        <w:rPr>
          <w:i/>
          <w:iCs/>
        </w:rPr>
        <w:t xml:space="preserve"> </w:t>
      </w:r>
      <w:r>
        <w:rPr>
          <w:i/>
          <w:iCs/>
        </w:rPr>
        <w:t xml:space="preserve">on Knowledge Discovery and Data Mining</w:t>
      </w:r>
      <w:r>
        <w:t xml:space="preserve">, 259–268.</w:t>
      </w:r>
    </w:p>
    <w:p>
      <w:pPr>
        <w:pStyle w:val="BodyText"/>
      </w:pPr>
      <w:r>
        <w:t xml:space="preserve">Hardt, M., Price, E., &amp; Srebro, N. (2016).</w:t>
      </w:r>
      <w:r>
        <w:t xml:space="preserve"> </w:t>
      </w:r>
      <w:r>
        <w:t xml:space="preserve">Equality of opportunity in supervised learning.</w:t>
      </w:r>
      <w:r>
        <w:t xml:space="preserve"> </w:t>
      </w:r>
      <w:r>
        <w:t xml:space="preserve">In</w:t>
      </w:r>
      <w:r>
        <w:t xml:space="preserve"> </w:t>
      </w:r>
      <w:r>
        <w:rPr>
          <w:i/>
          <w:iCs/>
        </w:rPr>
        <w:t xml:space="preserve">Advances in Neural Information Processing Systems 29</w:t>
      </w:r>
      <w:r>
        <w:t xml:space="preserve">,</w:t>
      </w:r>
      <w:r>
        <w:t xml:space="preserve"> </w:t>
      </w:r>
      <w:r>
        <w:t xml:space="preserve">3315–3323.</w:t>
      </w:r>
    </w:p>
    <w:p>
      <w:pPr>
        <w:pStyle w:val="BodyText"/>
      </w:pPr>
      <w:r>
        <w:t xml:space="preserve">Huq, A. Z. (2019).</w:t>
      </w:r>
      <w:r>
        <w:t xml:space="preserve"> </w:t>
      </w:r>
      <w:r>
        <w:t xml:space="preserve">Racial equity in algorithmic criminal justice.</w:t>
      </w:r>
      <w:r>
        <w:t xml:space="preserve"> </w:t>
      </w:r>
      <w:r>
        <w:rPr>
          <w:i/>
          <w:iCs/>
        </w:rPr>
        <w:t xml:space="preserve">Duke Law Journal</w:t>
      </w:r>
      <w:r>
        <w:t xml:space="preserve">, 68(6), 1043–1134.</w:t>
      </w:r>
    </w:p>
    <w:p>
      <w:pPr>
        <w:pStyle w:val="BodyText"/>
      </w:pPr>
      <w:r>
        <w:t xml:space="preserve">Kleinberg, J., Mullainathan, S., &amp; Raghavan, M. (2017).</w:t>
      </w:r>
      <w:r>
        <w:t xml:space="preserve"> </w:t>
      </w:r>
      <w:r>
        <w:t xml:space="preserve">Inherent trade-offs in the fair determination of risk scores.</w:t>
      </w:r>
      <w:r>
        <w:t xml:space="preserve"> </w:t>
      </w:r>
      <w:r>
        <w:t xml:space="preserve">In</w:t>
      </w:r>
      <w:r>
        <w:t xml:space="preserve"> </w:t>
      </w:r>
      <w:r>
        <w:rPr>
          <w:i/>
          <w:iCs/>
        </w:rPr>
        <w:t xml:space="preserve">Proceedings of the 8th Innovations in Theoretical Computer</w:t>
      </w:r>
      <w:r>
        <w:rPr>
          <w:i/>
          <w:iCs/>
        </w:rPr>
        <w:t xml:space="preserve"> </w:t>
      </w:r>
      <w:r>
        <w:rPr>
          <w:i/>
          <w:iCs/>
        </w:rPr>
        <w:t xml:space="preserve">Science Conference (ITCS)</w:t>
      </w:r>
      <w:r>
        <w:t xml:space="preserve">, 43:1–43:23.</w:t>
      </w:r>
    </w:p>
    <w:p>
      <w:pPr>
        <w:pStyle w:val="BodyText"/>
      </w:pPr>
      <w:r>
        <w:t xml:space="preserve">Kusner, M. J., Loftus, J. R., Russell, C., &amp; Silva, R. (2017).</w:t>
      </w:r>
      <w:r>
        <w:t xml:space="preserve"> </w:t>
      </w:r>
      <w:r>
        <w:t xml:space="preserve">Counterfactual fairness.</w:t>
      </w:r>
      <w:r>
        <w:t xml:space="preserve"> </w:t>
      </w:r>
      <w:r>
        <w:t xml:space="preserve">In</w:t>
      </w:r>
      <w:r>
        <w:t xml:space="preserve"> </w:t>
      </w:r>
      <w:r>
        <w:rPr>
          <w:i/>
          <w:iCs/>
        </w:rPr>
        <w:t xml:space="preserve">Advances in Neural Information Processing Systems 30</w:t>
      </w:r>
      <w:r>
        <w:t xml:space="preserve">,</w:t>
      </w:r>
      <w:r>
        <w:t xml:space="preserve"> </w:t>
      </w:r>
      <w:r>
        <w:t xml:space="preserve">4066–4076.</w:t>
      </w:r>
    </w:p>
    <w:p>
      <w:pPr>
        <w:pStyle w:val="BodyText"/>
      </w:pPr>
      <w:r>
        <w:t xml:space="preserve">Mahalanobis, P. C. (1936).</w:t>
      </w:r>
      <w:r>
        <w:t xml:space="preserve"> </w:t>
      </w:r>
      <w:r>
        <w:t xml:space="preserve">On the generalised distance in statistics.</w:t>
      </w:r>
      <w:r>
        <w:t xml:space="preserve"> </w:t>
      </w:r>
      <w:r>
        <w:rPr>
          <w:i/>
          <w:iCs/>
        </w:rPr>
        <w:t xml:space="preserve">Proceedings of the National Institute of Sciences of India</w:t>
      </w:r>
      <w:r>
        <w:t xml:space="preserve">,</w:t>
      </w:r>
      <w:r>
        <w:t xml:space="preserve"> </w:t>
      </w:r>
      <w:r>
        <w:t xml:space="preserve">2(1), 49–55.</w:t>
      </w:r>
    </w:p>
    <w:p>
      <w:pPr>
        <w:pStyle w:val="BodyText"/>
      </w:pPr>
      <w:r>
        <w:t xml:space="preserve">Mayson, S. G. (2019).</w:t>
      </w:r>
      <w:r>
        <w:t xml:space="preserve"> </w:t>
      </w:r>
      <w:r>
        <w:t xml:space="preserve">Bias in, bias out.</w:t>
      </w:r>
      <w:r>
        <w:t xml:space="preserve"> </w:t>
      </w:r>
      <w:r>
        <w:rPr>
          <w:i/>
          <w:iCs/>
        </w:rPr>
        <w:t xml:space="preserve">Yale Law Journal</w:t>
      </w:r>
      <w:r>
        <w:t xml:space="preserve">, 128(8), 2218–2300.</w:t>
      </w:r>
    </w:p>
    <w:p>
      <w:pPr>
        <w:pStyle w:val="BodyText"/>
      </w:pPr>
      <w:r>
        <w:t xml:space="preserve">Starr, S. B. (2014).</w:t>
      </w:r>
      <w:r>
        <w:t xml:space="preserve"> </w:t>
      </w:r>
      <w:r>
        <w:t xml:space="preserve">Evidence-based sentencing and the scientific rationalization of</w:t>
      </w:r>
      <w:r>
        <w:t xml:space="preserve"> </w:t>
      </w:r>
      <w:r>
        <w:t xml:space="preserve">discrimination.</w:t>
      </w:r>
      <w:r>
        <w:t xml:space="preserve"> </w:t>
      </w:r>
      <w:r>
        <w:rPr>
          <w:i/>
          <w:iCs/>
        </w:rPr>
        <w:t xml:space="preserve">Stanford Law Review</w:t>
      </w:r>
      <w:r>
        <w:t xml:space="preserve">, 66(4), 803–872.</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hyperlink" Id="rId69" Target="https://doi.org/10.5281/zenodo.21310251" TargetMode="External" /><Relationship Type="http://schemas.openxmlformats.org/officeDocument/2006/relationships/hyperlink" Id="rId70" Target="https://github.com/propublica/compas-analysis"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5281/zenodo.21310251" TargetMode="External" /><Relationship Type="http://schemas.openxmlformats.org/officeDocument/2006/relationships/hyperlink" Id="rId70" Target="https://github.com/propublica/compas-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Legal Bond Index: A Matched-Neighbourhood Diagnostic of Algorithmic Disparity, Applied to COMPAS</dc:title>
  <dc:creator>Andrew H. Bond Department of Computer Engineering San José State University, San José, CA 95192 andrew.bond@sjsu.edu ORCID: 0009-0003-2599-6158</dc:creator>
  <cp:keywords/>
  <dcterms:created xsi:type="dcterms:W3CDTF">2026-08-26T21:41:48Z</dcterms:created>
  <dcterms:modified xsi:type="dcterms:W3CDTF">2026-08-26T21:41:48Z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2016–2017 controversy over the COMPAS pretrial-risk algorithm exposed a deep ambiguity in the concept of algorithmic fairness. ProPublica showed that COMPAS’s false-positive rate is substantially higher for Black defendants. Northpointe (the algorithm’s vendor) replied that COMPAS approximately satisfies predictive parity: among defendants it classifies high-risk, the observed recidivism rate is similar across races. Subsequent technical work (Chouldechova, 2017; Kleinberg et al., 2017) proved that the two properties cannot both hold when race-specific recidivism base rates differ—a genuine impossibility theorem. The literature has since proliferated competing metrics (demographic parity, equalized odds, calibration, counterfactual fairness, individual fairness), each capturing one facet of the problem and none of them dispositive.We introduce a complementary axis of measurement that the impossibility result does not constrain: the Legal Bond Index (LBI), a matched-neighbourhood diagnostic of algorithmic disparity. For each defendant, LBI compares the algorithm’s score divergence from the k nearest opposite-group neighbours in a Mahalanobis metric on selected legitimate predictors (age, prior offences, juvenile record, charge degree) with its divergence from the k nearest same-group neighbours; the index is the ratio of the two divergences averaged over defendants. \mathrm{LBI} = 1 means cross-group score divergence among legitimately-matched neighbours is no larger than within-group divergence; \mathrm{LBI} &gt; 1 means it is larger. For COMPAS (n = 5{,}278) the entire neighbourhood-scale curve lies above 1: \mathrm{LBI}(\text{race}) ranges from 1.041 to 1.069 across k \in [1, 100], with pointwise 95 % CIs excluding 1 at every scale; at the illustrative scale k = 20, \mathrm{LBI}(\text{race}) = 1.049. We then interrogate that number the way a sceptical reader should. Cross-race neighbours are indeed somewhat farther away in feature space than same-race neighbours (mean distance ratio 1.28 at k = 20), and under specifications that force matching parity—caliper exclusion, coarsened-exact matching, distance-matched comparators—the point estimate attenuates to 1.00–1.02. A conditional randomization test that redraws race labels preserving P(\text{race} \mid \mathbf{x})—which a semi-synthetic validation suite shows is correctly calibrated (4.5 % false-positive rate at the nominal 5 % level) exactly where the conventional permutation test false-fires on 56.5 % of race-blind datasets—still rejects conditional label independence decisively (z = 4.9; global multiscale p = 0.001). The same validation shows the index rises monotonically with an injected direct race coefficient, detects strong proxy discrimination, and can be inflated by omitting a legitimate predictor from the matching set. The honest summary is therefore two-sided: COMPAS scores carry a race-associated component beyond what these legitimate features explain—largest at ProPublica’s medium-or-high classification threshold (\mathrm{LBI} = 1.092; matched cross-race vs. same-race disagreement rates 37.3 % vs. 34.2 %)—but the unadjusted index overstates its magnitude, and we quantify both parts. LBI is a screening diagnostic conditional on the measured predictors, not a proof of legal unfairness: because the public dataset contains only a subset of the variables COMPAS uses, the analysis cannot confirm that the compared defendants were fully similarly situated, isolate a causal effect of race, or establish discrimination.LBI is a matched-neighbourhood disparity diagnostic inspired by individual-fairness principles and by the Aristotelian “treat-like-cases-alike” criterion. It is computationally cheap; it requires only an audit dataset containing the algorithm’s inputs, its outputs, and the protected attribute (the algorithm itself need not take the protected attribute as an input); it does not require knowledge of the algorithm’s internals; and it produces a scale-indexed curve with confidence intervals. It is a research-stage screening signal that may contribute one input to an audit, not a validated regulatory audit standard. The reference implementation is openly archived on Zenodo (doi:10.5281/zenodo.21310251).</vt:lpwstr>
  </property>
  <property fmtid="{D5CDD505-2E9C-101B-9397-08002B2CF9AE}" pid="3" name="date">
    <vt:lpwstr>August 2026 (revised)</vt:lpwstr>
  </property>
</Properties>
</file>