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mbria" w:hAnsi="Cambria"/>
          <w:b/>
          <w:color w:val="1F384E"/>
          <w:sz w:val="48"/>
        </w:rPr>
        <w:t>Observer-Limited Geometric Cognition</w:t>
      </w:r>
    </w:p>
    <w:p>
      <w:pPr>
        <w:spacing w:before="200"/>
        <w:jc w:val="center"/>
      </w:pPr>
      <w:r>
        <w:rPr>
          <w:rFonts w:ascii="Cambria" w:hAnsi="Cambria"/>
          <w:i/>
          <w:color w:val="4B4B4B"/>
          <w:sz w:val="26"/>
        </w:rPr>
        <w:t>A Candidate Fundamental Theory of Cognition from Representation, Evaluation, and Bounded Search</w:t>
      </w:r>
    </w:p>
    <w:p>
      <w:pPr>
        <w:spacing w:before="800"/>
        <w:jc w:val="center"/>
      </w:pPr>
      <w:r>
        <w:rPr>
          <w:b/>
          <w:sz w:val="28"/>
        </w:rPr>
        <w:t>Andrew H. Bond</w:t>
      </w:r>
    </w:p>
    <w:p>
      <w:pPr>
        <w:jc w:val="center"/>
      </w:pPr>
      <w:r>
        <w:rPr>
          <w:sz w:val="22"/>
        </w:rPr>
        <w:t>Department of Computer Engineering</w:t>
        <w:br/>
        <w:t>San José State University</w:t>
        <w:br/>
        <w:t>September 2026</w:t>
      </w:r>
    </w:p>
    <w:p>
      <w:pPr>
        <w:spacing w:before="900"/>
        <w:jc w:val="center"/>
      </w:pPr>
      <w:r>
        <w:rPr>
          <w:i/>
          <w:sz w:val="22"/>
        </w:rPr>
        <w:t>Research Thesis</w:t>
      </w:r>
    </w:p>
    <w:p>
      <w:pPr>
        <w:spacing w:before="320"/>
        <w:jc w:val="center"/>
      </w:pPr>
      <w:r>
        <w:rPr>
          <w:b/>
          <w:color w:val="1F384E"/>
          <w:sz w:val="23"/>
        </w:rPr>
        <w:t>Core thesis: intelligent agents act by searching over observer-relative, resource-limited geometries of possible states.</w:t>
      </w:r>
    </w:p>
    <w:p>
      <w:r>
        <w:br w:type="page"/>
      </w:r>
    </w:p>
    <w:p>
      <w:pPr>
        <w:pStyle w:val="Heading1"/>
        <w:keepNext/>
      </w:pPr>
      <w:r>
        <w:t>Abstract</w:t>
      </w:r>
    </w:p>
    <w:p>
      <w:pPr>
        <w:spacing w:after="120" w:line="269" w:lineRule="auto"/>
      </w:pPr>
      <w:r>
        <w:rPr>
          <w:i w:val="0"/>
        </w:rPr>
        <w:t>This thesis develops Observer-Limited Geometric Cognition (OLGC), a proposed synthesis of Observation Theory, Geometric Evaluation Theory, and geometric models of behavior. The central hypothesis is that cognition is not fundamentally scalar utility maximization over an observer-independent world. Instead, a cognitive agent constructs an observer-relative representation of a task under finite informational and resolution constraints, evaluates represented consequences in a task- and agent-dependent geometry, and selects behavior by bounded search over the accessible state space. Preferences and choices are therefore derived objects. They can change when the representation, resolution budget, metric, reference state, admissible set, or search process changes even when the external alternatives remain fixed.</w:t>
      </w:r>
    </w:p>
    <w:p>
      <w:pPr>
        <w:spacing w:after="120" w:line="269" w:lineRule="auto"/>
      </w:pPr>
      <w:r>
        <w:rPr>
          <w:i w:val="0"/>
        </w:rPr>
        <w:t>The formal foundation is the evaluation object E=(X,A,C,G,B,K): states X and actions A are mapped by a consequence map C into a consequence manifold Y; an evaluator supplies a metric and ideal G, a finite budget B, and admissibility constraints K. Existing Geometric Evaluation Theory proves that finite resolution induces coarser distinctions, semiorders, and—in a constructive theorem—preference reversals between fixed actions when the resolved consequence directions change. The accepted economic application demonstrates that a learned geometric metric can organize bargaining, public-goods, and several prospect-theory targets within a shared architecture, while also exhibiting a sharp failure of stake-scaling invariance at consequential stakes. Separately, the conditional-content work in information theory establishes that observer access to context can change the optimal representation even when reduced observable marginals are equivalent. Together these results motivate, but do not yet establish, a general cognitive theory in which observer-relative representation is prior to evaluation.</w:t>
      </w:r>
    </w:p>
    <w:p>
      <w:pPr>
        <w:spacing w:after="120" w:line="269" w:lineRule="auto"/>
      </w:pPr>
      <w:r>
        <w:rPr>
          <w:i w:val="0"/>
        </w:rPr>
        <w:t>The thesis adds three conjectural layers. First, it generalizes literal A* language to bounded path search: cognition is modeled as approximate search over represented states, with heuristics and learned policies acting as amortized approximations to future path cost. Second, it proposes a taxonomy of preference reversals as representation flips, metric flips, reference flips, admissibility flips, or stratum flips. Third, it proposes Whitney-stratified state spaces as a candidate model for cognition that is smooth within regimes but can change qualitatively at category, constraint, or interpretation boundaries. These extensions are explicitly hypotheses. The thesis specifies experiments capable of separating them, emphasizes independent identification of representation, geometry, and budget, and states failure conditions under which the proposed fundamental theory should be rejected or narrowed.</w:t>
      </w:r>
    </w:p>
    <w:tbl>
      <w:tblPr>
        <w:tblW w:type="auto" w:w="0"/>
        <w:jc w:val="center"/>
        <w:tblLayout w:type="fixed"/>
        <w:tblLook w:firstColumn="1" w:firstRow="1" w:lastColumn="0" w:lastRow="0" w:noHBand="0" w:noVBand="1" w:val="04A0"/>
      </w:tblPr>
      <w:tblGrid>
        <w:gridCol w:w="8928"/>
      </w:tblGrid>
      <w:tr>
        <w:trPr>
          <w:cantSplit/>
        </w:trPr>
        <w:tc>
          <w:tcPr>
            <w:tcW w:type="dxa" w:w="9504"/>
            <w:shd w:fill="EEF3F7"/>
            <w:tcMar>
              <w:top w:w="180" w:type="dxa"/>
              <w:start w:w="220" w:type="dxa"/>
              <w:bottom w:w="180" w:type="dxa"/>
              <w:end w:w="220" w:type="dxa"/>
            </w:tcMar>
          </w:tcPr>
          <w:p>
            <w:r>
              <w:rPr>
                <w:rFonts w:ascii="Cambria" w:hAnsi="Cambria"/>
                <w:b/>
                <w:color w:val="1F384E"/>
                <w:sz w:val="21"/>
              </w:rPr>
              <w:t>Epistemic status</w:t>
            </w:r>
            <w:r>
              <w:br/>
              <w:t>Results proved or empirically reported in the source papers are distinguished from the synthesis proposed here. In particular, human cognitive budgets, bounded path search as a universal mechanism, and Whitney stratification of cognition are not established by the existing work. They are the central hypotheses of the proposed research program.</w:t>
            </w:r>
          </w:p>
        </w:tc>
      </w:tr>
    </w:tbl>
    <w:p>
      <w:pPr>
        <w:spacing w:after="40"/>
      </w:pPr>
    </w:p>
    <w:p>
      <w:r>
        <w:br w:type="page"/>
      </w:r>
    </w:p>
    <w:p>
      <w:pPr>
        <w:pStyle w:val="Heading1"/>
        <w:keepNext/>
      </w:pPr>
      <w:r>
        <w:t>Contents and Argument Map</w:t>
      </w:r>
    </w:p>
    <w:tbl>
      <w:tblPr>
        <w:tblStyle w:val="TableGrid"/>
        <w:tblW w:type="auto" w:w="0"/>
        <w:jc w:val="center"/>
        <w:tblLook w:firstColumn="1" w:firstRow="1" w:lastColumn="0" w:lastRow="0" w:noHBand="0" w:noVBand="1" w:val="04A0"/>
      </w:tblPr>
      <w:tblGrid>
        <w:gridCol w:w="4752"/>
        <w:gridCol w:w="4752"/>
      </w:tblGrid>
      <w:tr>
        <w:trPr>
          <w:cantSplit/>
        </w:trPr>
        <w:tc>
          <w:tcPr>
            <w:tcW w:type="dxa" w:w="1872"/>
            <w:shd w:fill="D9E3EA"/>
            <w:vAlign w:val="center"/>
            <w:tcMar>
              <w:top w:w="120" w:type="dxa"/>
              <w:start w:w="120" w:type="dxa"/>
              <w:bottom w:w="120" w:type="dxa"/>
              <w:end w:w="120" w:type="dxa"/>
            </w:tcMar>
          </w:tcPr>
          <w:p>
            <w:r>
              <w:rPr>
                <w:b/>
                <w:sz w:val="18"/>
              </w:rPr>
              <w:t>Chapter</w:t>
            </w:r>
          </w:p>
        </w:tc>
        <w:tc>
          <w:tcPr>
            <w:tcW w:type="dxa" w:w="7056"/>
            <w:shd w:fill="D9E3EA"/>
            <w:vAlign w:val="center"/>
            <w:tcMar>
              <w:top w:w="120" w:type="dxa"/>
              <w:start w:w="120" w:type="dxa"/>
              <w:bottom w:w="120" w:type="dxa"/>
              <w:end w:w="120" w:type="dxa"/>
            </w:tcMar>
          </w:tcPr>
          <w:p>
            <w:r>
              <w:rPr>
                <w:b/>
                <w:sz w:val="18"/>
              </w:rPr>
              <w:t>Role in the argument</w:t>
            </w:r>
          </w:p>
        </w:tc>
      </w:tr>
      <w:tr>
        <w:trPr>
          <w:cantSplit/>
        </w:trPr>
        <w:tc>
          <w:tcPr>
            <w:tcW w:type="dxa" w:w="1872"/>
            <w:vAlign w:val="center"/>
            <w:tcMar>
              <w:top w:w="110" w:type="dxa"/>
              <w:start w:w="120" w:type="dxa"/>
              <w:bottom w:w="110" w:type="dxa"/>
              <w:end w:w="120" w:type="dxa"/>
            </w:tcMar>
          </w:tcPr>
          <w:p>
            <w:pPr>
              <w:spacing w:after="0"/>
            </w:pPr>
            <w:r>
              <w:rPr>
                <w:sz w:val="18"/>
              </w:rPr>
              <w:t>1. Introduction</w:t>
            </w:r>
          </w:p>
        </w:tc>
        <w:tc>
          <w:tcPr>
            <w:tcW w:type="dxa" w:w="7056"/>
            <w:vAlign w:val="center"/>
            <w:tcMar>
              <w:top w:w="110" w:type="dxa"/>
              <w:start w:w="120" w:type="dxa"/>
              <w:bottom w:w="110" w:type="dxa"/>
              <w:end w:w="120" w:type="dxa"/>
            </w:tcMar>
          </w:tcPr>
          <w:p>
            <w:pPr>
              <w:spacing w:after="0"/>
            </w:pPr>
            <w:r>
              <w:rPr>
                <w:sz w:val="18"/>
              </w:rPr>
              <w:t>Defines the fundamental-theory claim and its required standard of evidence.</w:t>
            </w:r>
          </w:p>
        </w:tc>
      </w:tr>
      <w:tr>
        <w:trPr>
          <w:cantSplit/>
        </w:trPr>
        <w:tc>
          <w:tcPr>
            <w:tcW w:type="dxa" w:w="1872"/>
            <w:vAlign w:val="center"/>
            <w:tcMar>
              <w:top w:w="110" w:type="dxa"/>
              <w:start w:w="120" w:type="dxa"/>
              <w:bottom w:w="110" w:type="dxa"/>
              <w:end w:w="120" w:type="dxa"/>
            </w:tcMar>
          </w:tcPr>
          <w:p>
            <w:pPr>
              <w:spacing w:after="0"/>
            </w:pPr>
            <w:r>
              <w:rPr>
                <w:sz w:val="18"/>
              </w:rPr>
              <w:t>2. Foundations</w:t>
            </w:r>
          </w:p>
        </w:tc>
        <w:tc>
          <w:tcPr>
            <w:tcW w:type="dxa" w:w="7056"/>
            <w:vAlign w:val="center"/>
            <w:tcMar>
              <w:top w:w="110" w:type="dxa"/>
              <w:start w:w="120" w:type="dxa"/>
              <w:bottom w:w="110" w:type="dxa"/>
              <w:end w:w="120" w:type="dxa"/>
            </w:tcMar>
          </w:tcPr>
          <w:p>
            <w:pPr>
              <w:spacing w:after="0"/>
            </w:pPr>
            <w:r>
              <w:rPr>
                <w:sz w:val="18"/>
              </w:rPr>
              <w:t>Builds the observer/evaluator object from the existing formal work.</w:t>
            </w:r>
          </w:p>
        </w:tc>
      </w:tr>
      <w:tr>
        <w:trPr>
          <w:cantSplit/>
        </w:trPr>
        <w:tc>
          <w:tcPr>
            <w:tcW w:type="dxa" w:w="1872"/>
            <w:vAlign w:val="center"/>
            <w:tcMar>
              <w:top w:w="110" w:type="dxa"/>
              <w:start w:w="120" w:type="dxa"/>
              <w:bottom w:w="110" w:type="dxa"/>
              <w:end w:w="120" w:type="dxa"/>
            </w:tcMar>
          </w:tcPr>
          <w:p>
            <w:pPr>
              <w:spacing w:after="0"/>
            </w:pPr>
            <w:r>
              <w:rPr>
                <w:sz w:val="18"/>
              </w:rPr>
              <w:t>3. Representation Before Preference</w:t>
            </w:r>
          </w:p>
        </w:tc>
        <w:tc>
          <w:tcPr>
            <w:tcW w:type="dxa" w:w="7056"/>
            <w:vAlign w:val="center"/>
            <w:tcMar>
              <w:top w:w="110" w:type="dxa"/>
              <w:start w:w="120" w:type="dxa"/>
              <w:bottom w:w="110" w:type="dxa"/>
              <w:end w:w="120" w:type="dxa"/>
            </w:tcMar>
          </w:tcPr>
          <w:p>
            <w:pPr>
              <w:spacing w:after="0"/>
            </w:pPr>
            <w:r>
              <w:rPr>
                <w:sz w:val="18"/>
              </w:rPr>
              <w:t>Shows why observer-relative representation is logically prior to measured preference.</w:t>
            </w:r>
          </w:p>
        </w:tc>
      </w:tr>
      <w:tr>
        <w:trPr>
          <w:cantSplit/>
        </w:trPr>
        <w:tc>
          <w:tcPr>
            <w:tcW w:type="dxa" w:w="1872"/>
            <w:vAlign w:val="center"/>
            <w:tcMar>
              <w:top w:w="110" w:type="dxa"/>
              <w:start w:w="120" w:type="dxa"/>
              <w:bottom w:w="110" w:type="dxa"/>
              <w:end w:w="120" w:type="dxa"/>
            </w:tcMar>
          </w:tcPr>
          <w:p>
            <w:pPr>
              <w:spacing w:after="0"/>
            </w:pPr>
            <w:r>
              <w:rPr>
                <w:sz w:val="18"/>
              </w:rPr>
              <w:t>4. Cognition as Bounded Geometric Search</w:t>
            </w:r>
          </w:p>
        </w:tc>
        <w:tc>
          <w:tcPr>
            <w:tcW w:type="dxa" w:w="7056"/>
            <w:vAlign w:val="center"/>
            <w:tcMar>
              <w:top w:w="110" w:type="dxa"/>
              <w:start w:w="120" w:type="dxa"/>
              <w:bottom w:w="110" w:type="dxa"/>
              <w:end w:w="120" w:type="dxa"/>
            </w:tcMar>
          </w:tcPr>
          <w:p>
            <w:pPr>
              <w:spacing w:after="0"/>
            </w:pPr>
            <w:r>
              <w:rPr>
                <w:sz w:val="18"/>
              </w:rPr>
              <w:t>Adds the proposed dynamical layer without committing to literal A*.</w:t>
            </w:r>
          </w:p>
        </w:tc>
      </w:tr>
      <w:tr>
        <w:trPr>
          <w:cantSplit/>
        </w:trPr>
        <w:tc>
          <w:tcPr>
            <w:tcW w:type="dxa" w:w="1872"/>
            <w:vAlign w:val="center"/>
            <w:tcMar>
              <w:top w:w="110" w:type="dxa"/>
              <w:start w:w="120" w:type="dxa"/>
              <w:bottom w:w="110" w:type="dxa"/>
              <w:end w:w="120" w:type="dxa"/>
            </w:tcMar>
          </w:tcPr>
          <w:p>
            <w:pPr>
              <w:spacing w:after="0"/>
            </w:pPr>
            <w:r>
              <w:rPr>
                <w:sz w:val="18"/>
              </w:rPr>
              <w:t>5. Flips and Stratification</w:t>
            </w:r>
          </w:p>
        </w:tc>
        <w:tc>
          <w:tcPr>
            <w:tcW w:type="dxa" w:w="7056"/>
            <w:vAlign w:val="center"/>
            <w:tcMar>
              <w:top w:w="110" w:type="dxa"/>
              <w:start w:w="120" w:type="dxa"/>
              <w:bottom w:w="110" w:type="dxa"/>
              <w:end w:w="120" w:type="dxa"/>
            </w:tcMar>
          </w:tcPr>
          <w:p>
            <w:pPr>
              <w:spacing w:after="0"/>
            </w:pPr>
            <w:r>
              <w:rPr>
                <w:sz w:val="18"/>
              </w:rPr>
              <w:t>Develops preference reversals as diagnostic signatures of representational or geometric transitions.</w:t>
            </w:r>
          </w:p>
        </w:tc>
      </w:tr>
      <w:tr>
        <w:trPr>
          <w:cantSplit/>
        </w:trPr>
        <w:tc>
          <w:tcPr>
            <w:tcW w:type="dxa" w:w="1872"/>
            <w:vAlign w:val="center"/>
            <w:tcMar>
              <w:top w:w="110" w:type="dxa"/>
              <w:start w:w="120" w:type="dxa"/>
              <w:bottom w:w="110" w:type="dxa"/>
              <w:end w:w="120" w:type="dxa"/>
            </w:tcMar>
          </w:tcPr>
          <w:p>
            <w:pPr>
              <w:spacing w:after="0"/>
            </w:pPr>
            <w:r>
              <w:rPr>
                <w:sz w:val="18"/>
              </w:rPr>
              <w:t>6. Existing Evidence</w:t>
            </w:r>
          </w:p>
        </w:tc>
        <w:tc>
          <w:tcPr>
            <w:tcW w:type="dxa" w:w="7056"/>
            <w:vAlign w:val="center"/>
            <w:tcMar>
              <w:top w:w="110" w:type="dxa"/>
              <w:start w:w="120" w:type="dxa"/>
              <w:bottom w:w="110" w:type="dxa"/>
              <w:end w:w="120" w:type="dxa"/>
            </w:tcMar>
          </w:tcPr>
          <w:p>
            <w:pPr>
              <w:spacing w:after="0"/>
            </w:pPr>
            <w:r>
              <w:rPr>
                <w:sz w:val="18"/>
              </w:rPr>
              <w:t>Separates proved structure, empirical support, and unresolved assumptions.</w:t>
            </w:r>
          </w:p>
        </w:tc>
      </w:tr>
      <w:tr>
        <w:trPr>
          <w:cantSplit/>
        </w:trPr>
        <w:tc>
          <w:tcPr>
            <w:tcW w:type="dxa" w:w="1872"/>
            <w:vAlign w:val="center"/>
            <w:tcMar>
              <w:top w:w="110" w:type="dxa"/>
              <w:start w:w="120" w:type="dxa"/>
              <w:bottom w:w="110" w:type="dxa"/>
              <w:end w:w="120" w:type="dxa"/>
            </w:tcMar>
          </w:tcPr>
          <w:p>
            <w:pPr>
              <w:spacing w:after="0"/>
            </w:pPr>
            <w:r>
              <w:rPr>
                <w:sz w:val="18"/>
              </w:rPr>
              <w:t>7. Falsifiable Predictions</w:t>
            </w:r>
          </w:p>
        </w:tc>
        <w:tc>
          <w:tcPr>
            <w:tcW w:type="dxa" w:w="7056"/>
            <w:vAlign w:val="center"/>
            <w:tcMar>
              <w:top w:w="110" w:type="dxa"/>
              <w:start w:w="120" w:type="dxa"/>
              <w:bottom w:w="110" w:type="dxa"/>
              <w:end w:w="120" w:type="dxa"/>
            </w:tcMar>
          </w:tcPr>
          <w:p>
            <w:pPr>
              <w:spacing w:after="0"/>
            </w:pPr>
            <w:r>
              <w:rPr>
                <w:sz w:val="18"/>
              </w:rPr>
              <w:t>Derives tests that would discriminate the theory from flexible curve fitting.</w:t>
            </w:r>
          </w:p>
        </w:tc>
      </w:tr>
      <w:tr>
        <w:trPr>
          <w:cantSplit/>
        </w:trPr>
        <w:tc>
          <w:tcPr>
            <w:tcW w:type="dxa" w:w="1872"/>
            <w:vAlign w:val="center"/>
            <w:tcMar>
              <w:top w:w="110" w:type="dxa"/>
              <w:start w:w="120" w:type="dxa"/>
              <w:bottom w:w="110" w:type="dxa"/>
              <w:end w:w="120" w:type="dxa"/>
            </w:tcMar>
          </w:tcPr>
          <w:p>
            <w:pPr>
              <w:spacing w:after="0"/>
            </w:pPr>
            <w:r>
              <w:rPr>
                <w:sz w:val="18"/>
              </w:rPr>
              <w:t>8. Experimental Program</w:t>
            </w:r>
          </w:p>
        </w:tc>
        <w:tc>
          <w:tcPr>
            <w:tcW w:type="dxa" w:w="7056"/>
            <w:vAlign w:val="center"/>
            <w:tcMar>
              <w:top w:w="110" w:type="dxa"/>
              <w:start w:w="120" w:type="dxa"/>
              <w:bottom w:w="110" w:type="dxa"/>
              <w:end w:w="120" w:type="dxa"/>
            </w:tcMar>
          </w:tcPr>
          <w:p>
            <w:pPr>
              <w:spacing w:after="0"/>
            </w:pPr>
            <w:r>
              <w:rPr>
                <w:sz w:val="18"/>
              </w:rPr>
              <w:t>Specifies human and artificial-agent experiments and identification strategy.</w:t>
            </w:r>
          </w:p>
        </w:tc>
      </w:tr>
      <w:tr>
        <w:trPr>
          <w:cantSplit/>
        </w:trPr>
        <w:tc>
          <w:tcPr>
            <w:tcW w:type="dxa" w:w="1872"/>
            <w:vAlign w:val="center"/>
            <w:tcMar>
              <w:top w:w="110" w:type="dxa"/>
              <w:start w:w="120" w:type="dxa"/>
              <w:bottom w:w="110" w:type="dxa"/>
              <w:end w:w="120" w:type="dxa"/>
            </w:tcMar>
          </w:tcPr>
          <w:p>
            <w:pPr>
              <w:spacing w:after="0"/>
            </w:pPr>
            <w:r>
              <w:rPr>
                <w:sz w:val="18"/>
              </w:rPr>
              <w:t>9. AI Safety</w:t>
            </w:r>
          </w:p>
        </w:tc>
        <w:tc>
          <w:tcPr>
            <w:tcW w:type="dxa" w:w="7056"/>
            <w:vAlign w:val="center"/>
            <w:tcMar>
              <w:top w:w="110" w:type="dxa"/>
              <w:start w:w="120" w:type="dxa"/>
              <w:bottom w:w="110" w:type="dxa"/>
              <w:end w:w="120" w:type="dxa"/>
            </w:tcMar>
          </w:tcPr>
          <w:p>
            <w:pPr>
              <w:spacing w:after="0"/>
            </w:pPr>
            <w:r>
              <w:rPr>
                <w:sz w:val="18"/>
              </w:rPr>
              <w:t>Explains the safety interpretation as geometry and regime control, not as a scalar reward patch.</w:t>
            </w:r>
          </w:p>
        </w:tc>
      </w:tr>
      <w:tr>
        <w:trPr>
          <w:cantSplit/>
        </w:trPr>
        <w:tc>
          <w:tcPr>
            <w:tcW w:type="dxa" w:w="1872"/>
            <w:vAlign w:val="center"/>
            <w:tcMar>
              <w:top w:w="110" w:type="dxa"/>
              <w:start w:w="120" w:type="dxa"/>
              <w:bottom w:w="110" w:type="dxa"/>
              <w:end w:w="120" w:type="dxa"/>
            </w:tcMar>
          </w:tcPr>
          <w:p>
            <w:pPr>
              <w:spacing w:after="0"/>
            </w:pPr>
            <w:r>
              <w:rPr>
                <w:sz w:val="18"/>
              </w:rPr>
              <w:t>10. Limits and Failure Conditions</w:t>
            </w:r>
          </w:p>
        </w:tc>
        <w:tc>
          <w:tcPr>
            <w:tcW w:type="dxa" w:w="7056"/>
            <w:vAlign w:val="center"/>
            <w:tcMar>
              <w:top w:w="110" w:type="dxa"/>
              <w:start w:w="120" w:type="dxa"/>
              <w:bottom w:w="110" w:type="dxa"/>
              <w:end w:w="120" w:type="dxa"/>
            </w:tcMar>
          </w:tcPr>
          <w:p>
            <w:pPr>
              <w:spacing w:after="0"/>
            </w:pPr>
            <w:r>
              <w:rPr>
                <w:sz w:val="18"/>
              </w:rPr>
              <w:t>States what would refute, weaken, or narrow the thesis.</w:t>
            </w:r>
          </w:p>
        </w:tc>
      </w:tr>
      <w:tr>
        <w:trPr>
          <w:cantSplit/>
        </w:trPr>
        <w:tc>
          <w:tcPr>
            <w:tcW w:type="dxa" w:w="1872"/>
            <w:vAlign w:val="center"/>
            <w:tcMar>
              <w:top w:w="110" w:type="dxa"/>
              <w:start w:w="120" w:type="dxa"/>
              <w:bottom w:w="110" w:type="dxa"/>
              <w:end w:w="120" w:type="dxa"/>
            </w:tcMar>
          </w:tcPr>
          <w:p>
            <w:pPr>
              <w:spacing w:after="0"/>
            </w:pPr>
            <w:r>
              <w:rPr>
                <w:sz w:val="18"/>
              </w:rPr>
              <w:t>11. Research Program</w:t>
            </w:r>
          </w:p>
        </w:tc>
        <w:tc>
          <w:tcPr>
            <w:tcW w:type="dxa" w:w="7056"/>
            <w:vAlign w:val="center"/>
            <w:tcMar>
              <w:top w:w="110" w:type="dxa"/>
              <w:start w:w="120" w:type="dxa"/>
              <w:bottom w:w="110" w:type="dxa"/>
              <w:end w:w="120" w:type="dxa"/>
            </w:tcMar>
          </w:tcPr>
          <w:p>
            <w:pPr>
              <w:spacing w:after="0"/>
            </w:pPr>
            <w:r>
              <w:rPr>
                <w:sz w:val="18"/>
              </w:rPr>
              <w:t>Gives a staged path from framework to candidate fundamental theory.</w:t>
            </w:r>
          </w:p>
        </w:tc>
      </w:tr>
      <w:tr>
        <w:trPr>
          <w:cantSplit/>
        </w:trPr>
        <w:tc>
          <w:tcPr>
            <w:tcW w:type="dxa" w:w="1872"/>
            <w:vAlign w:val="center"/>
            <w:tcMar>
              <w:top w:w="110" w:type="dxa"/>
              <w:start w:w="120" w:type="dxa"/>
              <w:bottom w:w="110" w:type="dxa"/>
              <w:end w:w="120" w:type="dxa"/>
            </w:tcMar>
          </w:tcPr>
          <w:p>
            <w:pPr>
              <w:spacing w:after="0"/>
            </w:pPr>
            <w:r>
              <w:rPr>
                <w:sz w:val="18"/>
              </w:rPr>
              <w:t>12. Conclusion</w:t>
            </w:r>
          </w:p>
        </w:tc>
        <w:tc>
          <w:tcPr>
            <w:tcW w:type="dxa" w:w="7056"/>
            <w:vAlign w:val="center"/>
            <w:tcMar>
              <w:top w:w="110" w:type="dxa"/>
              <w:start w:w="120" w:type="dxa"/>
              <w:bottom w:w="110" w:type="dxa"/>
              <w:end w:w="120" w:type="dxa"/>
            </w:tcMar>
          </w:tcPr>
          <w:p>
            <w:pPr>
              <w:spacing w:after="0"/>
            </w:pPr>
            <w:r>
              <w:rPr>
                <w:sz w:val="18"/>
              </w:rPr>
              <w:t>Restates the smallest durable claim.</w:t>
            </w:r>
          </w:p>
        </w:tc>
      </w:tr>
    </w:tbl>
    <w:p>
      <w:pPr>
        <w:spacing w:after="40"/>
      </w:pPr>
    </w:p>
    <w:p>
      <w:r>
        <w:br w:type="page"/>
      </w:r>
    </w:p>
    <w:p>
      <w:pPr>
        <w:pStyle w:val="Heading1"/>
        <w:keepNext/>
      </w:pPr>
      <w:r>
        <w:t>1. Introduction: What Would a Fundamental Theory of Cognition Explain?</w:t>
      </w:r>
    </w:p>
    <w:p>
      <w:pPr>
        <w:spacing w:after="120" w:line="269" w:lineRule="auto"/>
      </w:pPr>
      <w:r>
        <w:rPr>
          <w:i w:val="0"/>
        </w:rPr>
        <w:t>A theory deserves to be called fundamental only if it reduces many apparently different phenomena to a small set of structural principles, makes predictions that are not put in by hand, and survives tests in which its internal components are independently constrained. A theory of cognition should therefore do more than fit choices. It should explain why an agent distinguishes some alternatives but not others, why preferences can reverse, why context sometimes matters and sometimes does not, why categorical transitions coexist with continuous trade-offs, why finite resources produce characteristic error patterns, and how the same principles can apply to biological and artificial agents without assuming that they share the same implementation.</w:t>
      </w:r>
    </w:p>
    <w:p>
      <w:pPr>
        <w:spacing w:after="120" w:line="269" w:lineRule="auto"/>
      </w:pPr>
      <w:r>
        <w:rPr>
          <w:i w:val="0"/>
        </w:rPr>
        <w:t>The proposed answer is that cognition is an observer-limited geometric process. The world does not arrive at the decision mechanism as a complete list of objectively available features. An observer maps states and actions into a representation. That representation has limited resolution and may retain only a subspace of the consequence directions relevant to a task. An evaluator then assigns geometry: which displacements are large, small, costly, desirable, admissible, or effectively indistinguishable. Finally, a bounded search process navigates the represented state space toward a goal, ideal, or acceptable region. The observed choice is the endpoint of that pipeline, not its primitive.</w:t>
      </w:r>
    </w:p>
    <w:p>
      <w:pPr>
        <w:spacing w:before="120" w:after="160"/>
        <w:jc w:val="center"/>
      </w:pPr>
      <w:r>
        <w:rPr>
          <w:rFonts w:ascii="Cambria Math" w:hAnsi="Cambria Math"/>
          <w:sz w:val="23"/>
        </w:rPr>
        <w:t>world → observer/context → representation → geometry → bounded search → action</w:t>
      </w:r>
    </w:p>
    <w:p>
      <w:pPr>
        <w:spacing w:after="120" w:line="269" w:lineRule="auto"/>
      </w:pPr>
      <w:r>
        <w:rPr>
          <w:i w:val="0"/>
        </w:rPr>
        <w:t>This ordering is the central methodological commitment. It reverses the usual explanatory direction in which an observed preference ordering is taken as primitive and represented by a utility function. In Geometric Evaluation Theory (GET), the primitive is instead an evaluation object and the preference relation is derived. The formal source work states the schematic explicitly: evaluator plus metric plus budget produce effective distinctions, and preference and choice follow from those distinctions (Bond, 2026a).</w:t>
      </w:r>
    </w:p>
    <w:p>
      <w:pPr>
        <w:spacing w:after="120" w:line="269" w:lineRule="auto"/>
      </w:pPr>
      <w:r>
        <w:rPr>
          <w:i w:val="0"/>
        </w:rPr>
        <w:t>The current thesis extends that foundation from static evaluation to a candidate theory of cognition. The extension is deliberately conservative in one respect: it does not require that humans literally execute a named graph algorithm. The earlier pathfinding intuition is retained at a higher level. Cognition is treated as bounded search through represented possibilities, and familiar algorithms—A*, beam search, local descent, Monte Carlo search, heuristic planning, learned policies, or recurrent neural computation—are possible implementations rather than the theory itself.</w:t>
      </w:r>
    </w:p>
    <w:p>
      <w:pPr>
        <w:pStyle w:val="Heading2"/>
        <w:keepNext/>
      </w:pPr>
      <w:r>
        <w:t>1.1 The Core Thesis</w:t>
      </w:r>
    </w:p>
    <w:tbl>
      <w:tblPr>
        <w:tblW w:type="auto" w:w="0"/>
        <w:jc w:val="center"/>
        <w:tblLayout w:type="fixed"/>
        <w:tblLook w:firstColumn="1" w:firstRow="1" w:lastColumn="0" w:lastRow="0" w:noHBand="0" w:noVBand="1" w:val="04A0"/>
      </w:tblPr>
      <w:tblGrid>
        <w:gridCol w:w="8928"/>
      </w:tblGrid>
      <w:tr>
        <w:trPr>
          <w:cantSplit/>
        </w:trPr>
        <w:tc>
          <w:tcPr>
            <w:tcW w:type="dxa" w:w="9504"/>
            <w:shd w:fill="EEF3F7"/>
            <w:tcMar>
              <w:top w:w="180" w:type="dxa"/>
              <w:start w:w="220" w:type="dxa"/>
              <w:bottom w:w="180" w:type="dxa"/>
              <w:end w:w="220" w:type="dxa"/>
            </w:tcMar>
          </w:tcPr>
          <w:p>
            <w:r>
              <w:rPr>
                <w:rFonts w:ascii="Cambria" w:hAnsi="Cambria"/>
                <w:b/>
                <w:color w:val="1F384E"/>
                <w:sz w:val="21"/>
              </w:rPr>
              <w:t>Fundamental Cognition Thesis</w:t>
            </w:r>
            <w:r>
              <w:br/>
              <w:t>An intelligent agent acts by constructing an observer-relative, resource-limited representation of relevant states and by performing bounded search over a geometry defined on that representation. Measured preference is a derived ordering over represented consequences, not necessarily a stable scalar primitive of the agent.</w:t>
            </w:r>
          </w:p>
        </w:tc>
      </w:tr>
    </w:tbl>
    <w:p>
      <w:pPr>
        <w:spacing w:after="40"/>
      </w:pPr>
    </w:p>
    <w:p>
      <w:pPr>
        <w:spacing w:after="120" w:line="269" w:lineRule="auto"/>
      </w:pPr>
      <w:r>
        <w:rPr>
          <w:i w:val="0"/>
        </w:rPr>
        <w:t>The claim contains three separable propositions. The representational proposition says that the distinctions available to a cognitive system depend on the observer map and its resource budget. The geometric proposition says that evaluation depends on a metric, reference or ideal, and admissibility structure defined on the represented consequence space. The dynamical proposition says that cognition selects trajectories or actions through bounded search rather than through globally exact optimization of a scalar function on the unrepresented world.</w:t>
      </w:r>
    </w:p>
    <w:p>
      <w:pPr>
        <w:pStyle w:val="Heading2"/>
        <w:keepNext/>
      </w:pPr>
      <w:r>
        <w:t>1.2 Why Preference Reversal Is a Crucial Test</w:t>
      </w:r>
    </w:p>
    <w:p>
      <w:pPr>
        <w:spacing w:after="120" w:line="269" w:lineRule="auto"/>
      </w:pPr>
      <w:r>
        <w:rPr>
          <w:i w:val="0"/>
        </w:rPr>
        <w:t>Preference reversal is unusually diagnostic because it can separate a change in what an agent values from a change in what the agent can represent. GET proves a resolution-reversal theorem: two fixed actions can reverse order when the rank budget changes while the evaluator, metric, and ideal remain fixed. The interpretation in the source is explicit: the reversal is not a change of taste; it occurs because the evaluator resolves a different number of consequence directions (Bond, 2026a). This creates a direct bridge from Observation Theory to behavioral economics.</w:t>
      </w:r>
    </w:p>
    <w:p>
      <w:pPr>
        <w:spacing w:after="120" w:line="269" w:lineRule="auto"/>
      </w:pPr>
      <w:r>
        <w:rPr>
          <w:i w:val="0"/>
        </w:rPr>
        <w:t>The strongest cognitive version is therefore not the vague statement that preferences are context dependent. It is the mechanistic claim that some apparent preference reversals are observation flips: the latent evaluative geometry is stable, while the effective representation changes. That claim is falsifiable because it predicts which pairs should reverse and which should not under controlled changes in resolution.</w:t>
      </w:r>
    </w:p>
    <w:p>
      <w:pPr>
        <w:pStyle w:val="Heading1"/>
        <w:keepNext/>
      </w:pPr>
      <w:r>
        <w:t>2. Formal Foundations: World, Observer, Evaluator, and Budget</w:t>
      </w:r>
    </w:p>
    <w:p>
      <w:pPr>
        <w:pStyle w:val="Heading2"/>
        <w:keepNext/>
      </w:pPr>
      <w:r>
        <w:t>2.1 The Evaluation Object</w:t>
      </w:r>
    </w:p>
    <w:p>
      <w:pPr>
        <w:spacing w:after="120" w:line="269" w:lineRule="auto"/>
      </w:pPr>
      <w:r>
        <w:rPr>
          <w:i w:val="0"/>
        </w:rPr>
        <w:t>GET defines an evaluation object as a six-tuple containing states, actions, a consequence map, evaluative geometry, a resource budget, and admissibility constraints. Using the notation of the source work:</w:t>
      </w:r>
    </w:p>
    <w:p>
      <w:pPr>
        <w:spacing w:before="120" w:after="160"/>
        <w:jc w:val="center"/>
      </w:pPr>
      <w:r>
        <w:rPr>
          <w:rFonts w:ascii="Cambria Math" w:hAnsi="Cambria Math"/>
          <w:sz w:val="23"/>
        </w:rPr>
        <w:t>E = (X, A, C, G, B, K).</w:t>
      </w:r>
      <w:r>
        <w:rPr>
          <w:rFonts w:ascii="Cambria" w:hAnsi="Cambria"/>
          <w:sz w:val="20"/>
        </w:rPr>
        <w:t xml:space="preserve">    (2.1)</w:t>
      </w:r>
    </w:p>
    <w:p>
      <w:pPr>
        <w:spacing w:after="120" w:line="269" w:lineRule="auto"/>
      </w:pPr>
      <w:r>
        <w:rPr>
          <w:i w:val="0"/>
        </w:rPr>
        <w:t>Here X is a state space with belief measure μ; A is an action or alternative set; C:A×X→Y maps actions and states into a consequence space Y; G is a pointed geometry consisting of a Riemannian metric and an ideal point t; B is a resolution budget; and K is the admissible subset, potentially state- or menu-dependent. The decisive split is between what the world supplies and what the evaluator supplies. The world supplies (X,A,C). The evaluator supplies (G,B,K). This prevents representability from becoming tautological: if the evaluator were free to choose C after observing the desired preference ordering, arbitrary finite orders could be represented by construction (Bond, 2026a).</w:t>
      </w:r>
    </w:p>
    <w:p>
      <w:pPr>
        <w:spacing w:after="120" w:line="269" w:lineRule="auto"/>
      </w:pPr>
      <w:r>
        <w:rPr>
          <w:i w:val="0"/>
        </w:rPr>
        <w:t>For cognition, this split can be interpreted operationally. The world and task generate available consequences; the observer does not get to redefine them arbitrarily. The observer does, however, possess limited sensors, memory, attention, learned feature maps, value geometry, and admissibility constraints. These determine which aspects of the consequence structure are cognitively available and how those aspects are evaluated.</w:t>
      </w:r>
    </w:p>
    <w:p>
      <w:pPr>
        <w:pStyle w:val="Heading2"/>
        <w:keepNext/>
      </w:pPr>
      <w:r>
        <w:t>2.2 Distance, Cost, and the Ideal</w:t>
      </w:r>
    </w:p>
    <w:p>
      <w:pPr>
        <w:spacing w:after="120" w:line="269" w:lineRule="auto"/>
      </w:pPr>
      <w:r>
        <w:rPr>
          <w:i w:val="0"/>
        </w:rPr>
        <w:t>The source theory evaluates an action by expected squared geodesic distance from an ideal. In compact form:</w:t>
      </w:r>
    </w:p>
    <w:p>
      <w:pPr>
        <w:spacing w:before="120" w:after="160"/>
        <w:jc w:val="center"/>
      </w:pPr>
      <w:r>
        <w:rPr>
          <w:rFonts w:ascii="Cambria Math" w:hAnsi="Cambria Math"/>
          <w:sz w:val="23"/>
        </w:rPr>
        <w:t>d(a) = [ Eμ dG(C(a,X), t)² ]¹ᐟ²,      c(a) = d(a)².</w:t>
      </w:r>
      <w:r>
        <w:rPr>
          <w:rFonts w:ascii="Cambria" w:hAnsi="Cambria"/>
          <w:sz w:val="20"/>
        </w:rPr>
        <w:t xml:space="preserve">    (2.2)</w:t>
      </w:r>
    </w:p>
    <w:p>
      <w:pPr>
        <w:spacing w:after="120" w:line="269" w:lineRule="auto"/>
      </w:pPr>
      <w:r>
        <w:rPr>
          <w:i w:val="0"/>
        </w:rPr>
        <w:t>A metric alone does not order alternatives. Ordering appears only relative to a reference or ideal. This is important for cognition because it separates two questions that are often conflated: what differences the agent is sensitive to, encoded by G, and from where those differences are measured, encoded by t. A reference-dependent reversal can therefore arise by changing t even if G is unchanged, whereas a metric reversal changes the geometry itself.</w:t>
      </w:r>
    </w:p>
    <w:p>
      <w:pPr>
        <w:pStyle w:val="Heading2"/>
        <w:keepNext/>
      </w:pPr>
      <w:r>
        <w:t>2.3 Finite Resolution as a Structural Constraint</w:t>
      </w:r>
    </w:p>
    <w:p>
      <w:pPr>
        <w:spacing w:after="120" w:line="269" w:lineRule="auto"/>
      </w:pPr>
      <w:r>
        <w:rPr>
          <w:i w:val="0"/>
        </w:rPr>
        <w:t>GET formalizes three budget types: a rank cap k, a length tolerance ε, and a rate budget R. Under a rank cap, the evaluator retains a top-k eigenspace of the workload-weighted second moment of consequences. Under a length budget, the underlying distance is preserved but comparisons within ε become indistinguishable. Under a rate budget, the observer evaluates a reconstruction produced under finite description rate, with an induced tolerance related to distortion (Bond, 2026a).</w:t>
      </w:r>
    </w:p>
    <w:p>
      <w:pPr>
        <w:spacing w:before="120" w:after="160"/>
        <w:jc w:val="center"/>
      </w:pPr>
      <w:r>
        <w:rPr>
          <w:rFonts w:ascii="Cambria Math" w:hAnsi="Cambria Math"/>
          <w:sz w:val="23"/>
        </w:rPr>
        <w:t>Mω = Eω [ G¹ᐟ²(C−t)(C−t)ᵀG¹ᐟ² ],      dk(a) = [ Eμ ||Πk G¹ᐟ²(C(a,X)−t)||² ]¹ᐟ².</w:t>
      </w:r>
      <w:r>
        <w:rPr>
          <w:rFonts w:ascii="Cambria" w:hAnsi="Cambria"/>
          <w:sz w:val="20"/>
        </w:rPr>
        <w:t xml:space="preserve">    (2.3)</w:t>
      </w:r>
    </w:p>
    <w:p>
      <w:pPr>
        <w:spacing w:after="120" w:line="269" w:lineRule="auto"/>
      </w:pPr>
      <w:r>
        <w:rPr>
          <w:i w:val="0"/>
        </w:rPr>
        <w:t>This formalizes a strong cognitive idea: limited resources need not merely add noise to an otherwise complete representation. A rank budget changes the subspace the agent can resolve. The resulting coarse-graining is structural: distinct world consequences can become cognitively equivalent because their difference lies in unresolved directions.</w:t>
      </w:r>
    </w:p>
    <w:p>
      <w:pPr>
        <w:pStyle w:val="Heading2"/>
        <w:keepNext/>
      </w:pPr>
      <w:r>
        <w:t>2.4 Preference Is Derived</w:t>
      </w:r>
    </w:p>
    <w:p>
      <w:pPr>
        <w:spacing w:after="120" w:line="269" w:lineRule="auto"/>
      </w:pPr>
      <w:r>
        <w:rPr>
          <w:i w:val="0"/>
        </w:rPr>
        <w:t>GET defines preference from the budgeted distance. At zero comparison threshold, minimizing distance yields a weak order represented by −dB. At positive resolution tolerance, preference becomes a semiorder with a threshold fixed by the budget rather than introduced as an independent behavioral parameter. Thus finite resolution generates intransitive indifference in a principled way (Bond, 2026a).</w:t>
      </w:r>
    </w:p>
    <w:p>
      <w:pPr>
        <w:spacing w:before="120" w:after="160"/>
        <w:jc w:val="center"/>
      </w:pPr>
      <w:r>
        <w:rPr>
          <w:rFonts w:ascii="Cambria Math" w:hAnsi="Cambria Math"/>
          <w:sz w:val="23"/>
        </w:rPr>
        <w:t>a ≻B b  ⇔  dB(a)+εB &lt; dB(b);      a ~B b  ⇔  |dB(a)−dB(b)| ≤ εB.</w:t>
      </w:r>
      <w:r>
        <w:rPr>
          <w:rFonts w:ascii="Cambria" w:hAnsi="Cambria"/>
          <w:sz w:val="20"/>
        </w:rPr>
        <w:t xml:space="preserve">    (2.4)</w:t>
      </w:r>
    </w:p>
    <w:p>
      <w:pPr>
        <w:spacing w:after="120" w:line="269" w:lineRule="auto"/>
      </w:pPr>
      <w:r>
        <w:rPr>
          <w:i w:val="0"/>
        </w:rPr>
        <w:t>The cognitive significance is immediate. A measured indifference region can be interpreted as the behavioral shadow of finite resolution rather than as an arbitrary utility perturbation. Conversely, if experimental manipulations of time, load, or representational resolution change the just-noticeable difference exactly as the budget model predicts, the budget becomes an empirically measurable property of the observer.</w:t>
      </w:r>
    </w:p>
    <w:p>
      <w:pPr>
        <w:pStyle w:val="Heading2"/>
        <w:keepNext/>
      </w:pPr>
      <w:r>
        <w:t>2.5 Admissibility Is Not Preference</w:t>
      </w:r>
    </w:p>
    <w:p>
      <w:pPr>
        <w:spacing w:after="120" w:line="269" w:lineRule="auto"/>
      </w:pPr>
      <w:r>
        <w:rPr>
          <w:i w:val="0"/>
        </w:rPr>
        <w:t>The source theory keeps K separate from metric cost because menu-dependent admissibility can violate the weak axiom of revealed preference. An obligation, taboo, hard safety boundary, or physical constraint may remove an action from consideration without being representable as merely a very large negative scalar utility. For a general cognitive theory, this distinction is essential: not every behavioral discontinuity should be modeled as a change in value. Some are changes in the feasible or admissible set.</w:t>
      </w:r>
    </w:p>
    <w:p>
      <w:pPr>
        <w:pStyle w:val="Heading1"/>
        <w:keepNext/>
      </w:pPr>
      <w:r>
        <w:t>3. Representation Before Preference</w:t>
      </w:r>
    </w:p>
    <w:p>
      <w:pPr>
        <w:pStyle w:val="Heading2"/>
        <w:keepNext/>
      </w:pPr>
      <w:r>
        <w:t>3.1 Observer-Relative Geometry</w:t>
      </w:r>
    </w:p>
    <w:p>
      <w:pPr>
        <w:spacing w:after="120" w:line="269" w:lineRule="auto"/>
      </w:pPr>
      <w:r>
        <w:rPr>
          <w:i w:val="0"/>
        </w:rPr>
        <w:t>Observation Theory, as summarized in GET, begins with the same triad of a consumer map, an output metric, and a budget. The induced geometry governs compression, retrieval, and estimation for the downstream reader. GET reinterprets an evaluator as an observer whose output is scored relative to an ideal. The underlying principle is that the relevant geometry is not intrinsic to raw data alone; it is pulled back through the map used by the downstream consumer (Bond, 2026a, 2026d).</w:t>
      </w:r>
    </w:p>
    <w:p>
      <w:pPr>
        <w:spacing w:after="120" w:line="269" w:lineRule="auto"/>
      </w:pPr>
      <w:r>
        <w:rPr>
          <w:i w:val="0"/>
        </w:rPr>
        <w:t>This is the conceptual reason representation should precede preference in a cognitive theory. Two agents can occupy the same external environment and nevertheless operate on different effective state spaces because their sensors, learned features, memories, linguistic framings, expertise, or active context differ. The theory does not claim that truth itself is observer-relative. It claims that the geometry available to a bounded evaluator is observer-relative.</w:t>
      </w:r>
    </w:p>
    <w:p>
      <w:pPr>
        <w:pStyle w:val="Heading2"/>
        <w:keepNext/>
      </w:pPr>
      <w:r>
        <w:t>3.2 Context Can Change the Operational Problem</w:t>
      </w:r>
    </w:p>
    <w:p>
      <w:pPr>
        <w:spacing w:after="120" w:line="269" w:lineRule="auto"/>
      </w:pPr>
      <w:r>
        <w:rPr>
          <w:i w:val="0"/>
        </w:rPr>
        <w:t>The conditional-content paper supplies a formally independent example of the same principle. An encoder observes a described variable Y and a correlated context V, while another party retains only a noisy copy S=V+U. The paper proves that the optimal conditional-content function is not determined solely by the reduced observable relation between Y and S: access to the clean context V changes the operational problem even when reduced (Y,S) laws can be equivalent up to invertible scaling (Bond, 2026c).</w:t>
      </w:r>
    </w:p>
    <w:p>
      <w:pPr>
        <w:spacing w:after="120" w:line="269" w:lineRule="auto"/>
      </w:pPr>
      <w:r>
        <w:rPr>
          <w:i w:val="0"/>
        </w:rPr>
        <w:t>The cognition thesis does not identify this coding theorem with psychology. Rather, it uses the theorem as an existence proof for a broader structural claim: an observer's access to latent context can change the optimal internal representation even when an external observer sees the same reduced marginal relation. This undermines any theory that assumes behavior is determined solely by externally visible alternatives without modeling the agent's informational access.</w:t>
      </w:r>
    </w:p>
    <w:p>
      <w:pPr>
        <w:pStyle w:val="Heading2"/>
        <w:keepNext/>
      </w:pPr>
      <w:r>
        <w:t>3.3 A General Representation Map</w:t>
      </w:r>
    </w:p>
    <w:p>
      <w:pPr>
        <w:spacing w:after="120" w:line="269" w:lineRule="auto"/>
      </w:pPr>
      <w:r>
        <w:rPr>
          <w:i w:val="0"/>
        </w:rPr>
        <w:t>For the synthesis, introduce an observer/context-dependent representation Φθ,B,c that maps a world state or consequence into an effective cognitive state z:</w:t>
      </w:r>
    </w:p>
    <w:p>
      <w:pPr>
        <w:spacing w:before="120" w:after="160"/>
        <w:jc w:val="center"/>
      </w:pPr>
      <w:r>
        <w:rPr>
          <w:rFonts w:ascii="Cambria Math" w:hAnsi="Cambria Math"/>
          <w:sz w:val="23"/>
        </w:rPr>
        <w:t>z = Φθ,B,c(x),</w:t>
      </w:r>
      <w:r>
        <w:rPr>
          <w:rFonts w:ascii="Cambria" w:hAnsi="Cambria"/>
          <w:sz w:val="20"/>
        </w:rPr>
        <w:t xml:space="preserve">    (3.1)</w:t>
      </w:r>
    </w:p>
    <w:p>
      <w:pPr>
        <w:spacing w:after="120" w:line="269" w:lineRule="auto"/>
      </w:pPr>
      <w:r>
        <w:rPr>
          <w:i w:val="0"/>
        </w:rPr>
        <w:t>where θ denotes learned observer parameters, B a resource budget, and c context. In the simplest local linear case, Φ may reduce to a projection ΠkG¹ᐟ². In a learned system it may be nonlinear and history dependent. The crucial constraint is that Φ must be identified or manipulated independently enough that it cannot be chosen after observing the behavioral outcome. Otherwise the theory becomes too flexible to falsify.</w:t>
      </w:r>
    </w:p>
    <w:p>
      <w:pPr>
        <w:pStyle w:val="Heading2"/>
        <w:keepNext/>
      </w:pPr>
      <w:r>
        <w:t>3.4 Effective Equivalence Classes</w:t>
      </w:r>
    </w:p>
    <w:p>
      <w:pPr>
        <w:spacing w:after="120" w:line="269" w:lineRule="auto"/>
      </w:pPr>
      <w:r>
        <w:rPr>
          <w:i w:val="0"/>
        </w:rPr>
        <w:t>Under finite resolution, cognition partitions the world into equivalence classes of states that are indistinguishable to the observer at the current budget. GET proves this explicitly for rank caps: equality after projection defines equivalence classes that coarsen the unbudgeted distinctions, and increasing nested rank refines the partition (Bond, 2026a). Cognitively, this means a richer representation does not merely add confidence; it can split previously merged categories and thereby change the set of comparisons the agent is capable of making.</w:t>
      </w:r>
    </w:p>
    <w:p>
      <w:pPr>
        <w:pStyle w:val="Heading1"/>
        <w:keepNext/>
      </w:pPr>
      <w:r>
        <w:t>4. Cognition as Bounded Geometric Search</w:t>
      </w:r>
    </w:p>
    <w:p>
      <w:pPr>
        <w:pStyle w:val="Heading2"/>
        <w:keepNext/>
      </w:pPr>
      <w:r>
        <w:t>4.1 From Static Evaluation to Trajectories</w:t>
      </w:r>
    </w:p>
    <w:p>
      <w:pPr>
        <w:spacing w:after="120" w:line="269" w:lineRule="auto"/>
      </w:pPr>
      <w:r>
        <w:rPr>
          <w:i w:val="0"/>
        </w:rPr>
        <w:t>GET supplies a static evaluator: given represented consequences, it produces distances, preferences, and choices. A general theory of cognition needs dynamics. Deliberation unfolds over time, intermediate representations change, evidence is accumulated, and plans are revised. The proposed extension is to treat reasoning as a trajectory γ through an effective state space M rather than as a one-shot evaluation of final alternatives.</w:t>
      </w:r>
    </w:p>
    <w:p>
      <w:pPr>
        <w:spacing w:before="120" w:after="160"/>
        <w:jc w:val="center"/>
      </w:pPr>
      <w:r>
        <w:rPr>
          <w:rFonts w:ascii="Cambria Math" w:hAnsi="Cambria Math"/>
          <w:sz w:val="23"/>
        </w:rPr>
        <w:t>γ:[0,T]→M,      γ(0)=z0,      γ(T)∈Ggoal.</w:t>
      </w:r>
      <w:r>
        <w:rPr>
          <w:rFonts w:ascii="Cambria" w:hAnsi="Cambria"/>
          <w:sz w:val="20"/>
        </w:rPr>
        <w:t xml:space="preserve">    (4.1)</w:t>
      </w:r>
    </w:p>
    <w:p>
      <w:pPr>
        <w:spacing w:after="120" w:line="269" w:lineRule="auto"/>
      </w:pPr>
      <w:r>
        <w:rPr>
          <w:i w:val="0"/>
        </w:rPr>
        <w:t>The path has a cost determined by local cognitive or behavioral geometry. A generic action functional is:</w:t>
      </w:r>
    </w:p>
    <w:p>
      <w:pPr>
        <w:spacing w:before="120" w:after="160"/>
        <w:jc w:val="center"/>
      </w:pPr>
      <w:r>
        <w:rPr>
          <w:rFonts w:ascii="Cambria Math" w:hAnsi="Cambria Math"/>
          <w:sz w:val="23"/>
        </w:rPr>
        <w:t>J[γ] = ∫₀ᵀ L(γ(t), γ̇(t), c(t), B(t)) dt.</w:t>
      </w:r>
      <w:r>
        <w:rPr>
          <w:rFonts w:ascii="Cambria" w:hAnsi="Cambria"/>
          <w:sz w:val="20"/>
        </w:rPr>
        <w:t xml:space="preserve">    (4.2)</w:t>
      </w:r>
    </w:p>
    <w:p>
      <w:pPr>
        <w:spacing w:after="120" w:line="269" w:lineRule="auto"/>
      </w:pPr>
      <w:r>
        <w:rPr>
          <w:i w:val="0"/>
        </w:rPr>
        <w:t>This expression is intentionally more general than geodesic length. It permits local effort, uncertainty, time, risk, information acquisition, and hard constraints to affect the cost of a reasoning trajectory. The simplest special case is metric length; more elaborate models can include potential terms, switching costs, or stochastic dynamics.</w:t>
      </w:r>
    </w:p>
    <w:p>
      <w:pPr>
        <w:pStyle w:val="Heading2"/>
        <w:keepNext/>
      </w:pPr>
      <w:r>
        <w:t>4.2 Bounded Search, Not Literal A*</w:t>
      </w:r>
    </w:p>
    <w:p>
      <w:pPr>
        <w:spacing w:after="120" w:line="269" w:lineRule="auto"/>
      </w:pPr>
      <w:r>
        <w:rPr>
          <w:i w:val="0"/>
        </w:rPr>
        <w:t>Earlier formulations in the broader program used A* as an intuition for moral and decision pathfinding. The present thesis weakens that claim to a form more suitable for empirical cognition. The fundamental proposal is bounded heuristic search, not literal execution of A*. A cognitive system may use beam search, local descent, Monte Carlo sampling, recurrent attractor dynamics, hierarchical planning, learned value functions, or amortized policies. What unifies these mechanisms is that they estimate future cost and prune the enormous space of possible trajectories.</w:t>
      </w:r>
    </w:p>
    <w:p>
      <w:pPr>
        <w:spacing w:before="120" w:after="160"/>
        <w:jc w:val="center"/>
      </w:pPr>
      <w:r>
        <w:rPr>
          <w:rFonts w:ascii="Cambria Math" w:hAnsi="Cambria Math"/>
          <w:sz w:val="23"/>
        </w:rPr>
        <w:t>a_t ~ π(a | z_t, H_t, Ggoal, B_t),      π prefers actions with lower estimated future path cost Ĉ.</w:t>
      </w:r>
      <w:r>
        <w:rPr>
          <w:rFonts w:ascii="Cambria" w:hAnsi="Cambria"/>
          <w:sz w:val="20"/>
        </w:rPr>
        <w:t xml:space="preserve">    (4.3)</w:t>
      </w:r>
    </w:p>
    <w:p>
      <w:pPr>
        <w:spacing w:after="120" w:line="269" w:lineRule="auto"/>
      </w:pPr>
      <w:r>
        <w:rPr>
          <w:i w:val="0"/>
        </w:rPr>
        <w:t>This formulation turns heuristics into a bridge between classical search and learned cognition. A heuristic can be an explicit lower-bound function, a learned value estimate, a policy prior, or a compressed rule acquired through development or evolution. The fundamental object is not the algorithm name but the relationship among representation, geometry, resource constraint, and trajectory selection.</w:t>
      </w:r>
    </w:p>
    <w:p>
      <w:pPr>
        <w:pStyle w:val="Heading2"/>
        <w:keepNext/>
      </w:pPr>
      <w:r>
        <w:t>4.3 Heuristics as Amortized Geometry</w:t>
      </w:r>
    </w:p>
    <w:p>
      <w:pPr>
        <w:spacing w:after="120" w:line="269" w:lineRule="auto"/>
      </w:pPr>
      <w:r>
        <w:rPr>
          <w:i w:val="0"/>
        </w:rPr>
        <w:t>Many cognitive rules that appear symbolic can be reinterpreted as amortized solutions to repeated geometric problems. A rule such as avoid an option under severe ambiguity, preserve a trusted relationship, or reject a dominated plan need not be recomputed from first principles in each instance. It can encode a shortcut toward regions that historically produced lower path cost. This interpretation does not prove any particular heuristic is optimal. It gives a common mathematical role to habits, rules, policies, and learned value functions.</w:t>
      </w:r>
    </w:p>
    <w:p>
      <w:pPr>
        <w:pStyle w:val="Heading2"/>
        <w:keepNext/>
      </w:pPr>
      <w:r>
        <w:t>4.4 Why This Could Be Fundamental</w:t>
      </w:r>
    </w:p>
    <w:p>
      <w:pPr>
        <w:spacing w:after="120" w:line="269" w:lineRule="auto"/>
      </w:pPr>
      <w:r>
        <w:rPr>
          <w:i w:val="0"/>
        </w:rPr>
        <w:t>The proposed dynamic layer is implementation-neutral. A biological brain and a transformer need not share neurons, update rules, memory organization, or training history. They could nevertheless share a structural law: under finite resources, both form task-dependent representations and search them using locally available geometry. A genuinely fundamental result would therefore be an invariant relationship—such as a scaling law, transition criterion, or flip boundary—that recurs across architectures while implementation details differ.</w:t>
      </w:r>
    </w:p>
    <w:p>
      <w:pPr>
        <w:pStyle w:val="Heading1"/>
        <w:keepNext/>
      </w:pPr>
      <w:r>
        <w:t>5. Preference Reversals as Flips</w:t>
      </w:r>
    </w:p>
    <w:p>
      <w:pPr>
        <w:pStyle w:val="Heading2"/>
        <w:keepNext/>
      </w:pPr>
      <w:r>
        <w:t>5.1 The Resolution-Reversal Theorem</w:t>
      </w:r>
    </w:p>
    <w:p>
      <w:pPr>
        <w:spacing w:after="120" w:line="269" w:lineRule="auto"/>
      </w:pPr>
      <w:r>
        <w:rPr>
          <w:i w:val="0"/>
        </w:rPr>
        <w:t>GET already provides a constructive prototype. With a fixed two-dimensional consequence space, identity metric, fixed ideal, and two fixed actions, the preferred action under rank cap 1 becomes the dispreferred action under rank cap 2. The source emphasizes that the evaluator, metric, and ideal do not change; only the number of resolved directions changes (Bond, 2026a). This is exactly the pattern required for an observation-induced preference flip.</w:t>
      </w:r>
    </w:p>
    <w:p>
      <w:pPr>
        <w:pStyle w:val="Heading2"/>
        <w:keepNext/>
      </w:pPr>
      <w:r>
        <w:t>5.2 Preference Margin</w:t>
      </w:r>
    </w:p>
    <w:p>
      <w:pPr>
        <w:spacing w:after="120" w:line="269" w:lineRule="auto"/>
      </w:pPr>
      <w:r>
        <w:rPr>
          <w:i w:val="0"/>
        </w:rPr>
        <w:t>For two fixed alternatives a and b under context c and budget B, define the squared evaluation margin</w:t>
      </w:r>
    </w:p>
    <w:p>
      <w:pPr>
        <w:spacing w:before="120" w:after="160"/>
        <w:jc w:val="center"/>
      </w:pPr>
      <w:r>
        <w:rPr>
          <w:rFonts w:ascii="Cambria Math" w:hAnsi="Cambria Math"/>
          <w:sz w:val="23"/>
        </w:rPr>
        <w:t>Δ(B,c) = d²B,c(a) − d²B,c(b).</w:t>
      </w:r>
      <w:r>
        <w:rPr>
          <w:rFonts w:ascii="Cambria" w:hAnsi="Cambria"/>
          <w:sz w:val="20"/>
        </w:rPr>
        <w:t xml:space="preserve">    (5.1)</w:t>
      </w:r>
    </w:p>
    <w:p>
      <w:pPr>
        <w:spacing w:after="120" w:line="269" w:lineRule="auto"/>
      </w:pPr>
      <w:r>
        <w:rPr>
          <w:i w:val="0"/>
        </w:rPr>
        <w:t>Then a is preferred when Δ&lt;0 and b is preferred when Δ&gt;0. A smooth representation flip occurs when Δ crosses zero as the observer's representation changes continuously. A discontinuous flip occurs when the representation or admissible regime itself jumps, so the evaluator switches to a different effective local problem.</w:t>
      </w:r>
    </w:p>
    <w:p>
      <w:pPr>
        <w:pStyle w:val="Heading2"/>
        <w:keepNext/>
      </w:pPr>
      <w:r>
        <w:t>5.3 A Taxonomy of Reversals</w:t>
      </w:r>
    </w:p>
    <w:tbl>
      <w:tblPr>
        <w:tblStyle w:val="TableGrid"/>
        <w:tblW w:type="auto" w:w="0"/>
        <w:jc w:val="center"/>
        <w:tblLook w:firstColumn="1" w:firstRow="1" w:lastColumn="0" w:lastRow="0" w:noHBand="0" w:noVBand="1" w:val="04A0"/>
      </w:tblPr>
      <w:tblGrid>
        <w:gridCol w:w="2376"/>
        <w:gridCol w:w="2376"/>
        <w:gridCol w:w="2376"/>
        <w:gridCol w:w="2376"/>
      </w:tblGrid>
      <w:tr>
        <w:trPr>
          <w:cantSplit/>
        </w:trPr>
        <w:tc>
          <w:tcPr>
            <w:tcW w:type="dxa" w:w="1728"/>
            <w:shd w:fill="D9E3EA"/>
            <w:vAlign w:val="center"/>
            <w:tcMar>
              <w:top w:w="120" w:type="dxa"/>
              <w:start w:w="120" w:type="dxa"/>
              <w:bottom w:w="120" w:type="dxa"/>
              <w:end w:w="120" w:type="dxa"/>
            </w:tcMar>
          </w:tcPr>
          <w:p>
            <w:r>
              <w:rPr>
                <w:b/>
                <w:sz w:val="18"/>
              </w:rPr>
              <w:t>Mechanism</w:t>
            </w:r>
          </w:p>
        </w:tc>
        <w:tc>
          <w:tcPr>
            <w:tcW w:type="dxa" w:w="2088"/>
            <w:shd w:fill="D9E3EA"/>
            <w:vAlign w:val="center"/>
            <w:tcMar>
              <w:top w:w="120" w:type="dxa"/>
              <w:start w:w="120" w:type="dxa"/>
              <w:bottom w:w="120" w:type="dxa"/>
              <w:end w:w="120" w:type="dxa"/>
            </w:tcMar>
          </w:tcPr>
          <w:p>
            <w:r>
              <w:rPr>
                <w:b/>
                <w:sz w:val="18"/>
              </w:rPr>
              <w:t>What changes</w:t>
            </w:r>
          </w:p>
        </w:tc>
        <w:tc>
          <w:tcPr>
            <w:tcW w:type="dxa" w:w="2376"/>
            <w:shd w:fill="D9E3EA"/>
            <w:vAlign w:val="center"/>
            <w:tcMar>
              <w:top w:w="120" w:type="dxa"/>
              <w:start w:w="120" w:type="dxa"/>
              <w:bottom w:w="120" w:type="dxa"/>
              <w:end w:w="120" w:type="dxa"/>
            </w:tcMar>
          </w:tcPr>
          <w:p>
            <w:r>
              <w:rPr>
                <w:b/>
                <w:sz w:val="18"/>
              </w:rPr>
              <w:t>What stays fixed</w:t>
            </w:r>
          </w:p>
        </w:tc>
        <w:tc>
          <w:tcPr>
            <w:tcW w:type="dxa" w:w="2880"/>
            <w:shd w:fill="D9E3EA"/>
            <w:vAlign w:val="center"/>
            <w:tcMar>
              <w:top w:w="120" w:type="dxa"/>
              <w:start w:w="120" w:type="dxa"/>
              <w:bottom w:w="120" w:type="dxa"/>
              <w:end w:w="120" w:type="dxa"/>
            </w:tcMar>
          </w:tcPr>
          <w:p>
            <w:r>
              <w:rPr>
                <w:b/>
                <w:sz w:val="18"/>
              </w:rPr>
              <w:t>Empirical signature</w:t>
            </w:r>
          </w:p>
        </w:tc>
      </w:tr>
      <w:tr>
        <w:trPr>
          <w:cantSplit/>
        </w:trPr>
        <w:tc>
          <w:tcPr>
            <w:tcW w:type="dxa" w:w="1728"/>
            <w:vAlign w:val="center"/>
            <w:tcMar>
              <w:top w:w="110" w:type="dxa"/>
              <w:start w:w="120" w:type="dxa"/>
              <w:bottom w:w="110" w:type="dxa"/>
              <w:end w:w="120" w:type="dxa"/>
            </w:tcMar>
          </w:tcPr>
          <w:p>
            <w:pPr>
              <w:spacing w:after="0"/>
            </w:pPr>
            <w:r>
              <w:rPr>
                <w:sz w:val="18"/>
              </w:rPr>
              <w:t>Representation flip</w:t>
            </w:r>
          </w:p>
        </w:tc>
        <w:tc>
          <w:tcPr>
            <w:tcW w:type="dxa" w:w="2088"/>
            <w:vAlign w:val="center"/>
            <w:tcMar>
              <w:top w:w="110" w:type="dxa"/>
              <w:start w:w="120" w:type="dxa"/>
              <w:bottom w:w="110" w:type="dxa"/>
              <w:end w:w="120" w:type="dxa"/>
            </w:tcMar>
          </w:tcPr>
          <w:p>
            <w:pPr>
              <w:spacing w:after="0"/>
            </w:pPr>
            <w:r>
              <w:rPr>
                <w:sz w:val="18"/>
              </w:rPr>
              <w:t>Φ or retained subspace</w:t>
            </w:r>
          </w:p>
        </w:tc>
        <w:tc>
          <w:tcPr>
            <w:tcW w:type="dxa" w:w="2376"/>
            <w:vAlign w:val="center"/>
            <w:tcMar>
              <w:top w:w="110" w:type="dxa"/>
              <w:start w:w="120" w:type="dxa"/>
              <w:bottom w:w="110" w:type="dxa"/>
              <w:end w:w="120" w:type="dxa"/>
            </w:tcMar>
          </w:tcPr>
          <w:p>
            <w:pPr>
              <w:spacing w:after="0"/>
            </w:pPr>
            <w:r>
              <w:rPr>
                <w:sz w:val="18"/>
              </w:rPr>
              <w:t>Underlying external alternatives; possibly G and t</w:t>
            </w:r>
          </w:p>
        </w:tc>
        <w:tc>
          <w:tcPr>
            <w:tcW w:type="dxa" w:w="2880"/>
            <w:vAlign w:val="center"/>
            <w:tcMar>
              <w:top w:w="110" w:type="dxa"/>
              <w:start w:w="120" w:type="dxa"/>
              <w:bottom w:w="110" w:type="dxa"/>
              <w:end w:w="120" w:type="dxa"/>
            </w:tcMar>
          </w:tcPr>
          <w:p>
            <w:pPr>
              <w:spacing w:after="0"/>
            </w:pPr>
            <w:r>
              <w:rPr>
                <w:sz w:val="18"/>
              </w:rPr>
              <w:t>Reversal tracks manipulated resolution or accessible context.</w:t>
            </w:r>
          </w:p>
        </w:tc>
      </w:tr>
      <w:tr>
        <w:trPr>
          <w:cantSplit/>
        </w:trPr>
        <w:tc>
          <w:tcPr>
            <w:tcW w:type="dxa" w:w="1728"/>
            <w:vAlign w:val="center"/>
            <w:tcMar>
              <w:top w:w="110" w:type="dxa"/>
              <w:start w:w="120" w:type="dxa"/>
              <w:bottom w:w="110" w:type="dxa"/>
              <w:end w:w="120" w:type="dxa"/>
            </w:tcMar>
          </w:tcPr>
          <w:p>
            <w:pPr>
              <w:spacing w:after="0"/>
            </w:pPr>
            <w:r>
              <w:rPr>
                <w:sz w:val="18"/>
              </w:rPr>
              <w:t>Metric flip</w:t>
            </w:r>
          </w:p>
        </w:tc>
        <w:tc>
          <w:tcPr>
            <w:tcW w:type="dxa" w:w="2088"/>
            <w:vAlign w:val="center"/>
            <w:tcMar>
              <w:top w:w="110" w:type="dxa"/>
              <w:start w:w="120" w:type="dxa"/>
              <w:bottom w:w="110" w:type="dxa"/>
              <w:end w:w="120" w:type="dxa"/>
            </w:tcMar>
          </w:tcPr>
          <w:p>
            <w:pPr>
              <w:spacing w:after="0"/>
            </w:pPr>
            <w:r>
              <w:rPr>
                <w:sz w:val="18"/>
              </w:rPr>
              <w:t>G</w:t>
            </w:r>
          </w:p>
        </w:tc>
        <w:tc>
          <w:tcPr>
            <w:tcW w:type="dxa" w:w="2376"/>
            <w:vAlign w:val="center"/>
            <w:tcMar>
              <w:top w:w="110" w:type="dxa"/>
              <w:start w:w="120" w:type="dxa"/>
              <w:bottom w:w="110" w:type="dxa"/>
              <w:end w:w="120" w:type="dxa"/>
            </w:tcMar>
          </w:tcPr>
          <w:p>
            <w:pPr>
              <w:spacing w:after="0"/>
            </w:pPr>
            <w:r>
              <w:rPr>
                <w:sz w:val="18"/>
              </w:rPr>
              <w:t>Representation and reference</w:t>
            </w:r>
          </w:p>
        </w:tc>
        <w:tc>
          <w:tcPr>
            <w:tcW w:type="dxa" w:w="2880"/>
            <w:vAlign w:val="center"/>
            <w:tcMar>
              <w:top w:w="110" w:type="dxa"/>
              <w:start w:w="120" w:type="dxa"/>
              <w:bottom w:w="110" w:type="dxa"/>
              <w:end w:w="120" w:type="dxa"/>
            </w:tcMar>
          </w:tcPr>
          <w:p>
            <w:pPr>
              <w:spacing w:after="0"/>
            </w:pPr>
            <w:r>
              <w:rPr>
                <w:sz w:val="18"/>
              </w:rPr>
              <w:t>Sensitivity weights change; distances reorganize even with fixed features.</w:t>
            </w:r>
          </w:p>
        </w:tc>
      </w:tr>
      <w:tr>
        <w:trPr>
          <w:cantSplit/>
        </w:trPr>
        <w:tc>
          <w:tcPr>
            <w:tcW w:type="dxa" w:w="1728"/>
            <w:vAlign w:val="center"/>
            <w:tcMar>
              <w:top w:w="110" w:type="dxa"/>
              <w:start w:w="120" w:type="dxa"/>
              <w:bottom w:w="110" w:type="dxa"/>
              <w:end w:w="120" w:type="dxa"/>
            </w:tcMar>
          </w:tcPr>
          <w:p>
            <w:pPr>
              <w:spacing w:after="0"/>
            </w:pPr>
            <w:r>
              <w:rPr>
                <w:sz w:val="18"/>
              </w:rPr>
              <w:t>Reference flip</w:t>
            </w:r>
          </w:p>
        </w:tc>
        <w:tc>
          <w:tcPr>
            <w:tcW w:type="dxa" w:w="2088"/>
            <w:vAlign w:val="center"/>
            <w:tcMar>
              <w:top w:w="110" w:type="dxa"/>
              <w:start w:w="120" w:type="dxa"/>
              <w:bottom w:w="110" w:type="dxa"/>
              <w:end w:w="120" w:type="dxa"/>
            </w:tcMar>
          </w:tcPr>
          <w:p>
            <w:pPr>
              <w:spacing w:after="0"/>
            </w:pPr>
            <w:r>
              <w:rPr>
                <w:sz w:val="18"/>
              </w:rPr>
              <w:t>t</w:t>
            </w:r>
          </w:p>
        </w:tc>
        <w:tc>
          <w:tcPr>
            <w:tcW w:type="dxa" w:w="2376"/>
            <w:vAlign w:val="center"/>
            <w:tcMar>
              <w:top w:w="110" w:type="dxa"/>
              <w:start w:w="120" w:type="dxa"/>
              <w:bottom w:w="110" w:type="dxa"/>
              <w:end w:w="120" w:type="dxa"/>
            </w:tcMar>
          </w:tcPr>
          <w:p>
            <w:pPr>
              <w:spacing w:after="0"/>
            </w:pPr>
            <w:r>
              <w:rPr>
                <w:sz w:val="18"/>
              </w:rPr>
              <w:t>Representation and metric</w:t>
            </w:r>
          </w:p>
        </w:tc>
        <w:tc>
          <w:tcPr>
            <w:tcW w:type="dxa" w:w="2880"/>
            <w:vAlign w:val="center"/>
            <w:tcMar>
              <w:top w:w="110" w:type="dxa"/>
              <w:start w:w="120" w:type="dxa"/>
              <w:bottom w:w="110" w:type="dxa"/>
              <w:end w:w="120" w:type="dxa"/>
            </w:tcMar>
          </w:tcPr>
          <w:p>
            <w:pPr>
              <w:spacing w:after="0"/>
            </w:pPr>
            <w:r>
              <w:rPr>
                <w:sz w:val="18"/>
              </w:rPr>
              <w:t>Ordering changes because the comparison origin changes.</w:t>
            </w:r>
          </w:p>
        </w:tc>
      </w:tr>
      <w:tr>
        <w:trPr>
          <w:cantSplit/>
        </w:trPr>
        <w:tc>
          <w:tcPr>
            <w:tcW w:type="dxa" w:w="1728"/>
            <w:vAlign w:val="center"/>
            <w:tcMar>
              <w:top w:w="110" w:type="dxa"/>
              <w:start w:w="120" w:type="dxa"/>
              <w:bottom w:w="110" w:type="dxa"/>
              <w:end w:w="120" w:type="dxa"/>
            </w:tcMar>
          </w:tcPr>
          <w:p>
            <w:pPr>
              <w:spacing w:after="0"/>
            </w:pPr>
            <w:r>
              <w:rPr>
                <w:sz w:val="18"/>
              </w:rPr>
              <w:t>Admissibility flip</w:t>
            </w:r>
          </w:p>
        </w:tc>
        <w:tc>
          <w:tcPr>
            <w:tcW w:type="dxa" w:w="2088"/>
            <w:vAlign w:val="center"/>
            <w:tcMar>
              <w:top w:w="110" w:type="dxa"/>
              <w:start w:w="120" w:type="dxa"/>
              <w:bottom w:w="110" w:type="dxa"/>
              <w:end w:w="120" w:type="dxa"/>
            </w:tcMar>
          </w:tcPr>
          <w:p>
            <w:pPr>
              <w:spacing w:after="0"/>
            </w:pPr>
            <w:r>
              <w:rPr>
                <w:sz w:val="18"/>
              </w:rPr>
              <w:t>K</w:t>
            </w:r>
          </w:p>
        </w:tc>
        <w:tc>
          <w:tcPr>
            <w:tcW w:type="dxa" w:w="2376"/>
            <w:vAlign w:val="center"/>
            <w:tcMar>
              <w:top w:w="110" w:type="dxa"/>
              <w:start w:w="120" w:type="dxa"/>
              <w:bottom w:w="110" w:type="dxa"/>
              <w:end w:w="120" w:type="dxa"/>
            </w:tcMar>
          </w:tcPr>
          <w:p>
            <w:pPr>
              <w:spacing w:after="0"/>
            </w:pPr>
            <w:r>
              <w:rPr>
                <w:sz w:val="18"/>
              </w:rPr>
              <w:t>Metric ranking may remain unchanged</w:t>
            </w:r>
          </w:p>
        </w:tc>
        <w:tc>
          <w:tcPr>
            <w:tcW w:type="dxa" w:w="2880"/>
            <w:vAlign w:val="center"/>
            <w:tcMar>
              <w:top w:w="110" w:type="dxa"/>
              <w:start w:w="120" w:type="dxa"/>
              <w:bottom w:w="110" w:type="dxa"/>
              <w:end w:w="120" w:type="dxa"/>
            </w:tcMar>
          </w:tcPr>
          <w:p>
            <w:pPr>
              <w:spacing w:after="0"/>
            </w:pPr>
            <w:r>
              <w:rPr>
                <w:sz w:val="18"/>
              </w:rPr>
              <w:t>An option becomes unavailable or normatively excluded; WARP-type patterns may appear.</w:t>
            </w:r>
          </w:p>
        </w:tc>
      </w:tr>
      <w:tr>
        <w:trPr>
          <w:cantSplit/>
        </w:trPr>
        <w:tc>
          <w:tcPr>
            <w:tcW w:type="dxa" w:w="1728"/>
            <w:vAlign w:val="center"/>
            <w:tcMar>
              <w:top w:w="110" w:type="dxa"/>
              <w:start w:w="120" w:type="dxa"/>
              <w:bottom w:w="110" w:type="dxa"/>
              <w:end w:w="120" w:type="dxa"/>
            </w:tcMar>
          </w:tcPr>
          <w:p>
            <w:pPr>
              <w:spacing w:after="0"/>
            </w:pPr>
            <w:r>
              <w:rPr>
                <w:sz w:val="18"/>
              </w:rPr>
              <w:t>Search flip</w:t>
            </w:r>
          </w:p>
        </w:tc>
        <w:tc>
          <w:tcPr>
            <w:tcW w:type="dxa" w:w="2088"/>
            <w:vAlign w:val="center"/>
            <w:tcMar>
              <w:top w:w="110" w:type="dxa"/>
              <w:start w:w="120" w:type="dxa"/>
              <w:bottom w:w="110" w:type="dxa"/>
              <w:end w:w="120" w:type="dxa"/>
            </w:tcMar>
          </w:tcPr>
          <w:p>
            <w:pPr>
              <w:spacing w:after="0"/>
            </w:pPr>
            <w:r>
              <w:rPr>
                <w:sz w:val="18"/>
              </w:rPr>
              <w:t>π or search horizon</w:t>
            </w:r>
          </w:p>
        </w:tc>
        <w:tc>
          <w:tcPr>
            <w:tcW w:type="dxa" w:w="2376"/>
            <w:vAlign w:val="center"/>
            <w:tcMar>
              <w:top w:w="110" w:type="dxa"/>
              <w:start w:w="120" w:type="dxa"/>
              <w:bottom w:w="110" w:type="dxa"/>
              <w:end w:w="120" w:type="dxa"/>
            </w:tcMar>
          </w:tcPr>
          <w:p>
            <w:pPr>
              <w:spacing w:after="0"/>
            </w:pPr>
            <w:r>
              <w:rPr>
                <w:sz w:val="18"/>
              </w:rPr>
              <w:t>Representation and geometry</w:t>
            </w:r>
          </w:p>
        </w:tc>
        <w:tc>
          <w:tcPr>
            <w:tcW w:type="dxa" w:w="2880"/>
            <w:vAlign w:val="center"/>
            <w:tcMar>
              <w:top w:w="110" w:type="dxa"/>
              <w:start w:w="120" w:type="dxa"/>
              <w:bottom w:w="110" w:type="dxa"/>
              <w:end w:w="120" w:type="dxa"/>
            </w:tcMar>
          </w:tcPr>
          <w:p>
            <w:pPr>
              <w:spacing w:after="0"/>
            </w:pPr>
            <w:r>
              <w:rPr>
                <w:sz w:val="18"/>
              </w:rPr>
              <w:t>Different local minimum or path is reached under time/compute limits.</w:t>
            </w:r>
          </w:p>
        </w:tc>
      </w:tr>
      <w:tr>
        <w:trPr>
          <w:cantSplit/>
        </w:trPr>
        <w:tc>
          <w:tcPr>
            <w:tcW w:type="dxa" w:w="1728"/>
            <w:vAlign w:val="center"/>
            <w:tcMar>
              <w:top w:w="110" w:type="dxa"/>
              <w:start w:w="120" w:type="dxa"/>
              <w:bottom w:w="110" w:type="dxa"/>
              <w:end w:w="120" w:type="dxa"/>
            </w:tcMar>
          </w:tcPr>
          <w:p>
            <w:pPr>
              <w:spacing w:after="0"/>
            </w:pPr>
            <w:r>
              <w:rPr>
                <w:sz w:val="18"/>
              </w:rPr>
              <w:t>Stratum flip</w:t>
            </w:r>
          </w:p>
        </w:tc>
        <w:tc>
          <w:tcPr>
            <w:tcW w:type="dxa" w:w="2088"/>
            <w:vAlign w:val="center"/>
            <w:tcMar>
              <w:top w:w="110" w:type="dxa"/>
              <w:start w:w="120" w:type="dxa"/>
              <w:bottom w:w="110" w:type="dxa"/>
              <w:end w:w="120" w:type="dxa"/>
            </w:tcMar>
          </w:tcPr>
          <w:p>
            <w:pPr>
              <w:spacing w:after="0"/>
            </w:pPr>
            <w:r>
              <w:rPr>
                <w:sz w:val="18"/>
              </w:rPr>
              <w:t>Local regime / chart / active constraints</w:t>
            </w:r>
          </w:p>
        </w:tc>
        <w:tc>
          <w:tcPr>
            <w:tcW w:type="dxa" w:w="2376"/>
            <w:vAlign w:val="center"/>
            <w:tcMar>
              <w:top w:w="110" w:type="dxa"/>
              <w:start w:w="120" w:type="dxa"/>
              <w:bottom w:w="110" w:type="dxa"/>
              <w:end w:w="120" w:type="dxa"/>
            </w:tcMar>
          </w:tcPr>
          <w:p>
            <w:pPr>
              <w:spacing w:after="0"/>
            </w:pPr>
            <w:r>
              <w:rPr>
                <w:sz w:val="18"/>
              </w:rPr>
              <w:t>May preserve high-level observer identity</w:t>
            </w:r>
          </w:p>
        </w:tc>
        <w:tc>
          <w:tcPr>
            <w:tcW w:type="dxa" w:w="2880"/>
            <w:vAlign w:val="center"/>
            <w:tcMar>
              <w:top w:w="110" w:type="dxa"/>
              <w:start w:w="120" w:type="dxa"/>
              <w:bottom w:w="110" w:type="dxa"/>
              <w:end w:w="120" w:type="dxa"/>
            </w:tcMar>
          </w:tcPr>
          <w:p>
            <w:pPr>
              <w:spacing w:after="0"/>
            </w:pPr>
            <w:r>
              <w:rPr>
                <w:sz w:val="18"/>
              </w:rPr>
              <w:t>Coordinated discontinuity across choice, latency, confidence, and internal representation.</w:t>
            </w:r>
          </w:p>
        </w:tc>
      </w:tr>
    </w:tbl>
    <w:p>
      <w:pPr>
        <w:spacing w:after="40"/>
      </w:pPr>
    </w:p>
    <w:p>
      <w:pPr>
        <w:spacing w:after="120" w:line="269" w:lineRule="auto"/>
      </w:pPr>
      <w:r>
        <w:rPr>
          <w:i w:val="0"/>
        </w:rPr>
        <w:t>This taxonomy is important because superficially identical behavioral reversals need not have the same cause. A fundamental theory should discriminate among mechanisms, not merely redescribe every reversal geometrically after the fact.</w:t>
      </w:r>
    </w:p>
    <w:p>
      <w:pPr>
        <w:pStyle w:val="Heading2"/>
        <w:keepNext/>
      </w:pPr>
      <w:r>
        <w:t>5.4 Whitney Stratification as a Candidate Regime Model</w:t>
      </w:r>
    </w:p>
    <w:p>
      <w:pPr>
        <w:spacing w:after="120" w:line="269" w:lineRule="auto"/>
      </w:pPr>
      <w:r>
        <w:rPr>
          <w:i w:val="0"/>
        </w:rPr>
        <w:t>The strongest version of the program proposes that the cognitive state space is not globally smooth. Instead, it may be decomposed into smooth strata joined along lower-dimensional boundaries. Whitney stratification is a mathematically controlled way to express such a space. In this thesis, that is a hypothesis, not an established property of cognition. Its attraction is that it can represent both continuous variation within a regime and qualitative reorganization when an agent changes category, interpretation, constraint set, or strategy.</w:t>
      </w:r>
    </w:p>
    <w:p>
      <w:pPr>
        <w:spacing w:before="120" w:after="160"/>
        <w:jc w:val="center"/>
      </w:pPr>
      <w:r>
        <w:rPr>
          <w:rFonts w:ascii="Cambria Math" w:hAnsi="Cambria Math"/>
          <w:sz w:val="23"/>
        </w:rPr>
        <w:t>M = ⨆α Sα,</w:t>
      </w:r>
      <w:r>
        <w:rPr>
          <w:rFonts w:ascii="Cambria" w:hAnsi="Cambria"/>
          <w:sz w:val="20"/>
        </w:rPr>
        <w:t xml:space="preserve">    (5.2)</w:t>
      </w:r>
    </w:p>
    <w:p>
      <w:pPr>
        <w:spacing w:after="120" w:line="269" w:lineRule="auto"/>
      </w:pPr>
      <w:r>
        <w:rPr>
          <w:i w:val="0"/>
        </w:rPr>
        <w:t>A meaningful empirical claim requires more than observing a behavioral discontinuity. The theory must predict something about the local geometry near a boundary: for example, how representational tangent directions collapse or reorganize, how trajectories approach the boundary, or which observables change together. Otherwise the word stratification adds vocabulary without additional content.</w:t>
      </w:r>
    </w:p>
    <w:p>
      <w:pPr>
        <w:pStyle w:val="Heading2"/>
        <w:keepNext/>
      </w:pPr>
      <w:r>
        <w:t>5.5 The Strong Experimental Prediction</w:t>
      </w:r>
    </w:p>
    <w:tbl>
      <w:tblPr>
        <w:tblW w:type="auto" w:w="0"/>
        <w:jc w:val="center"/>
        <w:tblLayout w:type="fixed"/>
        <w:tblLook w:firstColumn="1" w:firstRow="1" w:lastColumn="0" w:lastRow="0" w:noHBand="0" w:noVBand="1" w:val="04A0"/>
      </w:tblPr>
      <w:tblGrid>
        <w:gridCol w:w="8928"/>
      </w:tblGrid>
      <w:tr>
        <w:trPr>
          <w:cantSplit/>
        </w:trPr>
        <w:tc>
          <w:tcPr>
            <w:tcW w:type="dxa" w:w="9504"/>
            <w:shd w:fill="EEF3F7"/>
            <w:tcMar>
              <w:top w:w="180" w:type="dxa"/>
              <w:start w:w="220" w:type="dxa"/>
              <w:bottom w:w="180" w:type="dxa"/>
              <w:end w:w="220" w:type="dxa"/>
            </w:tcMar>
          </w:tcPr>
          <w:p>
            <w:r>
              <w:rPr>
                <w:rFonts w:ascii="Cambria" w:hAnsi="Cambria"/>
                <w:b/>
                <w:color w:val="1F384E"/>
                <w:sz w:val="21"/>
              </w:rPr>
              <w:t>Predicted flip experiment</w:t>
            </w:r>
            <w:r>
              <w:br/>
              <w:t>Hold the external alternatives, evaluator-relevant stakes, and reference fixed. Manipulate only the observer's representational resolution or accessible context. Predict in advance which consequence direction enters or leaves the effective representation and where Δ(B,c) changes sign. The theory predicts reversals only for pairs that trade resolved against unresolved directions, not for pairs that differ solely within the retained subspace.</w:t>
            </w:r>
          </w:p>
        </w:tc>
      </w:tr>
    </w:tbl>
    <w:p>
      <w:pPr>
        <w:spacing w:after="40"/>
      </w:pPr>
    </w:p>
    <w:p>
      <w:pPr>
        <w:pStyle w:val="Heading1"/>
        <w:keepNext/>
      </w:pPr>
      <w:r>
        <w:t>6. Existing Evidence: What the Program Already Supports</w:t>
      </w:r>
    </w:p>
    <w:p>
      <w:pPr>
        <w:pStyle w:val="Heading2"/>
        <w:keepNext/>
      </w:pPr>
      <w:r>
        <w:t>6.1 Proven Structure in Geometric Evaluation Theory</w:t>
      </w:r>
    </w:p>
    <w:p>
      <w:pPr>
        <w:spacing w:after="120" w:line="269" w:lineRule="auto"/>
      </w:pPr>
      <w:r>
        <w:rPr>
          <w:i w:val="0"/>
        </w:rPr>
        <w:t>GET is already more than a metaphor because it contains formal results with explicit status labels. The source reports as proved: induced equivalence relations under unbudgeted and rank-limited evaluation; semiorder structure under finite length or rate tolerance; representation conditions; metric/ideal identification under stated conditions; resolution reversal; shared-representation regret; and menu-dependent admissibility violations of revealed preference. The same source explicitly does not claim that a human evaluator has a measured budget. That boundary should be preserved in the cognitive thesis (Bond, 2026a).</w:t>
      </w:r>
    </w:p>
    <w:tbl>
      <w:tblPr>
        <w:tblStyle w:val="TableGrid"/>
        <w:tblW w:type="auto" w:w="0"/>
        <w:jc w:val="center"/>
        <w:tblLook w:firstColumn="1" w:firstRow="1" w:lastColumn="0" w:lastRow="0" w:noHBand="0" w:noVBand="1" w:val="04A0"/>
      </w:tblPr>
      <w:tblGrid>
        <w:gridCol w:w="3168"/>
        <w:gridCol w:w="3168"/>
        <w:gridCol w:w="3168"/>
      </w:tblGrid>
      <w:tr>
        <w:trPr>
          <w:cantSplit/>
        </w:trPr>
        <w:tc>
          <w:tcPr>
            <w:tcW w:type="dxa" w:w="2304"/>
            <w:shd w:fill="D9E3EA"/>
            <w:vAlign w:val="center"/>
            <w:tcMar>
              <w:top w:w="120" w:type="dxa"/>
              <w:start w:w="120" w:type="dxa"/>
              <w:bottom w:w="120" w:type="dxa"/>
              <w:end w:w="120" w:type="dxa"/>
            </w:tcMar>
          </w:tcPr>
          <w:p>
            <w:r>
              <w:rPr>
                <w:b/>
                <w:sz w:val="18"/>
              </w:rPr>
              <w:t>Component</w:t>
            </w:r>
          </w:p>
        </w:tc>
        <w:tc>
          <w:tcPr>
            <w:tcW w:type="dxa" w:w="1944"/>
            <w:shd w:fill="D9E3EA"/>
            <w:vAlign w:val="center"/>
            <w:tcMar>
              <w:top w:w="120" w:type="dxa"/>
              <w:start w:w="120" w:type="dxa"/>
              <w:bottom w:w="120" w:type="dxa"/>
              <w:end w:w="120" w:type="dxa"/>
            </w:tcMar>
          </w:tcPr>
          <w:p>
            <w:r>
              <w:rPr>
                <w:b/>
                <w:sz w:val="18"/>
              </w:rPr>
              <w:t>Status in source program</w:t>
            </w:r>
          </w:p>
        </w:tc>
        <w:tc>
          <w:tcPr>
            <w:tcW w:type="dxa" w:w="4608"/>
            <w:shd w:fill="D9E3EA"/>
            <w:vAlign w:val="center"/>
            <w:tcMar>
              <w:top w:w="120" w:type="dxa"/>
              <w:start w:w="120" w:type="dxa"/>
              <w:bottom w:w="120" w:type="dxa"/>
              <w:end w:w="120" w:type="dxa"/>
            </w:tcMar>
          </w:tcPr>
          <w:p>
            <w:r>
              <w:rPr>
                <w:b/>
                <w:sz w:val="18"/>
              </w:rPr>
              <w:t>Relevance to cognition</w:t>
            </w:r>
          </w:p>
        </w:tc>
      </w:tr>
      <w:tr>
        <w:trPr>
          <w:cantSplit/>
        </w:trPr>
        <w:tc>
          <w:tcPr>
            <w:tcW w:type="dxa" w:w="2304"/>
            <w:vAlign w:val="center"/>
            <w:tcMar>
              <w:top w:w="110" w:type="dxa"/>
              <w:start w:w="120" w:type="dxa"/>
              <w:bottom w:w="110" w:type="dxa"/>
              <w:end w:w="120" w:type="dxa"/>
            </w:tcMar>
          </w:tcPr>
          <w:p>
            <w:pPr>
              <w:spacing w:after="0"/>
            </w:pPr>
            <w:r>
              <w:rPr>
                <w:sz w:val="18"/>
              </w:rPr>
              <w:t>Evaluation object E=(X,A,C,G,B,K)</w:t>
            </w:r>
          </w:p>
        </w:tc>
        <w:tc>
          <w:tcPr>
            <w:tcW w:type="dxa" w:w="1944"/>
            <w:vAlign w:val="center"/>
            <w:tcMar>
              <w:top w:w="110" w:type="dxa"/>
              <w:start w:w="120" w:type="dxa"/>
              <w:bottom w:w="110" w:type="dxa"/>
              <w:end w:w="120" w:type="dxa"/>
            </w:tcMar>
          </w:tcPr>
          <w:p>
            <w:pPr>
              <w:spacing w:after="0"/>
            </w:pPr>
            <w:r>
              <w:rPr>
                <w:sz w:val="18"/>
              </w:rPr>
              <w:t>Defined</w:t>
            </w:r>
          </w:p>
        </w:tc>
        <w:tc>
          <w:tcPr>
            <w:tcW w:type="dxa" w:w="4608"/>
            <w:vAlign w:val="center"/>
            <w:tcMar>
              <w:top w:w="110" w:type="dxa"/>
              <w:start w:w="120" w:type="dxa"/>
              <w:bottom w:w="110" w:type="dxa"/>
              <w:end w:w="120" w:type="dxa"/>
            </w:tcMar>
          </w:tcPr>
          <w:p>
            <w:pPr>
              <w:spacing w:after="0"/>
            </w:pPr>
            <w:r>
              <w:rPr>
                <w:sz w:val="18"/>
              </w:rPr>
              <w:t>Provides the static cognitive grammar.</w:t>
            </w:r>
          </w:p>
        </w:tc>
      </w:tr>
      <w:tr>
        <w:trPr>
          <w:cantSplit/>
        </w:trPr>
        <w:tc>
          <w:tcPr>
            <w:tcW w:type="dxa" w:w="2304"/>
            <w:vAlign w:val="center"/>
            <w:tcMar>
              <w:top w:w="110" w:type="dxa"/>
              <w:start w:w="120" w:type="dxa"/>
              <w:bottom w:w="110" w:type="dxa"/>
              <w:end w:w="120" w:type="dxa"/>
            </w:tcMar>
          </w:tcPr>
          <w:p>
            <w:pPr>
              <w:spacing w:after="0"/>
            </w:pPr>
            <w:r>
              <w:rPr>
                <w:sz w:val="18"/>
              </w:rPr>
              <w:t>Budgeted equivalence classes</w:t>
            </w:r>
          </w:p>
        </w:tc>
        <w:tc>
          <w:tcPr>
            <w:tcW w:type="dxa" w:w="1944"/>
            <w:vAlign w:val="center"/>
            <w:tcMar>
              <w:top w:w="110" w:type="dxa"/>
              <w:start w:w="120" w:type="dxa"/>
              <w:bottom w:w="110" w:type="dxa"/>
              <w:end w:w="120" w:type="dxa"/>
            </w:tcMar>
          </w:tcPr>
          <w:p>
            <w:pPr>
              <w:spacing w:after="0"/>
            </w:pPr>
            <w:r>
              <w:rPr>
                <w:sz w:val="18"/>
              </w:rPr>
              <w:t>Proved</w:t>
            </w:r>
          </w:p>
        </w:tc>
        <w:tc>
          <w:tcPr>
            <w:tcW w:type="dxa" w:w="4608"/>
            <w:vAlign w:val="center"/>
            <w:tcMar>
              <w:top w:w="110" w:type="dxa"/>
              <w:start w:w="120" w:type="dxa"/>
              <w:bottom w:w="110" w:type="dxa"/>
              <w:end w:w="120" w:type="dxa"/>
            </w:tcMar>
          </w:tcPr>
          <w:p>
            <w:pPr>
              <w:spacing w:after="0"/>
            </w:pPr>
            <w:r>
              <w:rPr>
                <w:sz w:val="18"/>
              </w:rPr>
              <w:t>Finite resolution changes what distinctions exist.</w:t>
            </w:r>
          </w:p>
        </w:tc>
      </w:tr>
      <w:tr>
        <w:trPr>
          <w:cantSplit/>
        </w:trPr>
        <w:tc>
          <w:tcPr>
            <w:tcW w:type="dxa" w:w="2304"/>
            <w:vAlign w:val="center"/>
            <w:tcMar>
              <w:top w:w="110" w:type="dxa"/>
              <w:start w:w="120" w:type="dxa"/>
              <w:bottom w:w="110" w:type="dxa"/>
              <w:end w:w="120" w:type="dxa"/>
            </w:tcMar>
          </w:tcPr>
          <w:p>
            <w:pPr>
              <w:spacing w:after="0"/>
            </w:pPr>
            <w:r>
              <w:rPr>
                <w:sz w:val="18"/>
              </w:rPr>
              <w:t>Semiorder threshold equals budget</w:t>
            </w:r>
          </w:p>
        </w:tc>
        <w:tc>
          <w:tcPr>
            <w:tcW w:type="dxa" w:w="1944"/>
            <w:vAlign w:val="center"/>
            <w:tcMar>
              <w:top w:w="110" w:type="dxa"/>
              <w:start w:w="120" w:type="dxa"/>
              <w:bottom w:w="110" w:type="dxa"/>
              <w:end w:w="120" w:type="dxa"/>
            </w:tcMar>
          </w:tcPr>
          <w:p>
            <w:pPr>
              <w:spacing w:after="0"/>
            </w:pPr>
            <w:r>
              <w:rPr>
                <w:sz w:val="18"/>
              </w:rPr>
              <w:t>Proved</w:t>
            </w:r>
          </w:p>
        </w:tc>
        <w:tc>
          <w:tcPr>
            <w:tcW w:type="dxa" w:w="4608"/>
            <w:vAlign w:val="center"/>
            <w:tcMar>
              <w:top w:w="110" w:type="dxa"/>
              <w:start w:w="120" w:type="dxa"/>
              <w:bottom w:w="110" w:type="dxa"/>
              <w:end w:w="120" w:type="dxa"/>
            </w:tcMar>
          </w:tcPr>
          <w:p>
            <w:pPr>
              <w:spacing w:after="0"/>
            </w:pPr>
            <w:r>
              <w:rPr>
                <w:sz w:val="18"/>
              </w:rPr>
              <w:t>Connects resource limit to measurable indifference.</w:t>
            </w:r>
          </w:p>
        </w:tc>
      </w:tr>
      <w:tr>
        <w:trPr>
          <w:cantSplit/>
        </w:trPr>
        <w:tc>
          <w:tcPr>
            <w:tcW w:type="dxa" w:w="2304"/>
            <w:vAlign w:val="center"/>
            <w:tcMar>
              <w:top w:w="110" w:type="dxa"/>
              <w:start w:w="120" w:type="dxa"/>
              <w:bottom w:w="110" w:type="dxa"/>
              <w:end w:w="120" w:type="dxa"/>
            </w:tcMar>
          </w:tcPr>
          <w:p>
            <w:pPr>
              <w:spacing w:after="0"/>
            </w:pPr>
            <w:r>
              <w:rPr>
                <w:sz w:val="18"/>
              </w:rPr>
              <w:t>Resolution reversal</w:t>
            </w:r>
          </w:p>
        </w:tc>
        <w:tc>
          <w:tcPr>
            <w:tcW w:type="dxa" w:w="1944"/>
            <w:vAlign w:val="center"/>
            <w:tcMar>
              <w:top w:w="110" w:type="dxa"/>
              <w:start w:w="120" w:type="dxa"/>
              <w:bottom w:w="110" w:type="dxa"/>
              <w:end w:w="120" w:type="dxa"/>
            </w:tcMar>
          </w:tcPr>
          <w:p>
            <w:pPr>
              <w:spacing w:after="0"/>
            </w:pPr>
            <w:r>
              <w:rPr>
                <w:sz w:val="18"/>
              </w:rPr>
              <w:t>Proved</w:t>
            </w:r>
          </w:p>
        </w:tc>
        <w:tc>
          <w:tcPr>
            <w:tcW w:type="dxa" w:w="4608"/>
            <w:vAlign w:val="center"/>
            <w:tcMar>
              <w:top w:w="110" w:type="dxa"/>
              <w:start w:w="120" w:type="dxa"/>
              <w:bottom w:w="110" w:type="dxa"/>
              <w:end w:w="120" w:type="dxa"/>
            </w:tcMar>
          </w:tcPr>
          <w:p>
            <w:pPr>
              <w:spacing w:after="0"/>
            </w:pPr>
            <w:r>
              <w:rPr>
                <w:sz w:val="18"/>
              </w:rPr>
              <w:t>Supplies a formal mechanism for preference flips without taste change.</w:t>
            </w:r>
          </w:p>
        </w:tc>
      </w:tr>
      <w:tr>
        <w:trPr>
          <w:cantSplit/>
        </w:trPr>
        <w:tc>
          <w:tcPr>
            <w:tcW w:type="dxa" w:w="2304"/>
            <w:vAlign w:val="center"/>
            <w:tcMar>
              <w:top w:w="110" w:type="dxa"/>
              <w:start w:w="120" w:type="dxa"/>
              <w:bottom w:w="110" w:type="dxa"/>
              <w:end w:w="120" w:type="dxa"/>
            </w:tcMar>
          </w:tcPr>
          <w:p>
            <w:pPr>
              <w:spacing w:after="0"/>
            </w:pPr>
            <w:r>
              <w:rPr>
                <w:sz w:val="18"/>
              </w:rPr>
              <w:t>Shared representation regret</w:t>
            </w:r>
          </w:p>
        </w:tc>
        <w:tc>
          <w:tcPr>
            <w:tcW w:type="dxa" w:w="1944"/>
            <w:vAlign w:val="center"/>
            <w:tcMar>
              <w:top w:w="110" w:type="dxa"/>
              <w:start w:w="120" w:type="dxa"/>
              <w:bottom w:w="110" w:type="dxa"/>
              <w:end w:w="120" w:type="dxa"/>
            </w:tcMar>
          </w:tcPr>
          <w:p>
            <w:pPr>
              <w:spacing w:after="0"/>
            </w:pPr>
            <w:r>
              <w:rPr>
                <w:sz w:val="18"/>
              </w:rPr>
              <w:t>Proved</w:t>
            </w:r>
          </w:p>
        </w:tc>
        <w:tc>
          <w:tcPr>
            <w:tcW w:type="dxa" w:w="4608"/>
            <w:vAlign w:val="center"/>
            <w:tcMar>
              <w:top w:w="110" w:type="dxa"/>
              <w:start w:w="120" w:type="dxa"/>
              <w:bottom w:w="110" w:type="dxa"/>
              <w:end w:w="120" w:type="dxa"/>
            </w:tcMar>
          </w:tcPr>
          <w:p>
            <w:pPr>
              <w:spacing w:after="0"/>
            </w:pPr>
            <w:r>
              <w:rPr>
                <w:sz w:val="18"/>
              </w:rPr>
              <w:t>Predicts conflict when several evaluators share one limited representation.</w:t>
            </w:r>
          </w:p>
        </w:tc>
      </w:tr>
      <w:tr>
        <w:trPr>
          <w:cantSplit/>
        </w:trPr>
        <w:tc>
          <w:tcPr>
            <w:tcW w:type="dxa" w:w="2304"/>
            <w:vAlign w:val="center"/>
            <w:tcMar>
              <w:top w:w="110" w:type="dxa"/>
              <w:start w:w="120" w:type="dxa"/>
              <w:bottom w:w="110" w:type="dxa"/>
              <w:end w:w="120" w:type="dxa"/>
            </w:tcMar>
          </w:tcPr>
          <w:p>
            <w:pPr>
              <w:spacing w:after="0"/>
            </w:pPr>
            <w:r>
              <w:rPr>
                <w:sz w:val="18"/>
              </w:rPr>
              <w:t>Human budget as measured latent variable</w:t>
            </w:r>
          </w:p>
        </w:tc>
        <w:tc>
          <w:tcPr>
            <w:tcW w:type="dxa" w:w="1944"/>
            <w:vAlign w:val="center"/>
            <w:tcMar>
              <w:top w:w="110" w:type="dxa"/>
              <w:start w:w="120" w:type="dxa"/>
              <w:bottom w:w="110" w:type="dxa"/>
              <w:end w:w="120" w:type="dxa"/>
            </w:tcMar>
          </w:tcPr>
          <w:p>
            <w:pPr>
              <w:spacing w:after="0"/>
            </w:pPr>
            <w:r>
              <w:rPr>
                <w:sz w:val="18"/>
              </w:rPr>
              <w:t>Not claimed</w:t>
            </w:r>
          </w:p>
        </w:tc>
        <w:tc>
          <w:tcPr>
            <w:tcW w:type="dxa" w:w="4608"/>
            <w:vAlign w:val="center"/>
            <w:tcMar>
              <w:top w:w="110" w:type="dxa"/>
              <w:start w:w="120" w:type="dxa"/>
              <w:bottom w:w="110" w:type="dxa"/>
              <w:end w:w="120" w:type="dxa"/>
            </w:tcMar>
          </w:tcPr>
          <w:p>
            <w:pPr>
              <w:spacing w:after="0"/>
            </w:pPr>
            <w:r>
              <w:rPr>
                <w:sz w:val="18"/>
              </w:rPr>
              <w:t>Requires designed experiments.</w:t>
            </w:r>
          </w:p>
        </w:tc>
      </w:tr>
      <w:tr>
        <w:trPr>
          <w:cantSplit/>
        </w:trPr>
        <w:tc>
          <w:tcPr>
            <w:tcW w:type="dxa" w:w="2304"/>
            <w:vAlign w:val="center"/>
            <w:tcMar>
              <w:top w:w="110" w:type="dxa"/>
              <w:start w:w="120" w:type="dxa"/>
              <w:bottom w:w="110" w:type="dxa"/>
              <w:end w:w="120" w:type="dxa"/>
            </w:tcMar>
          </w:tcPr>
          <w:p>
            <w:pPr>
              <w:spacing w:after="0"/>
            </w:pPr>
            <w:r>
              <w:rPr>
                <w:sz w:val="18"/>
              </w:rPr>
              <w:t>Bounded search as universal cognition</w:t>
            </w:r>
          </w:p>
        </w:tc>
        <w:tc>
          <w:tcPr>
            <w:tcW w:type="dxa" w:w="1944"/>
            <w:vAlign w:val="center"/>
            <w:tcMar>
              <w:top w:w="110" w:type="dxa"/>
              <w:start w:w="120" w:type="dxa"/>
              <w:bottom w:w="110" w:type="dxa"/>
              <w:end w:w="120" w:type="dxa"/>
            </w:tcMar>
          </w:tcPr>
          <w:p>
            <w:pPr>
              <w:spacing w:after="0"/>
            </w:pPr>
            <w:r>
              <w:rPr>
                <w:sz w:val="18"/>
              </w:rPr>
              <w:t>Proposed here</w:t>
            </w:r>
          </w:p>
        </w:tc>
        <w:tc>
          <w:tcPr>
            <w:tcW w:type="dxa" w:w="4608"/>
            <w:vAlign w:val="center"/>
            <w:tcMar>
              <w:top w:w="110" w:type="dxa"/>
              <w:start w:w="120" w:type="dxa"/>
              <w:bottom w:w="110" w:type="dxa"/>
              <w:end w:w="120" w:type="dxa"/>
            </w:tcMar>
          </w:tcPr>
          <w:p>
            <w:pPr>
              <w:spacing w:after="0"/>
            </w:pPr>
            <w:r>
              <w:rPr>
                <w:sz w:val="18"/>
              </w:rPr>
              <w:t>Adds dynamics to the static framework.</w:t>
            </w:r>
          </w:p>
        </w:tc>
      </w:tr>
      <w:tr>
        <w:trPr>
          <w:cantSplit/>
        </w:trPr>
        <w:tc>
          <w:tcPr>
            <w:tcW w:type="dxa" w:w="2304"/>
            <w:vAlign w:val="center"/>
            <w:tcMar>
              <w:top w:w="110" w:type="dxa"/>
              <w:start w:w="120" w:type="dxa"/>
              <w:bottom w:w="110" w:type="dxa"/>
              <w:end w:w="120" w:type="dxa"/>
            </w:tcMar>
          </w:tcPr>
          <w:p>
            <w:pPr>
              <w:spacing w:after="0"/>
            </w:pPr>
            <w:r>
              <w:rPr>
                <w:sz w:val="18"/>
              </w:rPr>
              <w:t>Whitney stratification of cognition</w:t>
            </w:r>
          </w:p>
        </w:tc>
        <w:tc>
          <w:tcPr>
            <w:tcW w:type="dxa" w:w="1944"/>
            <w:vAlign w:val="center"/>
            <w:tcMar>
              <w:top w:w="110" w:type="dxa"/>
              <w:start w:w="120" w:type="dxa"/>
              <w:bottom w:w="110" w:type="dxa"/>
              <w:end w:w="120" w:type="dxa"/>
            </w:tcMar>
          </w:tcPr>
          <w:p>
            <w:pPr>
              <w:spacing w:after="0"/>
            </w:pPr>
            <w:r>
              <w:rPr>
                <w:sz w:val="18"/>
              </w:rPr>
              <w:t>Proposed here</w:t>
            </w:r>
          </w:p>
        </w:tc>
        <w:tc>
          <w:tcPr>
            <w:tcW w:type="dxa" w:w="4608"/>
            <w:vAlign w:val="center"/>
            <w:tcMar>
              <w:top w:w="110" w:type="dxa"/>
              <w:start w:w="120" w:type="dxa"/>
              <w:bottom w:w="110" w:type="dxa"/>
              <w:end w:w="120" w:type="dxa"/>
            </w:tcMar>
          </w:tcPr>
          <w:p>
            <w:pPr>
              <w:spacing w:after="0"/>
            </w:pPr>
            <w:r>
              <w:rPr>
                <w:sz w:val="18"/>
              </w:rPr>
              <w:t>Candidate model of regime transitions.</w:t>
            </w:r>
          </w:p>
        </w:tc>
      </w:tr>
    </w:tbl>
    <w:p>
      <w:pPr>
        <w:spacing w:after="40"/>
      </w:pPr>
    </w:p>
    <w:p>
      <w:pPr>
        <w:pStyle w:val="Heading2"/>
        <w:keepNext/>
      </w:pPr>
      <w:r>
        <w:t>6.2 Economic Behavioral Evidence</w:t>
      </w:r>
    </w:p>
    <w:p>
      <w:pPr>
        <w:spacing w:after="120" w:line="269" w:lineRule="auto"/>
      </w:pPr>
      <w:r>
        <w:rPr>
          <w:i w:val="0"/>
        </w:rPr>
        <w:t>The accepted IEEE Transactions on Computational Social Systems paper provides a first descriptive test of geometric evaluation across domains. Alternatives are encoded in a nine-dimensional decision space and evaluated by Mahalanobis distance under a diagonal covariance. Three active variances are fitted to nine bargaining and public-goods targets; the same variances are then applied to six classic prospect-theory problems and one historical ultimatum replication within an architecture whose active set was selected on the full benchmark. The selected active dimensions are social impact, virtue/identity, and epistemic status. All sixteen aggregate targets fall within the paper's stated tolerances, with mean absolute error 2.70 percentage points (Bond, 2026b).</w:t>
      </w:r>
    </w:p>
    <w:p>
      <w:pPr>
        <w:spacing w:after="120" w:line="269" w:lineRule="auto"/>
      </w:pPr>
      <w:r>
        <w:rPr>
          <w:i w:val="0"/>
        </w:rPr>
        <w:t>The paper is also valuable because it records a failure. The selected metric makes the monetary dimension inactive, which implies stake-scaling invariance. Three prespecified tests on high-stakes ultimatum data reject that prediction. The source therefore concludes that the share-normalized encoding and selected metric do not extend unchanged to consequential-stake settings. This matters for the present thesis because it demonstrates the right scientific behavior: geometry is not protected from falsification; a failed invariant identifies a boundary of the representation or metric (Bond, 2026b).</w:t>
      </w:r>
    </w:p>
    <w:p>
      <w:pPr>
        <w:spacing w:after="120" w:line="269" w:lineRule="auto"/>
      </w:pPr>
      <w:r>
        <w:rPr>
          <w:i w:val="0"/>
        </w:rPr>
        <w:t>The economic result should nevertheless be interpreted narrowly. The paper explicitly says that its nine dimensions are a modeling vocabulary rather than a uniquely derived psychometric basis, and that the metric is validated conditional on researcher-coded encodings. It therefore supports the possibility of transferable geometric structure, not yet the claim that human internal representations literally use those coordinates.</w:t>
      </w:r>
    </w:p>
    <w:p>
      <w:pPr>
        <w:pStyle w:val="Heading2"/>
        <w:keepNext/>
      </w:pPr>
      <w:r>
        <w:t>6.3 Information-Theoretic Evidence for Observer Dependence</w:t>
      </w:r>
    </w:p>
    <w:p>
      <w:pPr>
        <w:spacing w:after="120" w:line="269" w:lineRule="auto"/>
      </w:pPr>
      <w:r>
        <w:rPr>
          <w:i w:val="0"/>
        </w:rPr>
        <w:t>The conditional-content work provides a complementary formal anchor. It solves an augmented source-coding problem in which the encoder observes a described variable and clean context, while a third party retains only a noisy context copy. A central structural consequence is non-determination by the reduced marginal: the encoder's access to the clean context enters the operational function itself. The exact rate-content region is nondegenerate when context is partially informative, so rate and conditional content have distinct optima (Bond, 2026c).</w:t>
      </w:r>
    </w:p>
    <w:p>
      <w:pPr>
        <w:spacing w:after="120" w:line="269" w:lineRule="auto"/>
      </w:pPr>
      <w:r>
        <w:rPr>
          <w:i w:val="0"/>
        </w:rPr>
        <w:t>For the cognition program, the important point is not the thermodynamic interpretation. It is the formal demonstration that who observes what can change the optimal representation problem. This supports the methodological decision to include observer/context access as a primitive rather than infer cognition solely from the externally specified task.</w:t>
      </w:r>
    </w:p>
    <w:p>
      <w:pPr>
        <w:pStyle w:val="Heading2"/>
        <w:keepNext/>
      </w:pPr>
      <w:r>
        <w:t>6.4 What Is Not Yet Evidence</w:t>
      </w:r>
    </w:p>
    <w:p>
      <w:pPr>
        <w:pStyle w:val="ListBullet"/>
        <w:spacing w:after="60"/>
      </w:pPr>
      <w:r>
        <w:t>The current economic fits do not identify a unique neural or psychological coordinate system.</w:t>
      </w:r>
    </w:p>
    <w:p>
      <w:pPr>
        <w:pStyle w:val="ListBullet"/>
        <w:spacing w:after="60"/>
      </w:pPr>
      <w:r>
        <w:t>The rank budget has not yet been measured as a human cognitive parameter in the source program.</w:t>
      </w:r>
    </w:p>
    <w:p>
      <w:pPr>
        <w:pStyle w:val="ListBullet"/>
        <w:spacing w:after="60"/>
      </w:pPr>
      <w:r>
        <w:t>Preference reversals in existing behavioral datasets have not yet been causally attributed to observation flips.</w:t>
      </w:r>
    </w:p>
    <w:p>
      <w:pPr>
        <w:pStyle w:val="ListBullet"/>
        <w:spacing w:after="60"/>
      </w:pPr>
      <w:r>
        <w:t>There is not yet evidence that cognitive state spaces satisfy Whitney regularity conditions.</w:t>
      </w:r>
    </w:p>
    <w:p>
      <w:pPr>
        <w:pStyle w:val="ListBullet"/>
        <w:spacing w:after="60"/>
      </w:pPr>
      <w:r>
        <w:t>There is not yet a cross-architecture law showing the same flip or transition geometry in humans and AI systems.</w:t>
      </w:r>
    </w:p>
    <w:p>
      <w:pPr>
        <w:pStyle w:val="ListBullet"/>
        <w:spacing w:after="60"/>
      </w:pPr>
      <w:r>
        <w:t>The bounded-search layer is a synthesis hypothesis rather than a theorem of the existing static evaluation framework.</w:t>
      </w:r>
    </w:p>
    <w:p>
      <w:pPr>
        <w:pStyle w:val="Heading1"/>
        <w:keepNext/>
      </w:pPr>
      <w:r>
        <w:t>7. Falsifiable Predictions of Observer-Limited Geometric Cognition</w:t>
      </w:r>
    </w:p>
    <w:p>
      <w:pPr>
        <w:pStyle w:val="Heading2"/>
        <w:keepNext/>
      </w:pPr>
      <w:r>
        <w:t>7.1 Threshold–Budget Law</w:t>
      </w:r>
    </w:p>
    <w:p>
      <w:pPr>
        <w:spacing w:after="120" w:line="269" w:lineRule="auto"/>
      </w:pPr>
      <w:r>
        <w:rPr>
          <w:i w:val="0"/>
        </w:rPr>
        <w:t>The first prediction comes directly from GET. If the evaluator's resolution is manipulated while the underlying metric and ideal are held fixed, the just-noticeable comparison threshold should track the budget. Reducing resolution through time pressure, memory limitation, coarser displays, or controlled dimensional masking should increase indifference among nearby options while leaving sufficiently separated options ordered the same way. A systematic reordering of well-separated pairs under a pure length-resolution manipulation would contradict the model.</w:t>
      </w:r>
    </w:p>
    <w:p>
      <w:pPr>
        <w:pStyle w:val="Heading2"/>
        <w:keepNext/>
      </w:pPr>
      <w:r>
        <w:t>7.2 Direction-Specific Rank Reversal</w:t>
      </w:r>
    </w:p>
    <w:p>
      <w:pPr>
        <w:spacing w:after="120" w:line="269" w:lineRule="auto"/>
      </w:pPr>
      <w:r>
        <w:rPr>
          <w:i w:val="0"/>
        </w:rPr>
        <w:t>A rank manipulation should not produce arbitrary preference instability. Reversals should concentrate on pairs that trade a retained direction against a newly unresolved direction. Pairs whose differences lie entirely within the retained subspace should preserve their ordering. This is more specific than predicting that cognitive load causes more noise. It predicts a structured pattern of reversals indexed by the geometry of the alternatives.</w:t>
      </w:r>
    </w:p>
    <w:p>
      <w:pPr>
        <w:pStyle w:val="Heading2"/>
        <w:keepNext/>
      </w:pPr>
      <w:r>
        <w:t>7.3 Cross-Measure Boundary Alignment</w:t>
      </w:r>
    </w:p>
    <w:p>
      <w:pPr>
        <w:spacing w:after="120" w:line="269" w:lineRule="auto"/>
      </w:pPr>
      <w:r>
        <w:rPr>
          <w:i w:val="0"/>
        </w:rPr>
        <w:t>If a sharp behavioral reversal is a genuine stratum or representation transition rather than ordinary choice noise, several observables should reorganize near the same control parameter. Candidate observables include choice probability, response time, confidence, eye or cursor trajectories, intermediate verbal reports, and internal model activations. The strongest result would be a preregistered boundary location inferred from one observable that predicts discontinuities in others.</w:t>
      </w:r>
    </w:p>
    <w:p>
      <w:pPr>
        <w:pStyle w:val="Heading2"/>
        <w:keepNext/>
      </w:pPr>
      <w:r>
        <w:t>7.4 Representation-First Generalization</w:t>
      </w:r>
    </w:p>
    <w:p>
      <w:pPr>
        <w:spacing w:after="120" w:line="269" w:lineRule="auto"/>
      </w:pPr>
      <w:r>
        <w:rPr>
          <w:i w:val="0"/>
        </w:rPr>
        <w:t>A model whose representation is identified on one task family and metric on another should predict behavior in a third family without refitting. The critical design principle is modular holdout: fit Φ, G, B, and the search policy on disjoint evidence whenever possible. If every component is fitted to the same final choices, the theory remains underidentified.</w:t>
      </w:r>
    </w:p>
    <w:p>
      <w:pPr>
        <w:pStyle w:val="Heading2"/>
        <w:keepNext/>
      </w:pPr>
      <w:r>
        <w:t>7.5 Cross-Architecture Universality</w:t>
      </w:r>
    </w:p>
    <w:p>
      <w:pPr>
        <w:spacing w:after="120" w:line="269" w:lineRule="auto"/>
      </w:pPr>
      <w:r>
        <w:rPr>
          <w:i w:val="0"/>
        </w:rPr>
        <w:t>If the proposed principles are fundamental rather than species-specific, analogous transition laws should appear in multiple implementations. Human participants and artificial agents need not share coordinates, but normalized quantities—such as a margin-to-budget ratio, subspace-angle transition, or critical representation rank—might exhibit common functional form. Failure to find any architecture-independent regularity would not refute geometric evaluation itself, but it would weaken the claim of a fundamental theory of cognition.</w:t>
      </w:r>
    </w:p>
    <w:p>
      <w:pPr>
        <w:pStyle w:val="Heading1"/>
        <w:keepNext/>
      </w:pPr>
      <w:r>
        <w:t>8. Experimental Program</w:t>
      </w:r>
    </w:p>
    <w:p>
      <w:pPr>
        <w:pStyle w:val="Heading2"/>
        <w:keepNext/>
      </w:pPr>
      <w:r>
        <w:t>8.1 Experiment I: Controlled Observation Flip</w:t>
      </w:r>
    </w:p>
    <w:p>
      <w:pPr>
        <w:spacing w:after="120" w:line="269" w:lineRule="auto"/>
      </w:pPr>
      <w:r>
        <w:rPr>
          <w:i w:val="0"/>
        </w:rPr>
        <w:t>Construct alternatives with consequences in a known low-dimensional space, for example two or three attributes whose trade-off geometry is experimentally controlled. Estimate or impose the evaluator's baseline metric and ideal using a separate task. Then manipulate which consequence directions are visible or resolvable while holding the external options fixed.</w:t>
      </w:r>
    </w:p>
    <w:p>
      <w:pPr>
        <w:pStyle w:val="ListNumber"/>
        <w:spacing w:after="60"/>
      </w:pPr>
      <w:r>
        <w:t>Pre-register the consequence vectors, the candidate retained subspaces, and the predicted ordering for each budget.</w:t>
      </w:r>
    </w:p>
    <w:p>
      <w:pPr>
        <w:pStyle w:val="ListNumber"/>
        <w:spacing w:after="60"/>
      </w:pPr>
      <w:r>
        <w:t>Estimate the metric and reference from an independent calibration block.</w:t>
      </w:r>
    </w:p>
    <w:p>
      <w:pPr>
        <w:pStyle w:val="ListNumber"/>
        <w:spacing w:after="60"/>
      </w:pPr>
      <w:r>
        <w:t>Manipulate rank or display resolution without changing monetary stakes or outcome distributions.</w:t>
      </w:r>
    </w:p>
    <w:p>
      <w:pPr>
        <w:pStyle w:val="ListNumber"/>
        <w:spacing w:after="60"/>
      </w:pPr>
      <w:r>
        <w:t>Measure choices, response times, confidence, and process traces.</w:t>
      </w:r>
    </w:p>
    <w:p>
      <w:pPr>
        <w:pStyle w:val="ListNumber"/>
        <w:spacing w:after="60"/>
      </w:pPr>
      <w:r>
        <w:t>Test the directional prediction: reversals should occur only for pairs that trade resolved against unresolved directions.</w:t>
      </w:r>
    </w:p>
    <w:p>
      <w:pPr>
        <w:pStyle w:val="ListNumber"/>
        <w:spacing w:after="60"/>
      </w:pPr>
      <w:r>
        <w:t>Use held-out pairs to test whether the inferred representation predicts flips without additional fitting.</w:t>
      </w:r>
    </w:p>
    <w:p>
      <w:pPr>
        <w:spacing w:after="120" w:line="269" w:lineRule="auto"/>
      </w:pPr>
      <w:r>
        <w:rPr>
          <w:i w:val="0"/>
        </w:rPr>
        <w:t>The decisive negative result would be widespread reversals among pairs lying entirely in the retained subspace, or failure of predicted reversals for pairs whose ordering mathematically depends on the omitted direction.</w:t>
      </w:r>
    </w:p>
    <w:p>
      <w:pPr>
        <w:pStyle w:val="Heading2"/>
        <w:keepNext/>
      </w:pPr>
      <w:r>
        <w:t>8.2 Experiment II: Prospect-Theory Reflection as a Representation Flip</w:t>
      </w:r>
    </w:p>
    <w:p>
      <w:pPr>
        <w:spacing w:after="120" w:line="269" w:lineRule="auto"/>
      </w:pPr>
      <w:r>
        <w:rPr>
          <w:i w:val="0"/>
        </w:rPr>
        <w:t>The economic paper currently encodes certainty and reference dependence using explicit domain-specific rules. A stronger test would ask whether the gain/loss reflection pattern can be generated by an independently inferred change in representation rather than by a stipulated sign change. One could fit the observer map on non-choice tasks involving similarity, certainty discrimination, or memory for outcomes; hold the geometric metric fixed; and then predict which lottery choices reverse across gain and loss frames. Success would remove discretion from a key part of the economic model.</w:t>
      </w:r>
    </w:p>
    <w:p>
      <w:pPr>
        <w:pStyle w:val="Heading2"/>
        <w:keepNext/>
      </w:pPr>
      <w:r>
        <w:t>8.3 Experiment III: Latent Boundary Mapping</w:t>
      </w:r>
    </w:p>
    <w:p>
      <w:pPr>
        <w:spacing w:after="120" w:line="269" w:lineRule="auto"/>
      </w:pPr>
      <w:r>
        <w:rPr>
          <w:i w:val="0"/>
        </w:rPr>
        <w:t>Vary a task parameter continuously across a range where the theory predicts a regime transition. Before examining final choices, infer the candidate boundary from internal or process-level representations. Then test whether behavioral choice, latency, confidence, and error structure change at the same location. A smooth psychometric curve with no corresponding representational reorganization would favor ordinary continuous choice models over the stratified hypothesis.</w:t>
      </w:r>
    </w:p>
    <w:p>
      <w:pPr>
        <w:pStyle w:val="Heading2"/>
        <w:keepNext/>
      </w:pPr>
      <w:r>
        <w:t>8.4 Experiment IV: Human–AI Matched Task</w:t>
      </w:r>
    </w:p>
    <w:p>
      <w:pPr>
        <w:spacing w:after="120" w:line="269" w:lineRule="auto"/>
      </w:pPr>
      <w:r>
        <w:rPr>
          <w:i w:val="0"/>
        </w:rPr>
        <w:t>Present humans and several unrelated AI architectures with the same controlled task family. Recover effective representations using methods appropriate to each system, but score them in a common task-defined consequence space. Test whether normalized flip conditions or boundary statistics transfer. The claim is not that internal embeddings are identical; it is that the relationship among information access, resolution, geometry, and reversal obeys a common law.</w:t>
      </w:r>
    </w:p>
    <w:p>
      <w:pPr>
        <w:pStyle w:val="Heading2"/>
        <w:keepNext/>
      </w:pPr>
      <w:r>
        <w:t>8.5 Identification Strategy</w:t>
      </w:r>
    </w:p>
    <w:tbl>
      <w:tblPr>
        <w:tblStyle w:val="TableGrid"/>
        <w:tblW w:type="auto" w:w="0"/>
        <w:jc w:val="center"/>
        <w:tblLook w:firstColumn="1" w:firstRow="1" w:lastColumn="0" w:lastRow="0" w:noHBand="0" w:noVBand="1" w:val="04A0"/>
      </w:tblPr>
      <w:tblGrid>
        <w:gridCol w:w="3168"/>
        <w:gridCol w:w="3168"/>
        <w:gridCol w:w="3168"/>
      </w:tblGrid>
      <w:tr>
        <w:trPr>
          <w:cantSplit/>
        </w:trPr>
        <w:tc>
          <w:tcPr>
            <w:tcW w:type="dxa" w:w="1800"/>
            <w:shd w:fill="D9E3EA"/>
            <w:vAlign w:val="center"/>
            <w:tcMar>
              <w:top w:w="120" w:type="dxa"/>
              <w:start w:w="120" w:type="dxa"/>
              <w:bottom w:w="120" w:type="dxa"/>
              <w:end w:w="120" w:type="dxa"/>
            </w:tcMar>
          </w:tcPr>
          <w:p>
            <w:r>
              <w:rPr>
                <w:b/>
                <w:sz w:val="18"/>
              </w:rPr>
              <w:t>Latent component</w:t>
            </w:r>
          </w:p>
        </w:tc>
        <w:tc>
          <w:tcPr>
            <w:tcW w:type="dxa" w:w="3384"/>
            <w:shd w:fill="D9E3EA"/>
            <w:vAlign w:val="center"/>
            <w:tcMar>
              <w:top w:w="120" w:type="dxa"/>
              <w:start w:w="120" w:type="dxa"/>
              <w:bottom w:w="120" w:type="dxa"/>
              <w:end w:w="120" w:type="dxa"/>
            </w:tcMar>
          </w:tcPr>
          <w:p>
            <w:r>
              <w:rPr>
                <w:b/>
                <w:sz w:val="18"/>
              </w:rPr>
              <w:t>Independent measurement or manipulation</w:t>
            </w:r>
          </w:p>
        </w:tc>
        <w:tc>
          <w:tcPr>
            <w:tcW w:type="dxa" w:w="3672"/>
            <w:shd w:fill="D9E3EA"/>
            <w:vAlign w:val="center"/>
            <w:tcMar>
              <w:top w:w="120" w:type="dxa"/>
              <w:start w:w="120" w:type="dxa"/>
              <w:bottom w:w="120" w:type="dxa"/>
              <w:end w:w="120" w:type="dxa"/>
            </w:tcMar>
          </w:tcPr>
          <w:p>
            <w:r>
              <w:rPr>
                <w:b/>
                <w:sz w:val="18"/>
              </w:rPr>
              <w:t>Failure mode avoided</w:t>
            </w:r>
          </w:p>
        </w:tc>
      </w:tr>
      <w:tr>
        <w:trPr>
          <w:cantSplit/>
        </w:trPr>
        <w:tc>
          <w:tcPr>
            <w:tcW w:type="dxa" w:w="1800"/>
            <w:vAlign w:val="center"/>
            <w:tcMar>
              <w:top w:w="110" w:type="dxa"/>
              <w:start w:w="120" w:type="dxa"/>
              <w:bottom w:w="110" w:type="dxa"/>
              <w:end w:w="120" w:type="dxa"/>
            </w:tcMar>
          </w:tcPr>
          <w:p>
            <w:pPr>
              <w:spacing w:after="0"/>
            </w:pPr>
            <w:r>
              <w:rPr>
                <w:sz w:val="18"/>
              </w:rPr>
              <w:t>Representation Φ</w:t>
            </w:r>
          </w:p>
        </w:tc>
        <w:tc>
          <w:tcPr>
            <w:tcW w:type="dxa" w:w="3384"/>
            <w:vAlign w:val="center"/>
            <w:tcMar>
              <w:top w:w="110" w:type="dxa"/>
              <w:start w:w="120" w:type="dxa"/>
              <w:bottom w:w="110" w:type="dxa"/>
              <w:end w:w="120" w:type="dxa"/>
            </w:tcMar>
          </w:tcPr>
          <w:p>
            <w:pPr>
              <w:spacing w:after="0"/>
            </w:pPr>
            <w:r>
              <w:rPr>
                <w:sz w:val="18"/>
              </w:rPr>
              <w:t>Feature probes, similarity judgments, controlled masking, latent decoding</w:t>
            </w:r>
          </w:p>
        </w:tc>
        <w:tc>
          <w:tcPr>
            <w:tcW w:type="dxa" w:w="3672"/>
            <w:vAlign w:val="center"/>
            <w:tcMar>
              <w:top w:w="110" w:type="dxa"/>
              <w:start w:w="120" w:type="dxa"/>
              <w:bottom w:w="110" w:type="dxa"/>
              <w:end w:w="120" w:type="dxa"/>
            </w:tcMar>
          </w:tcPr>
          <w:p>
            <w:pPr>
              <w:spacing w:after="0"/>
            </w:pPr>
            <w:r>
              <w:rPr>
                <w:sz w:val="18"/>
              </w:rPr>
              <w:t>Prevents choosing coordinates after seeing choices.</w:t>
            </w:r>
          </w:p>
        </w:tc>
      </w:tr>
      <w:tr>
        <w:trPr>
          <w:cantSplit/>
        </w:trPr>
        <w:tc>
          <w:tcPr>
            <w:tcW w:type="dxa" w:w="1800"/>
            <w:vAlign w:val="center"/>
            <w:tcMar>
              <w:top w:w="110" w:type="dxa"/>
              <w:start w:w="120" w:type="dxa"/>
              <w:bottom w:w="110" w:type="dxa"/>
              <w:end w:w="120" w:type="dxa"/>
            </w:tcMar>
          </w:tcPr>
          <w:p>
            <w:pPr>
              <w:spacing w:after="0"/>
            </w:pPr>
            <w:r>
              <w:rPr>
                <w:sz w:val="18"/>
              </w:rPr>
              <w:t>Metric G</w:t>
            </w:r>
          </w:p>
        </w:tc>
        <w:tc>
          <w:tcPr>
            <w:tcW w:type="dxa" w:w="3384"/>
            <w:vAlign w:val="center"/>
            <w:tcMar>
              <w:top w:w="110" w:type="dxa"/>
              <w:start w:w="120" w:type="dxa"/>
              <w:bottom w:w="110" w:type="dxa"/>
              <w:end w:w="120" w:type="dxa"/>
            </w:tcMar>
          </w:tcPr>
          <w:p>
            <w:pPr>
              <w:spacing w:after="0"/>
            </w:pPr>
            <w:r>
              <w:rPr>
                <w:sz w:val="18"/>
              </w:rPr>
              <w:t>Separate pairwise comparison block or cross-domain calibration</w:t>
            </w:r>
          </w:p>
        </w:tc>
        <w:tc>
          <w:tcPr>
            <w:tcW w:type="dxa" w:w="3672"/>
            <w:vAlign w:val="center"/>
            <w:tcMar>
              <w:top w:w="110" w:type="dxa"/>
              <w:start w:w="120" w:type="dxa"/>
              <w:bottom w:w="110" w:type="dxa"/>
              <w:end w:w="120" w:type="dxa"/>
            </w:tcMar>
          </w:tcPr>
          <w:p>
            <w:pPr>
              <w:spacing w:after="0"/>
            </w:pPr>
            <w:r>
              <w:rPr>
                <w:sz w:val="18"/>
              </w:rPr>
              <w:t>Prevents geometry from absorbing representation errors.</w:t>
            </w:r>
          </w:p>
        </w:tc>
      </w:tr>
      <w:tr>
        <w:trPr>
          <w:cantSplit/>
        </w:trPr>
        <w:tc>
          <w:tcPr>
            <w:tcW w:type="dxa" w:w="1800"/>
            <w:vAlign w:val="center"/>
            <w:tcMar>
              <w:top w:w="110" w:type="dxa"/>
              <w:start w:w="120" w:type="dxa"/>
              <w:bottom w:w="110" w:type="dxa"/>
              <w:end w:w="120" w:type="dxa"/>
            </w:tcMar>
          </w:tcPr>
          <w:p>
            <w:pPr>
              <w:spacing w:after="0"/>
            </w:pPr>
            <w:r>
              <w:rPr>
                <w:sz w:val="18"/>
              </w:rPr>
              <w:t>Ideal/reference t</w:t>
            </w:r>
          </w:p>
        </w:tc>
        <w:tc>
          <w:tcPr>
            <w:tcW w:type="dxa" w:w="3384"/>
            <w:vAlign w:val="center"/>
            <w:tcMar>
              <w:top w:w="110" w:type="dxa"/>
              <w:start w:w="120" w:type="dxa"/>
              <w:bottom w:w="110" w:type="dxa"/>
              <w:end w:w="120" w:type="dxa"/>
            </w:tcMar>
          </w:tcPr>
          <w:p>
            <w:pPr>
              <w:spacing w:after="0"/>
            </w:pPr>
            <w:r>
              <w:rPr>
                <w:sz w:val="18"/>
              </w:rPr>
              <w:t>Independent elicitation or task-defined target</w:t>
            </w:r>
          </w:p>
        </w:tc>
        <w:tc>
          <w:tcPr>
            <w:tcW w:type="dxa" w:w="3672"/>
            <w:vAlign w:val="center"/>
            <w:tcMar>
              <w:top w:w="110" w:type="dxa"/>
              <w:start w:w="120" w:type="dxa"/>
              <w:bottom w:w="110" w:type="dxa"/>
              <w:end w:w="120" w:type="dxa"/>
            </w:tcMar>
          </w:tcPr>
          <w:p>
            <w:pPr>
              <w:spacing w:after="0"/>
            </w:pPr>
            <w:r>
              <w:rPr>
                <w:sz w:val="18"/>
              </w:rPr>
              <w:t>Separates reference shifts from sensitivity shifts.</w:t>
            </w:r>
          </w:p>
        </w:tc>
      </w:tr>
      <w:tr>
        <w:trPr>
          <w:cantSplit/>
        </w:trPr>
        <w:tc>
          <w:tcPr>
            <w:tcW w:type="dxa" w:w="1800"/>
            <w:vAlign w:val="center"/>
            <w:tcMar>
              <w:top w:w="110" w:type="dxa"/>
              <w:start w:w="120" w:type="dxa"/>
              <w:bottom w:w="110" w:type="dxa"/>
              <w:end w:w="120" w:type="dxa"/>
            </w:tcMar>
          </w:tcPr>
          <w:p>
            <w:pPr>
              <w:spacing w:after="0"/>
            </w:pPr>
            <w:r>
              <w:rPr>
                <w:sz w:val="18"/>
              </w:rPr>
              <w:t>Budget B</w:t>
            </w:r>
          </w:p>
        </w:tc>
        <w:tc>
          <w:tcPr>
            <w:tcW w:type="dxa" w:w="3384"/>
            <w:vAlign w:val="center"/>
            <w:tcMar>
              <w:top w:w="110" w:type="dxa"/>
              <w:start w:w="120" w:type="dxa"/>
              <w:bottom w:w="110" w:type="dxa"/>
              <w:end w:w="120" w:type="dxa"/>
            </w:tcMar>
          </w:tcPr>
          <w:p>
            <w:pPr>
              <w:spacing w:after="0"/>
            </w:pPr>
            <w:r>
              <w:rPr>
                <w:sz w:val="18"/>
              </w:rPr>
              <w:t>Time, memory, bitrate, rank, or display-resolution manipulation</w:t>
            </w:r>
          </w:p>
        </w:tc>
        <w:tc>
          <w:tcPr>
            <w:tcW w:type="dxa" w:w="3672"/>
            <w:vAlign w:val="center"/>
            <w:tcMar>
              <w:top w:w="110" w:type="dxa"/>
              <w:start w:w="120" w:type="dxa"/>
              <w:bottom w:w="110" w:type="dxa"/>
              <w:end w:w="120" w:type="dxa"/>
            </w:tcMar>
          </w:tcPr>
          <w:p>
            <w:pPr>
              <w:spacing w:after="0"/>
            </w:pPr>
            <w:r>
              <w:rPr>
                <w:sz w:val="18"/>
              </w:rPr>
              <w:t>Turns “boundedness” into an experimental variable.</w:t>
            </w:r>
          </w:p>
        </w:tc>
      </w:tr>
      <w:tr>
        <w:trPr>
          <w:cantSplit/>
        </w:trPr>
        <w:tc>
          <w:tcPr>
            <w:tcW w:type="dxa" w:w="1800"/>
            <w:vAlign w:val="center"/>
            <w:tcMar>
              <w:top w:w="110" w:type="dxa"/>
              <w:start w:w="120" w:type="dxa"/>
              <w:bottom w:w="110" w:type="dxa"/>
              <w:end w:w="120" w:type="dxa"/>
            </w:tcMar>
          </w:tcPr>
          <w:p>
            <w:pPr>
              <w:spacing w:after="0"/>
            </w:pPr>
            <w:r>
              <w:rPr>
                <w:sz w:val="18"/>
              </w:rPr>
              <w:t>Admissibility K</w:t>
            </w:r>
          </w:p>
        </w:tc>
        <w:tc>
          <w:tcPr>
            <w:tcW w:type="dxa" w:w="3384"/>
            <w:vAlign w:val="center"/>
            <w:tcMar>
              <w:top w:w="110" w:type="dxa"/>
              <w:start w:w="120" w:type="dxa"/>
              <w:bottom w:w="110" w:type="dxa"/>
              <w:end w:w="120" w:type="dxa"/>
            </w:tcMar>
          </w:tcPr>
          <w:p>
            <w:pPr>
              <w:spacing w:after="0"/>
            </w:pPr>
            <w:r>
              <w:rPr>
                <w:sz w:val="18"/>
              </w:rPr>
              <w:t>Explicit menu/constraint manipulation</w:t>
            </w:r>
          </w:p>
        </w:tc>
        <w:tc>
          <w:tcPr>
            <w:tcW w:type="dxa" w:w="3672"/>
            <w:vAlign w:val="center"/>
            <w:tcMar>
              <w:top w:w="110" w:type="dxa"/>
              <w:start w:w="120" w:type="dxa"/>
              <w:bottom w:w="110" w:type="dxa"/>
              <w:end w:w="120" w:type="dxa"/>
            </w:tcMar>
          </w:tcPr>
          <w:p>
            <w:pPr>
              <w:spacing w:after="0"/>
            </w:pPr>
            <w:r>
              <w:rPr>
                <w:sz w:val="18"/>
              </w:rPr>
              <w:t>Separates hard exclusion from large negative value.</w:t>
            </w:r>
          </w:p>
        </w:tc>
      </w:tr>
      <w:tr>
        <w:trPr>
          <w:cantSplit/>
        </w:trPr>
        <w:tc>
          <w:tcPr>
            <w:tcW w:type="dxa" w:w="1800"/>
            <w:vAlign w:val="center"/>
            <w:tcMar>
              <w:top w:w="110" w:type="dxa"/>
              <w:start w:w="120" w:type="dxa"/>
              <w:bottom w:w="110" w:type="dxa"/>
              <w:end w:w="120" w:type="dxa"/>
            </w:tcMar>
          </w:tcPr>
          <w:p>
            <w:pPr>
              <w:spacing w:after="0"/>
            </w:pPr>
            <w:r>
              <w:rPr>
                <w:sz w:val="18"/>
              </w:rPr>
              <w:t>Search policy π</w:t>
            </w:r>
          </w:p>
        </w:tc>
        <w:tc>
          <w:tcPr>
            <w:tcW w:type="dxa" w:w="3384"/>
            <w:vAlign w:val="center"/>
            <w:tcMar>
              <w:top w:w="110" w:type="dxa"/>
              <w:start w:w="120" w:type="dxa"/>
              <w:bottom w:w="110" w:type="dxa"/>
              <w:end w:w="120" w:type="dxa"/>
            </w:tcMar>
          </w:tcPr>
          <w:p>
            <w:pPr>
              <w:spacing w:after="0"/>
            </w:pPr>
            <w:r>
              <w:rPr>
                <w:sz w:val="18"/>
              </w:rPr>
              <w:t>Process traces, stopping times, intermediate states</w:t>
            </w:r>
          </w:p>
        </w:tc>
        <w:tc>
          <w:tcPr>
            <w:tcW w:type="dxa" w:w="3672"/>
            <w:vAlign w:val="center"/>
            <w:tcMar>
              <w:top w:w="110" w:type="dxa"/>
              <w:start w:w="120" w:type="dxa"/>
              <w:bottom w:w="110" w:type="dxa"/>
              <w:end w:w="120" w:type="dxa"/>
            </w:tcMar>
          </w:tcPr>
          <w:p>
            <w:pPr>
              <w:spacing w:after="0"/>
            </w:pPr>
            <w:r>
              <w:rPr>
                <w:sz w:val="18"/>
              </w:rPr>
              <w:t>Separates endpoint geometry from trajectory dynamics.</w:t>
            </w:r>
          </w:p>
        </w:tc>
      </w:tr>
    </w:tbl>
    <w:p>
      <w:pPr>
        <w:spacing w:after="40"/>
      </w:pPr>
    </w:p>
    <w:p>
      <w:pPr>
        <w:pStyle w:val="Heading2"/>
        <w:keepNext/>
      </w:pPr>
      <w:r>
        <w:t>8.6 Statistical Tests</w:t>
      </w:r>
    </w:p>
    <w:p>
      <w:pPr>
        <w:spacing w:after="120" w:line="269" w:lineRule="auto"/>
      </w:pPr>
      <w:r>
        <w:rPr>
          <w:i w:val="0"/>
        </w:rPr>
        <w:t>The preferred tests are preregistered contrasts that target structural consequences rather than global goodness of fit. For rank reversals, the primary endpoint can be an interaction between pair type (cross-subspace versus within-subspace) and budget condition. For boundary experiments, change-point or segmented models can test whether multiple observables share a transition parameter. Model comparison should penalize search over representations and structures, just as the economic paper explicitly reports multiplicity from active-set search. Cross-validation should occur at the level of subjects, tasks, and—where possible—entire domains.</w:t>
      </w:r>
    </w:p>
    <w:p>
      <w:pPr>
        <w:pStyle w:val="Heading1"/>
        <w:keepNext/>
      </w:pPr>
      <w:r>
        <w:t>9. Implications for AI Safety</w:t>
      </w:r>
    </w:p>
    <w:p>
      <w:pPr>
        <w:pStyle w:val="Heading2"/>
        <w:keepNext/>
      </w:pPr>
      <w:r>
        <w:t>9.1 Safety as Geometry and Regime Control</w:t>
      </w:r>
    </w:p>
    <w:p>
      <w:pPr>
        <w:spacing w:after="120" w:line="269" w:lineRule="auto"/>
      </w:pPr>
      <w:r>
        <w:rPr>
          <w:i w:val="0"/>
        </w:rPr>
        <w:t>The cognitive thesis suggests a safety perspective different from simply adding a larger negative reward to undesirable actions. If agent behavior depends on observer-relative representation and search geometry, then safety failures can arise when a model enters a representation or search regime in which an unsafe path becomes locally cheap or previously salient constraints become unresolved. The safety problem is therefore partly to measure and control the geometry of reachable reasoning trajectories.</w:t>
      </w:r>
    </w:p>
    <w:p>
      <w:pPr>
        <w:spacing w:before="120" w:after="160"/>
        <w:jc w:val="center"/>
      </w:pPr>
      <w:r>
        <w:rPr>
          <w:rFonts w:ascii="Cambria Math" w:hAnsi="Cambria Math"/>
          <w:sz w:val="23"/>
        </w:rPr>
        <w:t>infer representation → estimate margin to unsafe regime → intervene before transition</w:t>
      </w:r>
    </w:p>
    <w:p>
      <w:pPr>
        <w:spacing w:after="120" w:line="269" w:lineRule="auto"/>
      </w:pPr>
      <w:r>
        <w:rPr>
          <w:i w:val="0"/>
        </w:rPr>
        <w:t>This is compatible with, but conceptually distinct from, reward shaping. A safety system can monitor whether critical dimensions have disappeared from the effective representation, whether a task has crossed a known regime boundary, or whether the search process has found a new low-cost path around a constraint. The strongest version would produce auditable, model-independent transition indicators rather than opaque scalar safety scores.</w:t>
      </w:r>
    </w:p>
    <w:p>
      <w:pPr>
        <w:pStyle w:val="Heading2"/>
        <w:keepNext/>
      </w:pPr>
      <w:r>
        <w:t>9.2 Preference Flips as Safety Signals</w:t>
      </w:r>
    </w:p>
    <w:p>
      <w:pPr>
        <w:spacing w:after="120" w:line="269" w:lineRule="auto"/>
      </w:pPr>
      <w:r>
        <w:rPr>
          <w:i w:val="0"/>
        </w:rPr>
        <w:t>A preference flip in an AI agent may be benign, but a structured flip can be diagnostic. If a fixed pair of policies reverses order precisely when a safety-relevant direction drops out of the retained subspace, the event is not random instability. It is evidence that the agent's effective representation has changed. Conversely, if the reversal occurs while the representation is stable, the cause must lie elsewhere—metric change, reference change, admissibility, or search dynamics. The taxonomy in Chapter 5 becomes a debugging framework.</w:t>
      </w:r>
    </w:p>
    <w:p>
      <w:pPr>
        <w:pStyle w:val="Heading2"/>
        <w:keepNext/>
      </w:pPr>
      <w:r>
        <w:t>9.3 Why This Could Become Physics-Relevant</w:t>
      </w:r>
    </w:p>
    <w:p>
      <w:pPr>
        <w:spacing w:after="120" w:line="269" w:lineRule="auto"/>
      </w:pPr>
      <w:r>
        <w:rPr>
          <w:i w:val="0"/>
        </w:rPr>
        <w:t>The physics-level ambition should be stated narrowly. Using geometric language does not make a theory physics. The route becomes scientifically meaningful only if intelligent systems exhibit reproducible, architecture-independent laws—critical transitions, universality classes, scaling relations, conserved operational quantities, or geometric order parameters—that can be measured and manipulated. The present thesis therefore treats the AI-safety application as a motivating test bed for discovering such laws, not as evidence that they already exist.</w:t>
      </w:r>
    </w:p>
    <w:p>
      <w:pPr>
        <w:pStyle w:val="Heading1"/>
        <w:keepNext/>
      </w:pPr>
      <w:r>
        <w:t>10. Limits, Alternative Explanations, and Failure Conditions</w:t>
      </w:r>
    </w:p>
    <w:p>
      <w:pPr>
        <w:pStyle w:val="Heading2"/>
        <w:keepNext/>
      </w:pPr>
      <w:r>
        <w:t>10.1 The Flexibility Problem</w:t>
      </w:r>
    </w:p>
    <w:p>
      <w:pPr>
        <w:spacing w:after="120" w:line="269" w:lineRule="auto"/>
      </w:pPr>
      <w:r>
        <w:rPr>
          <w:i w:val="0"/>
        </w:rPr>
        <w:t>A representation, metric, reference point, admissible set, and search policy together form an expressive model family. Without independent constraints, almost any choice pattern can be explained after the fact by changing one of them. This is the principal threat to the thesis. The cure is experimental separation: identify representation before fitting choice, manipulate budget directly, estimate geometry on different tasks, and predict held-out reversals.</w:t>
      </w:r>
    </w:p>
    <w:p>
      <w:pPr>
        <w:pStyle w:val="Heading2"/>
        <w:keepNext/>
      </w:pPr>
      <w:r>
        <w:t>10.2 Geometry May Be Descriptive Rather Than Mechanistic</w:t>
      </w:r>
    </w:p>
    <w:p>
      <w:pPr>
        <w:spacing w:after="120" w:line="269" w:lineRule="auto"/>
      </w:pPr>
      <w:r>
        <w:rPr>
          <w:i w:val="0"/>
        </w:rPr>
        <w:t>A successful geometric representation of endpoints does not establish that the cognitive process itself follows geometric paths. The accepted economics paper is explicit that its coordinate basis is a modeling vocabulary rather than a derived psychological basis. The cognition thesis therefore requires process-level evidence—trajectories, internal representations, or causal interventions—that distinguishes a genuinely geometric mechanism from a flexible descriptive embedding.</w:t>
      </w:r>
    </w:p>
    <w:p>
      <w:pPr>
        <w:pStyle w:val="Heading2"/>
        <w:keepNext/>
      </w:pPr>
      <w:r>
        <w:t>10.3 Stratification May Be Too Strong</w:t>
      </w:r>
    </w:p>
    <w:p>
      <w:pPr>
        <w:spacing w:after="120" w:line="269" w:lineRule="auto"/>
      </w:pPr>
      <w:r>
        <w:rPr>
          <w:i w:val="0"/>
        </w:rPr>
        <w:t>Many apparent categorical transitions can be approximated by steep but smooth nonlinear functions. A Whitney-stratified model should be retained only if it predicts regularity at regime boundaries that smoother alternatives miss. If the data are consistently explained by a single smooth manifold with changing metric, the stratification hypothesis should be dropped without abandoning the broader observer-limited geometric framework.</w:t>
      </w:r>
    </w:p>
    <w:p>
      <w:pPr>
        <w:pStyle w:val="Heading2"/>
        <w:keepNext/>
      </w:pPr>
      <w:r>
        <w:t>10.4 Search May Be the Wrong Dynamical Abstraction</w:t>
      </w:r>
    </w:p>
    <w:p>
      <w:pPr>
        <w:spacing w:after="120" w:line="269" w:lineRule="auto"/>
      </w:pPr>
      <w:r>
        <w:rPr>
          <w:i w:val="0"/>
        </w:rPr>
        <w:t>Some cognition may be better described by dynamical systems, sampling, diffusion, predictive coding, or direct policy execution than by search language. The thesis survives this possibility only if bounded search is interpreted at the right level of abstraction: a process that explores or implicitly compares future represented states under resource constraints. If no such counterfactual or trajectory structure is measurable, the dynamic component should be reformulated.</w:t>
      </w:r>
    </w:p>
    <w:p>
      <w:pPr>
        <w:pStyle w:val="Heading2"/>
        <w:keepNext/>
      </w:pPr>
      <w:r>
        <w:t>10.5 Concrete Falsifiers</w:t>
      </w:r>
    </w:p>
    <w:p>
      <w:pPr>
        <w:pStyle w:val="ListBullet"/>
        <w:spacing w:after="60"/>
      </w:pPr>
      <w:r>
        <w:t>Budget manipulations do not systematically alter distinction thresholds or the predicted reversal classes.</w:t>
      </w:r>
    </w:p>
    <w:p>
      <w:pPr>
        <w:pStyle w:val="ListBullet"/>
        <w:spacing w:after="60"/>
      </w:pPr>
      <w:r>
        <w:t>Representation probes show no change where the theory attributes a behavioral flip to representation.</w:t>
      </w:r>
    </w:p>
    <w:p>
      <w:pPr>
        <w:pStyle w:val="ListBullet"/>
        <w:spacing w:after="60"/>
      </w:pPr>
      <w:r>
        <w:t>Choices reverse among alternatives whose differences lie entirely within a demonstrably unchanged retained subspace.</w:t>
      </w:r>
    </w:p>
    <w:p>
      <w:pPr>
        <w:pStyle w:val="ListBullet"/>
        <w:spacing w:after="60"/>
      </w:pPr>
      <w:r>
        <w:t>A single scalar model with fewer effective degrees of freedom predicts the same held-out reversals and process measures better.</w:t>
      </w:r>
    </w:p>
    <w:p>
      <w:pPr>
        <w:pStyle w:val="ListBullet"/>
        <w:spacing w:after="60"/>
      </w:pPr>
      <w:r>
        <w:t>Predicted regime boundaries fail to align across independent observables.</w:t>
      </w:r>
    </w:p>
    <w:p>
      <w:pPr>
        <w:pStyle w:val="ListBullet"/>
        <w:spacing w:after="60"/>
      </w:pPr>
      <w:r>
        <w:t>Cross-domain metric transfer disappears when researcher-coded encodings are replaced by independently measured representations.</w:t>
      </w:r>
    </w:p>
    <w:p>
      <w:pPr>
        <w:pStyle w:val="ListBullet"/>
        <w:spacing w:after="60"/>
      </w:pPr>
      <w:r>
        <w:t>Artificial and biological systems show no reusable relation between representational limits and behavioral transitions.</w:t>
      </w:r>
    </w:p>
    <w:p>
      <w:pPr>
        <w:pStyle w:val="Heading1"/>
        <w:keepNext/>
      </w:pPr>
      <w:r>
        <w:t>11. Research Program: From Framework to Fundamental Theory</w:t>
      </w:r>
    </w:p>
    <w:p>
      <w:pPr>
        <w:pStyle w:val="Heading2"/>
        <w:keepNext/>
      </w:pPr>
      <w:r>
        <w:t>11.1 Phase I — Establish Observer-Limited Reversals</w:t>
      </w:r>
    </w:p>
    <w:p>
      <w:pPr>
        <w:spacing w:after="120" w:line="269" w:lineRule="auto"/>
      </w:pPr>
      <w:r>
        <w:rPr>
          <w:i w:val="0"/>
        </w:rPr>
        <w:t>The first objective is not to prove a universal theory. It is to demonstrate a causal phenomenon: changing representational resolution while holding the evaluator's metric and ideal fixed produces the specific rank reversals predicted by GET. This experiment should be simple, preregistered, and deliberately low-dimensional.</w:t>
      </w:r>
    </w:p>
    <w:p>
      <w:pPr>
        <w:pStyle w:val="Heading2"/>
        <w:keepNext/>
      </w:pPr>
      <w:r>
        <w:t>11.2 Phase II — Learn the Representation Independently</w:t>
      </w:r>
    </w:p>
    <w:p>
      <w:pPr>
        <w:spacing w:after="120" w:line="269" w:lineRule="auto"/>
      </w:pPr>
      <w:r>
        <w:rPr>
          <w:i w:val="0"/>
        </w:rPr>
        <w:t>Replace researcher-coded consequence axes with representations recovered from independent tasks or learned encoders. The key question is whether the same metric and budget logic continues to predict choice when the basis is no longer hand selected. This directly addresses the main limitation of the economic paper.</w:t>
      </w:r>
    </w:p>
    <w:p>
      <w:pPr>
        <w:pStyle w:val="Heading2"/>
        <w:keepNext/>
      </w:pPr>
      <w:r>
        <w:t>11.3 Phase III — Recover Cognitive Trajectories</w:t>
      </w:r>
    </w:p>
    <w:p>
      <w:pPr>
        <w:spacing w:after="120" w:line="269" w:lineRule="auto"/>
      </w:pPr>
      <w:r>
        <w:rPr>
          <w:i w:val="0"/>
        </w:rPr>
        <w:t>Move from endpoints to paths. Use sequential reports, cursor trajectories, eye tracking, or internal AI activations to estimate the route taken through the effective state space. Test whether path cost, stopping, and reversals correspond to the proposed geometry. At this stage, alternative dynamical models should be compared explicitly.</w:t>
      </w:r>
    </w:p>
    <w:p>
      <w:pPr>
        <w:pStyle w:val="Heading2"/>
        <w:keepNext/>
      </w:pPr>
      <w:r>
        <w:t>11.4 Phase IV — Test Stratified Regime Transitions</w:t>
      </w:r>
    </w:p>
    <w:p>
      <w:pPr>
        <w:spacing w:after="120" w:line="269" w:lineRule="auto"/>
      </w:pPr>
      <w:r>
        <w:rPr>
          <w:i w:val="0"/>
        </w:rPr>
        <w:t>Identify a task family with a theoretically predicted boundary. Estimate local tangent structure or effective dimensionality on both sides. Test whether the transition obeys constraints stronger than a generic discontinuity. Only after such evidence should Whitney stratification be promoted from a useful candidate formalism to an empirical claim about cognition.</w:t>
      </w:r>
    </w:p>
    <w:p>
      <w:pPr>
        <w:pStyle w:val="Heading2"/>
        <w:keepNext/>
      </w:pPr>
      <w:r>
        <w:t>11.5 Phase V — Cross-Architecture Universality</w:t>
      </w:r>
    </w:p>
    <w:p>
      <w:pPr>
        <w:spacing w:after="120" w:line="269" w:lineRule="auto"/>
      </w:pPr>
      <w:r>
        <w:rPr>
          <w:i w:val="0"/>
        </w:rPr>
        <w:t>Replicate the same controlled transition in humans and multiple AI architectures. Search for dimensionless or normalized observables that collapse onto a common curve. A robust collapse would be the kind of result that can justify the word fundamental: different substrates exhibiting the same structural law.</w:t>
      </w:r>
    </w:p>
    <w:p>
      <w:pPr>
        <w:pStyle w:val="Heading2"/>
        <w:keepNext/>
      </w:pPr>
      <w:r>
        <w:t>11.6 Phase VI — Safety Intervention</w:t>
      </w:r>
    </w:p>
    <w:p>
      <w:pPr>
        <w:spacing w:after="120" w:line="269" w:lineRule="auto"/>
      </w:pPr>
      <w:r>
        <w:rPr>
          <w:i w:val="0"/>
        </w:rPr>
        <w:t>Use the inferred geometry to predict and prevent a behaviorally important regime transition in an artificial agent. A compelling demonstration would infer a safety-relevant boundary without training on the final failure, detect approach to it from internal geometry, intervene by restoring representation or changing the search landscape, and prevent the predicted unsafe flip while preserving unrelated capabilities.</w:t>
      </w:r>
    </w:p>
    <w:p>
      <w:pPr>
        <w:pStyle w:val="Heading1"/>
        <w:keepNext/>
      </w:pPr>
      <w:r>
        <w:t>12. Conclusion</w:t>
      </w:r>
    </w:p>
    <w:p>
      <w:pPr>
        <w:spacing w:after="120" w:line="269" w:lineRule="auto"/>
      </w:pPr>
      <w:r>
        <w:rPr>
          <w:i w:val="0"/>
        </w:rPr>
        <w:t>The smallest durable claim of this thesis is simple: cognition should be modeled from the observer outward rather than from observed choice backward. The external world supplies possible consequences, but a cognitive agent does not evaluate the world directly. It acts through an observer-relative representation constrained by finite resources. Evaluation geometry and reference structure operate on that representation, admissibility limits the feasible set, and bounded search selects a trajectory or action. Preference is therefore an emergent relation over what the observer can currently distinguish.</w:t>
      </w:r>
    </w:p>
    <w:p>
      <w:pPr>
        <w:spacing w:after="120" w:line="269" w:lineRule="auto"/>
      </w:pPr>
      <w:r>
        <w:rPr>
          <w:i w:val="0"/>
        </w:rPr>
        <w:t>This architecture already has formal support at the evaluation layer. GET derives preferences and semiorders from evaluator, metric, and budget; it proves a preference reversal caused purely by changed resolution. The economic work shows that a shared geometric metric can organize behavior across several task families while also producing a falsifiable invariant that fails at high stakes. The conditional-content work proves that access to context can change an optimal representation even when a reduced observable relation is held fixed. None of these results alone establishes a fundamental theory of cognition. Together, however, they justify a coherent research program in which representation, geometry, and boundedness are treated as causal variables rather than descriptive afterthoughts.</w:t>
      </w:r>
    </w:p>
    <w:p>
      <w:pPr>
        <w:spacing w:after="120" w:line="269" w:lineRule="auto"/>
      </w:pPr>
      <w:r>
        <w:rPr>
          <w:i w:val="0"/>
        </w:rPr>
        <w:t>The decisive next step is not a broader fit. It is a harder experiment: predict a preference flip from an independently measured change in representation, before observing the choice. If repeated experiments can do that across tasks and architectures, the theory would begin to explain why apparently unstable behavior can emerge from stable underlying structure. If the same framework can then predict regime boundaries, reasoning trajectories, and effective interventions, observer-limited geometric cognition would deserve consideration as a candidate fundamental theory rather than merely a useful modeling language.</w:t>
      </w:r>
    </w:p>
    <w:p>
      <w:pPr>
        <w:pStyle w:val="Heading1"/>
        <w:keepNext/>
      </w:pPr>
      <w:r>
        <w:t>Appendix A. Compact Formal Specification</w:t>
      </w:r>
    </w:p>
    <w:p>
      <w:pPr>
        <w:pStyle w:val="Heading2"/>
        <w:keepNext/>
      </w:pPr>
      <w:r>
        <w:t>A.1 Static evaluator</w:t>
      </w:r>
    </w:p>
    <w:p>
      <w:pPr>
        <w:spacing w:before="120" w:after="160"/>
        <w:jc w:val="center"/>
      </w:pPr>
      <w:r>
        <w:rPr>
          <w:rFonts w:ascii="Cambria Math" w:hAnsi="Cambria Math"/>
          <w:sz w:val="23"/>
        </w:rPr>
        <w:t>E = (X, A, C, G, B, K).</w:t>
      </w:r>
    </w:p>
    <w:p>
      <w:pPr>
        <w:spacing w:before="120" w:after="160"/>
        <w:jc w:val="center"/>
      </w:pPr>
      <w:r>
        <w:rPr>
          <w:rFonts w:ascii="Cambria Math" w:hAnsi="Cambria Math"/>
          <w:sz w:val="23"/>
        </w:rPr>
        <w:t>d(a) = [Eμ dG(C(a,X),t)²]¹ᐟ².</w:t>
      </w:r>
    </w:p>
    <w:p>
      <w:pPr>
        <w:spacing w:before="120" w:after="160"/>
        <w:jc w:val="center"/>
      </w:pPr>
      <w:r>
        <w:rPr>
          <w:rFonts w:ascii="Cambria Math" w:hAnsi="Cambria Math"/>
          <w:sz w:val="23"/>
        </w:rPr>
        <w:t>a ≻B b ⇔ dB(a)+εB &lt; dB(b).</w:t>
      </w:r>
    </w:p>
    <w:p>
      <w:pPr>
        <w:pStyle w:val="Heading2"/>
        <w:keepNext/>
      </w:pPr>
      <w:r>
        <w:t>A.2 Observer map</w:t>
      </w:r>
    </w:p>
    <w:p>
      <w:pPr>
        <w:spacing w:before="120" w:after="160"/>
        <w:jc w:val="center"/>
      </w:pPr>
      <w:r>
        <w:rPr>
          <w:rFonts w:ascii="Cambria Math" w:hAnsi="Cambria Math"/>
          <w:sz w:val="23"/>
        </w:rPr>
        <w:t>z = Φθ,B,c(x).</w:t>
      </w:r>
    </w:p>
    <w:p>
      <w:pPr>
        <w:pStyle w:val="Heading2"/>
        <w:keepNext/>
      </w:pPr>
      <w:r>
        <w:t>A.3 Pairwise flip condition</w:t>
      </w:r>
    </w:p>
    <w:p>
      <w:pPr>
        <w:spacing w:before="120" w:after="160"/>
        <w:jc w:val="center"/>
      </w:pPr>
      <w:r>
        <w:rPr>
          <w:rFonts w:ascii="Cambria Math" w:hAnsi="Cambria Math"/>
          <w:sz w:val="23"/>
        </w:rPr>
        <w:t>Δ(B,c) = d²B,c(a) − d²B,c(b);      flip when sign Δ changes.</w:t>
      </w:r>
    </w:p>
    <w:p>
      <w:pPr>
        <w:pStyle w:val="Heading2"/>
        <w:keepNext/>
      </w:pPr>
      <w:r>
        <w:t>A.4 Dynamic extension</w:t>
      </w:r>
    </w:p>
    <w:p>
      <w:pPr>
        <w:spacing w:before="120" w:after="160"/>
        <w:jc w:val="center"/>
      </w:pPr>
      <w:r>
        <w:rPr>
          <w:rFonts w:ascii="Cambria Math" w:hAnsi="Cambria Math"/>
          <w:sz w:val="23"/>
        </w:rPr>
        <w:t>γ:[0,T]→M,      J[γ]=∫₀ᵀL(γ,γ̇,c,B)dt.</w:t>
      </w:r>
    </w:p>
    <w:p>
      <w:pPr>
        <w:spacing w:before="120" w:after="160"/>
        <w:jc w:val="center"/>
      </w:pPr>
      <w:r>
        <w:rPr>
          <w:rFonts w:ascii="Cambria Math" w:hAnsi="Cambria Math"/>
          <w:sz w:val="23"/>
        </w:rPr>
        <w:t>π(a|z,H,Ggoal,B) biased toward lower estimated remaining path cost Ĉ.</w:t>
      </w:r>
    </w:p>
    <w:p>
      <w:pPr>
        <w:pStyle w:val="Heading2"/>
        <w:keepNext/>
      </w:pPr>
      <w:r>
        <w:t>A.5 Stratified extension</w:t>
      </w:r>
    </w:p>
    <w:p>
      <w:pPr>
        <w:spacing w:before="120" w:after="160"/>
        <w:jc w:val="center"/>
      </w:pPr>
      <w:r>
        <w:rPr>
          <w:rFonts w:ascii="Cambria Math" w:hAnsi="Cambria Math"/>
          <w:sz w:val="23"/>
        </w:rPr>
        <w:t>M = ⨆α Sα  (proposed; Whitney regularity to be tested, not assumed as established).</w:t>
      </w:r>
    </w:p>
    <w:p>
      <w:pPr>
        <w:pStyle w:val="Heading1"/>
        <w:keepNext/>
      </w:pPr>
      <w:r>
        <w:t>Appendix B. Claim Registry</w:t>
      </w:r>
    </w:p>
    <w:tbl>
      <w:tblPr>
        <w:tblStyle w:val="TableGrid"/>
        <w:tblW w:type="auto" w:w="0"/>
        <w:jc w:val="center"/>
        <w:tblLook w:firstColumn="1" w:firstRow="1" w:lastColumn="0" w:lastRow="0" w:noHBand="0" w:noVBand="1" w:val="04A0"/>
      </w:tblPr>
      <w:tblGrid>
        <w:gridCol w:w="3168"/>
        <w:gridCol w:w="3168"/>
        <w:gridCol w:w="3168"/>
      </w:tblGrid>
      <w:tr>
        <w:trPr>
          <w:cantSplit/>
        </w:trPr>
        <w:tc>
          <w:tcPr>
            <w:tcW w:type="dxa" w:w="3096"/>
            <w:shd w:fill="D9E3EA"/>
            <w:vAlign w:val="center"/>
            <w:tcMar>
              <w:top w:w="120" w:type="dxa"/>
              <w:start w:w="120" w:type="dxa"/>
              <w:bottom w:w="120" w:type="dxa"/>
              <w:end w:w="120" w:type="dxa"/>
            </w:tcMar>
          </w:tcPr>
          <w:p>
            <w:r>
              <w:rPr>
                <w:b/>
                <w:sz w:val="18"/>
              </w:rPr>
              <w:t>Claim</w:t>
            </w:r>
          </w:p>
        </w:tc>
        <w:tc>
          <w:tcPr>
            <w:tcW w:type="dxa" w:w="3096"/>
            <w:shd w:fill="D9E3EA"/>
            <w:vAlign w:val="center"/>
            <w:tcMar>
              <w:top w:w="120" w:type="dxa"/>
              <w:start w:w="120" w:type="dxa"/>
              <w:bottom w:w="120" w:type="dxa"/>
              <w:end w:w="120" w:type="dxa"/>
            </w:tcMar>
          </w:tcPr>
          <w:p>
            <w:r>
              <w:rPr>
                <w:b/>
                <w:sz w:val="18"/>
              </w:rPr>
              <w:t>Current status</w:t>
            </w:r>
          </w:p>
        </w:tc>
        <w:tc>
          <w:tcPr>
            <w:tcW w:type="dxa" w:w="3096"/>
            <w:shd w:fill="D9E3EA"/>
            <w:vAlign w:val="center"/>
            <w:tcMar>
              <w:top w:w="120" w:type="dxa"/>
              <w:start w:w="120" w:type="dxa"/>
              <w:bottom w:w="120" w:type="dxa"/>
              <w:end w:w="120" w:type="dxa"/>
            </w:tcMar>
          </w:tcPr>
          <w:p>
            <w:r>
              <w:rPr>
                <w:b/>
                <w:sz w:val="18"/>
              </w:rPr>
              <w:t>Required next evidence</w:t>
            </w:r>
          </w:p>
        </w:tc>
      </w:tr>
      <w:tr>
        <w:trPr>
          <w:cantSplit/>
        </w:trPr>
        <w:tc>
          <w:tcPr>
            <w:tcW w:type="dxa" w:w="3096"/>
            <w:vAlign w:val="center"/>
            <w:tcMar>
              <w:top w:w="110" w:type="dxa"/>
              <w:start w:w="120" w:type="dxa"/>
              <w:bottom w:w="110" w:type="dxa"/>
              <w:end w:w="120" w:type="dxa"/>
            </w:tcMar>
          </w:tcPr>
          <w:p>
            <w:pPr>
              <w:spacing w:after="0"/>
            </w:pPr>
            <w:r>
              <w:rPr>
                <w:sz w:val="18"/>
              </w:rPr>
              <w:t>Finite budget changes effective distinctions</w:t>
            </w:r>
          </w:p>
        </w:tc>
        <w:tc>
          <w:tcPr>
            <w:tcW w:type="dxa" w:w="3096"/>
            <w:vAlign w:val="center"/>
            <w:tcMar>
              <w:top w:w="110" w:type="dxa"/>
              <w:start w:w="120" w:type="dxa"/>
              <w:bottom w:w="110" w:type="dxa"/>
              <w:end w:w="120" w:type="dxa"/>
            </w:tcMar>
          </w:tcPr>
          <w:p>
            <w:pPr>
              <w:spacing w:after="0"/>
            </w:pPr>
            <w:r>
              <w:rPr>
                <w:sz w:val="18"/>
              </w:rPr>
              <w:t>Proved in GET</w:t>
            </w:r>
          </w:p>
        </w:tc>
        <w:tc>
          <w:tcPr>
            <w:tcW w:type="dxa" w:w="3096"/>
            <w:vAlign w:val="center"/>
            <w:tcMar>
              <w:top w:w="110" w:type="dxa"/>
              <w:start w:w="120" w:type="dxa"/>
              <w:bottom w:w="110" w:type="dxa"/>
              <w:end w:w="120" w:type="dxa"/>
            </w:tcMar>
          </w:tcPr>
          <w:p>
            <w:pPr>
              <w:spacing w:after="0"/>
            </w:pPr>
            <w:r>
              <w:rPr>
                <w:sz w:val="18"/>
              </w:rPr>
              <w:t>Replicate as a measured human/AI phenomenon.</w:t>
            </w:r>
          </w:p>
        </w:tc>
      </w:tr>
      <w:tr>
        <w:trPr>
          <w:cantSplit/>
        </w:trPr>
        <w:tc>
          <w:tcPr>
            <w:tcW w:type="dxa" w:w="3096"/>
            <w:vAlign w:val="center"/>
            <w:tcMar>
              <w:top w:w="110" w:type="dxa"/>
              <w:start w:w="120" w:type="dxa"/>
              <w:bottom w:w="110" w:type="dxa"/>
              <w:end w:w="120" w:type="dxa"/>
            </w:tcMar>
          </w:tcPr>
          <w:p>
            <w:pPr>
              <w:spacing w:after="0"/>
            </w:pPr>
            <w:r>
              <w:rPr>
                <w:sz w:val="18"/>
              </w:rPr>
              <w:t>Finite tolerance induces semiorder structure</w:t>
            </w:r>
          </w:p>
        </w:tc>
        <w:tc>
          <w:tcPr>
            <w:tcW w:type="dxa" w:w="3096"/>
            <w:vAlign w:val="center"/>
            <w:tcMar>
              <w:top w:w="110" w:type="dxa"/>
              <w:start w:w="120" w:type="dxa"/>
              <w:bottom w:w="110" w:type="dxa"/>
              <w:end w:w="120" w:type="dxa"/>
            </w:tcMar>
          </w:tcPr>
          <w:p>
            <w:pPr>
              <w:spacing w:after="0"/>
            </w:pPr>
            <w:r>
              <w:rPr>
                <w:sz w:val="18"/>
              </w:rPr>
              <w:t>Proved in GET</w:t>
            </w:r>
          </w:p>
        </w:tc>
        <w:tc>
          <w:tcPr>
            <w:tcW w:type="dxa" w:w="3096"/>
            <w:vAlign w:val="center"/>
            <w:tcMar>
              <w:top w:w="110" w:type="dxa"/>
              <w:start w:w="120" w:type="dxa"/>
              <w:bottom w:w="110" w:type="dxa"/>
              <w:end w:w="120" w:type="dxa"/>
            </w:tcMar>
          </w:tcPr>
          <w:p>
            <w:pPr>
              <w:spacing w:after="0"/>
            </w:pPr>
            <w:r>
              <w:rPr>
                <w:sz w:val="18"/>
              </w:rPr>
              <w:t>Estimate threshold under controlled budgets.</w:t>
            </w:r>
          </w:p>
        </w:tc>
      </w:tr>
      <w:tr>
        <w:trPr>
          <w:cantSplit/>
        </w:trPr>
        <w:tc>
          <w:tcPr>
            <w:tcW w:type="dxa" w:w="3096"/>
            <w:vAlign w:val="center"/>
            <w:tcMar>
              <w:top w:w="110" w:type="dxa"/>
              <w:start w:w="120" w:type="dxa"/>
              <w:bottom w:w="110" w:type="dxa"/>
              <w:end w:w="120" w:type="dxa"/>
            </w:tcMar>
          </w:tcPr>
          <w:p>
            <w:pPr>
              <w:spacing w:after="0"/>
            </w:pPr>
            <w:r>
              <w:rPr>
                <w:sz w:val="18"/>
              </w:rPr>
              <w:t>Rank change can reverse preference with fixed metric/ideal</w:t>
            </w:r>
          </w:p>
        </w:tc>
        <w:tc>
          <w:tcPr>
            <w:tcW w:type="dxa" w:w="3096"/>
            <w:vAlign w:val="center"/>
            <w:tcMar>
              <w:top w:w="110" w:type="dxa"/>
              <w:start w:w="120" w:type="dxa"/>
              <w:bottom w:w="110" w:type="dxa"/>
              <w:end w:w="120" w:type="dxa"/>
            </w:tcMar>
          </w:tcPr>
          <w:p>
            <w:pPr>
              <w:spacing w:after="0"/>
            </w:pPr>
            <w:r>
              <w:rPr>
                <w:sz w:val="18"/>
              </w:rPr>
              <w:t>Proved in GET</w:t>
            </w:r>
          </w:p>
        </w:tc>
        <w:tc>
          <w:tcPr>
            <w:tcW w:type="dxa" w:w="3096"/>
            <w:vAlign w:val="center"/>
            <w:tcMar>
              <w:top w:w="110" w:type="dxa"/>
              <w:start w:w="120" w:type="dxa"/>
              <w:bottom w:w="110" w:type="dxa"/>
              <w:end w:w="120" w:type="dxa"/>
            </w:tcMar>
          </w:tcPr>
          <w:p>
            <w:pPr>
              <w:spacing w:after="0"/>
            </w:pPr>
            <w:r>
              <w:rPr>
                <w:sz w:val="18"/>
              </w:rPr>
              <w:t>Causal laboratory test with fixed consequence map.</w:t>
            </w:r>
          </w:p>
        </w:tc>
      </w:tr>
      <w:tr>
        <w:trPr>
          <w:cantSplit/>
        </w:trPr>
        <w:tc>
          <w:tcPr>
            <w:tcW w:type="dxa" w:w="3096"/>
            <w:vAlign w:val="center"/>
            <w:tcMar>
              <w:top w:w="110" w:type="dxa"/>
              <w:start w:w="120" w:type="dxa"/>
              <w:bottom w:w="110" w:type="dxa"/>
              <w:end w:w="120" w:type="dxa"/>
            </w:tcMar>
          </w:tcPr>
          <w:p>
            <w:pPr>
              <w:spacing w:after="0"/>
            </w:pPr>
            <w:r>
              <w:rPr>
                <w:sz w:val="18"/>
              </w:rPr>
              <w:t>Geometric metric transfers across several economic domains</w:t>
            </w:r>
          </w:p>
        </w:tc>
        <w:tc>
          <w:tcPr>
            <w:tcW w:type="dxa" w:w="3096"/>
            <w:vAlign w:val="center"/>
            <w:tcMar>
              <w:top w:w="110" w:type="dxa"/>
              <w:start w:w="120" w:type="dxa"/>
              <w:bottom w:w="110" w:type="dxa"/>
              <w:end w:w="120" w:type="dxa"/>
            </w:tcMar>
          </w:tcPr>
          <w:p>
            <w:pPr>
              <w:spacing w:after="0"/>
            </w:pPr>
            <w:r>
              <w:rPr>
                <w:sz w:val="18"/>
              </w:rPr>
              <w:t>Empirically supported in accepted TCSS paper, with selection caveats</w:t>
            </w:r>
          </w:p>
        </w:tc>
        <w:tc>
          <w:tcPr>
            <w:tcW w:type="dxa" w:w="3096"/>
            <w:vAlign w:val="center"/>
            <w:tcMar>
              <w:top w:w="110" w:type="dxa"/>
              <w:start w:w="120" w:type="dxa"/>
              <w:bottom w:w="110" w:type="dxa"/>
              <w:end w:w="120" w:type="dxa"/>
            </w:tcMar>
          </w:tcPr>
          <w:p>
            <w:pPr>
              <w:spacing w:after="0"/>
            </w:pPr>
            <w:r>
              <w:rPr>
                <w:sz w:val="18"/>
              </w:rPr>
              <w:t>Preregistered held-out tasks and independent encodings.</w:t>
            </w:r>
          </w:p>
        </w:tc>
      </w:tr>
      <w:tr>
        <w:trPr>
          <w:cantSplit/>
        </w:trPr>
        <w:tc>
          <w:tcPr>
            <w:tcW w:type="dxa" w:w="3096"/>
            <w:vAlign w:val="center"/>
            <w:tcMar>
              <w:top w:w="110" w:type="dxa"/>
              <w:start w:w="120" w:type="dxa"/>
              <w:bottom w:w="110" w:type="dxa"/>
              <w:end w:w="120" w:type="dxa"/>
            </w:tcMar>
          </w:tcPr>
          <w:p>
            <w:pPr>
              <w:spacing w:after="0"/>
            </w:pPr>
            <w:r>
              <w:rPr>
                <w:sz w:val="18"/>
              </w:rPr>
              <w:t>Context access can change optimal representation problem</w:t>
            </w:r>
          </w:p>
        </w:tc>
        <w:tc>
          <w:tcPr>
            <w:tcW w:type="dxa" w:w="3096"/>
            <w:vAlign w:val="center"/>
            <w:tcMar>
              <w:top w:w="110" w:type="dxa"/>
              <w:start w:w="120" w:type="dxa"/>
              <w:bottom w:w="110" w:type="dxa"/>
              <w:end w:w="120" w:type="dxa"/>
            </w:tcMar>
          </w:tcPr>
          <w:p>
            <w:pPr>
              <w:spacing w:after="0"/>
            </w:pPr>
            <w:r>
              <w:rPr>
                <w:sz w:val="18"/>
              </w:rPr>
              <w:t>Proved in conditional-content source-coding model</w:t>
            </w:r>
          </w:p>
        </w:tc>
        <w:tc>
          <w:tcPr>
            <w:tcW w:type="dxa" w:w="3096"/>
            <w:vAlign w:val="center"/>
            <w:tcMar>
              <w:top w:w="110" w:type="dxa"/>
              <w:start w:w="120" w:type="dxa"/>
              <w:bottom w:w="110" w:type="dxa"/>
              <w:end w:w="120" w:type="dxa"/>
            </w:tcMar>
          </w:tcPr>
          <w:p>
            <w:pPr>
              <w:spacing w:after="0"/>
            </w:pPr>
            <w:r>
              <w:rPr>
                <w:sz w:val="18"/>
              </w:rPr>
              <w:t>Connect to cognitive representation experimentally.</w:t>
            </w:r>
          </w:p>
        </w:tc>
      </w:tr>
      <w:tr>
        <w:trPr>
          <w:cantSplit/>
        </w:trPr>
        <w:tc>
          <w:tcPr>
            <w:tcW w:type="dxa" w:w="3096"/>
            <w:vAlign w:val="center"/>
            <w:tcMar>
              <w:top w:w="110" w:type="dxa"/>
              <w:start w:w="120" w:type="dxa"/>
              <w:bottom w:w="110" w:type="dxa"/>
              <w:end w:w="120" w:type="dxa"/>
            </w:tcMar>
          </w:tcPr>
          <w:p>
            <w:pPr>
              <w:spacing w:after="0"/>
            </w:pPr>
            <w:r>
              <w:rPr>
                <w:sz w:val="18"/>
              </w:rPr>
              <w:t>Cognition is bounded geometric search</w:t>
            </w:r>
          </w:p>
        </w:tc>
        <w:tc>
          <w:tcPr>
            <w:tcW w:type="dxa" w:w="3096"/>
            <w:vAlign w:val="center"/>
            <w:tcMar>
              <w:top w:w="110" w:type="dxa"/>
              <w:start w:w="120" w:type="dxa"/>
              <w:bottom w:w="110" w:type="dxa"/>
              <w:end w:w="120" w:type="dxa"/>
            </w:tcMar>
          </w:tcPr>
          <w:p>
            <w:pPr>
              <w:spacing w:after="0"/>
            </w:pPr>
            <w:r>
              <w:rPr>
                <w:sz w:val="18"/>
              </w:rPr>
              <w:t>Proposed</w:t>
            </w:r>
          </w:p>
        </w:tc>
        <w:tc>
          <w:tcPr>
            <w:tcW w:type="dxa" w:w="3096"/>
            <w:vAlign w:val="center"/>
            <w:tcMar>
              <w:top w:w="110" w:type="dxa"/>
              <w:start w:w="120" w:type="dxa"/>
              <w:bottom w:w="110" w:type="dxa"/>
              <w:end w:w="120" w:type="dxa"/>
            </w:tcMar>
          </w:tcPr>
          <w:p>
            <w:pPr>
              <w:spacing w:after="0"/>
            </w:pPr>
            <w:r>
              <w:rPr>
                <w:sz w:val="18"/>
              </w:rPr>
              <w:t>Recover and predict trajectories, not only endpoints.</w:t>
            </w:r>
          </w:p>
        </w:tc>
      </w:tr>
      <w:tr>
        <w:trPr>
          <w:cantSplit/>
        </w:trPr>
        <w:tc>
          <w:tcPr>
            <w:tcW w:type="dxa" w:w="3096"/>
            <w:vAlign w:val="center"/>
            <w:tcMar>
              <w:top w:w="110" w:type="dxa"/>
              <w:start w:w="120" w:type="dxa"/>
              <w:bottom w:w="110" w:type="dxa"/>
              <w:end w:w="120" w:type="dxa"/>
            </w:tcMar>
          </w:tcPr>
          <w:p>
            <w:pPr>
              <w:spacing w:after="0"/>
            </w:pPr>
            <w:r>
              <w:rPr>
                <w:sz w:val="18"/>
              </w:rPr>
              <w:t>Cognitive space is Whitney stratified</w:t>
            </w:r>
          </w:p>
        </w:tc>
        <w:tc>
          <w:tcPr>
            <w:tcW w:type="dxa" w:w="3096"/>
            <w:vAlign w:val="center"/>
            <w:tcMar>
              <w:top w:w="110" w:type="dxa"/>
              <w:start w:w="120" w:type="dxa"/>
              <w:bottom w:w="110" w:type="dxa"/>
              <w:end w:w="120" w:type="dxa"/>
            </w:tcMar>
          </w:tcPr>
          <w:p>
            <w:pPr>
              <w:spacing w:after="0"/>
            </w:pPr>
            <w:r>
              <w:rPr>
                <w:sz w:val="18"/>
              </w:rPr>
              <w:t>Proposed</w:t>
            </w:r>
          </w:p>
        </w:tc>
        <w:tc>
          <w:tcPr>
            <w:tcW w:type="dxa" w:w="3096"/>
            <w:vAlign w:val="center"/>
            <w:tcMar>
              <w:top w:w="110" w:type="dxa"/>
              <w:start w:w="120" w:type="dxa"/>
              <w:bottom w:w="110" w:type="dxa"/>
              <w:end w:w="120" w:type="dxa"/>
            </w:tcMar>
          </w:tcPr>
          <w:p>
            <w:pPr>
              <w:spacing w:after="0"/>
            </w:pPr>
            <w:r>
              <w:rPr>
                <w:sz w:val="18"/>
              </w:rPr>
              <w:t>Measure boundary geometry and Whitney-type regularity.</w:t>
            </w:r>
          </w:p>
        </w:tc>
      </w:tr>
      <w:tr>
        <w:trPr>
          <w:cantSplit/>
        </w:trPr>
        <w:tc>
          <w:tcPr>
            <w:tcW w:type="dxa" w:w="3096"/>
            <w:vAlign w:val="center"/>
            <w:tcMar>
              <w:top w:w="110" w:type="dxa"/>
              <w:start w:w="120" w:type="dxa"/>
              <w:bottom w:w="110" w:type="dxa"/>
              <w:end w:w="120" w:type="dxa"/>
            </w:tcMar>
          </w:tcPr>
          <w:p>
            <w:pPr>
              <w:spacing w:after="0"/>
            </w:pPr>
            <w:r>
              <w:rPr>
                <w:sz w:val="18"/>
              </w:rPr>
              <w:t>Shared laws hold across humans and AI</w:t>
            </w:r>
          </w:p>
        </w:tc>
        <w:tc>
          <w:tcPr>
            <w:tcW w:type="dxa" w:w="3096"/>
            <w:vAlign w:val="center"/>
            <w:tcMar>
              <w:top w:w="110" w:type="dxa"/>
              <w:start w:w="120" w:type="dxa"/>
              <w:bottom w:w="110" w:type="dxa"/>
              <w:end w:w="120" w:type="dxa"/>
            </w:tcMar>
          </w:tcPr>
          <w:p>
            <w:pPr>
              <w:spacing w:after="0"/>
            </w:pPr>
            <w:r>
              <w:rPr>
                <w:sz w:val="18"/>
              </w:rPr>
              <w:t>Proposed</w:t>
            </w:r>
          </w:p>
        </w:tc>
        <w:tc>
          <w:tcPr>
            <w:tcW w:type="dxa" w:w="3096"/>
            <w:vAlign w:val="center"/>
            <w:tcMar>
              <w:top w:w="110" w:type="dxa"/>
              <w:start w:w="120" w:type="dxa"/>
              <w:bottom w:w="110" w:type="dxa"/>
              <w:end w:w="120" w:type="dxa"/>
            </w:tcMar>
          </w:tcPr>
          <w:p>
            <w:pPr>
              <w:spacing w:after="0"/>
            </w:pPr>
            <w:r>
              <w:rPr>
                <w:sz w:val="18"/>
              </w:rPr>
              <w:t>Cross-architecture replication and scaling collapse.</w:t>
            </w:r>
          </w:p>
        </w:tc>
      </w:tr>
      <w:tr>
        <w:trPr>
          <w:cantSplit/>
        </w:trPr>
        <w:tc>
          <w:tcPr>
            <w:tcW w:type="dxa" w:w="3096"/>
            <w:vAlign w:val="center"/>
            <w:tcMar>
              <w:top w:w="110" w:type="dxa"/>
              <w:start w:w="120" w:type="dxa"/>
              <w:bottom w:w="110" w:type="dxa"/>
              <w:end w:w="120" w:type="dxa"/>
            </w:tcMar>
          </w:tcPr>
          <w:p>
            <w:pPr>
              <w:spacing w:after="0"/>
            </w:pPr>
            <w:r>
              <w:rPr>
                <w:sz w:val="18"/>
              </w:rPr>
              <w:t>Geometric intervention improves AI safety</w:t>
            </w:r>
          </w:p>
        </w:tc>
        <w:tc>
          <w:tcPr>
            <w:tcW w:type="dxa" w:w="3096"/>
            <w:vAlign w:val="center"/>
            <w:tcMar>
              <w:top w:w="110" w:type="dxa"/>
              <w:start w:w="120" w:type="dxa"/>
              <w:bottom w:w="110" w:type="dxa"/>
              <w:end w:w="120" w:type="dxa"/>
            </w:tcMar>
          </w:tcPr>
          <w:p>
            <w:pPr>
              <w:spacing w:after="0"/>
            </w:pPr>
            <w:r>
              <w:rPr>
                <w:sz w:val="18"/>
              </w:rPr>
              <w:t>Proposed</w:t>
            </w:r>
          </w:p>
        </w:tc>
        <w:tc>
          <w:tcPr>
            <w:tcW w:type="dxa" w:w="3096"/>
            <w:vAlign w:val="center"/>
            <w:tcMar>
              <w:top w:w="110" w:type="dxa"/>
              <w:start w:w="120" w:type="dxa"/>
              <w:bottom w:w="110" w:type="dxa"/>
              <w:end w:w="120" w:type="dxa"/>
            </w:tcMar>
          </w:tcPr>
          <w:p>
            <w:pPr>
              <w:spacing w:after="0"/>
            </w:pPr>
            <w:r>
              <w:rPr>
                <w:sz w:val="18"/>
              </w:rPr>
              <w:t>Predict and prevent a held-out unsafe regime transition.</w:t>
            </w:r>
          </w:p>
        </w:tc>
      </w:tr>
    </w:tbl>
    <w:p>
      <w:pPr>
        <w:spacing w:after="40"/>
      </w:pPr>
    </w:p>
    <w:p>
      <w:pPr>
        <w:pStyle w:val="Heading1"/>
        <w:keepNext/>
      </w:pPr>
      <w:r>
        <w:t>References</w:t>
      </w:r>
    </w:p>
    <w:p>
      <w:pPr>
        <w:spacing w:after="20" w:line="240" w:lineRule="auto"/>
        <w:ind w:left="432" w:hanging="432"/>
      </w:pPr>
      <w:r>
        <w:rPr>
          <w:sz w:val="20"/>
        </w:rPr>
        <w:t>Bond, A. H. (2026a). Geometric Evaluation Theory: Evaluator, Metric, and Budget Induce the Distinctions From Which Preference and Choice Follow. Draft 0.2, San José State University.</w:t>
      </w:r>
    </w:p>
    <w:p>
      <w:pPr>
        <w:spacing w:after="20" w:line="240" w:lineRule="auto"/>
        <w:ind w:left="432" w:hanging="432"/>
      </w:pPr>
      <w:r>
        <w:rPr>
          <w:sz w:val="20"/>
        </w:rPr>
        <w:t>Bond, A. H. (2026b). Geometric Prediction of Economic Behavior: Cross-Domain Validation Across Game Theory and Prospect Theory. IEEE Transactions on Computational Social Systems, accepted for publication.</w:t>
      </w:r>
    </w:p>
    <w:p>
      <w:pPr>
        <w:spacing w:after="20" w:line="240" w:lineRule="auto"/>
        <w:ind w:left="432" w:hanging="432"/>
      </w:pPr>
      <w:r>
        <w:rPr>
          <w:sz w:val="20"/>
        </w:rPr>
        <w:t>Bond, A. H. (2026c). Tradeoffs Between Rate and Conditional Content with Encoder-Observed Context. Manuscript, IEEE Transactions on Information Theory format.</w:t>
      </w:r>
    </w:p>
    <w:p>
      <w:pPr>
        <w:spacing w:after="20" w:line="240" w:lineRule="auto"/>
        <w:ind w:left="432" w:hanging="432"/>
      </w:pPr>
      <w:r>
        <w:rPr>
          <w:sz w:val="20"/>
        </w:rPr>
        <w:t>Bond, A. H. (2026d). Observer Representation: One Pullback, Two Pushforwards. Draft 0.1, geometric-observation repository. doi:10.5281/zenodo.21776291.</w:t>
      </w:r>
    </w:p>
    <w:p>
      <w:pPr>
        <w:spacing w:after="20" w:line="240" w:lineRule="auto"/>
        <w:ind w:left="432" w:hanging="432"/>
      </w:pPr>
      <w:r>
        <w:rPr>
          <w:sz w:val="20"/>
        </w:rPr>
        <w:t>Caplin, A., &amp; Dean, M. (2015). Revealed preference, rational inattention, and costly information acquisition. American Economic Review, 105(7), 2183–2203.</w:t>
      </w:r>
    </w:p>
    <w:p>
      <w:pPr>
        <w:spacing w:after="20" w:line="240" w:lineRule="auto"/>
        <w:ind w:left="432" w:hanging="432"/>
      </w:pPr>
      <w:r>
        <w:rPr>
          <w:sz w:val="20"/>
        </w:rPr>
        <w:t>Coombs, C. H. (1964). A Theory of Data. Wiley.</w:t>
      </w:r>
    </w:p>
    <w:p>
      <w:pPr>
        <w:spacing w:after="20" w:line="240" w:lineRule="auto"/>
        <w:ind w:left="432" w:hanging="432"/>
      </w:pPr>
      <w:r>
        <w:rPr>
          <w:sz w:val="20"/>
        </w:rPr>
        <w:t>Dawid, A. P. (2007). The geometry of proper scoring rules. Annals of the Institute of Statistical Mathematics, 59(1), 77–93.</w:t>
      </w:r>
    </w:p>
    <w:p>
      <w:pPr>
        <w:spacing w:after="20" w:line="240" w:lineRule="auto"/>
        <w:ind w:left="432" w:hanging="432"/>
      </w:pPr>
      <w:r>
        <w:rPr>
          <w:sz w:val="20"/>
        </w:rPr>
        <w:t>Dawid, A. P., &amp; Lauritzen, S. L. (2005). The geometry of decision theory. Proceedings of the 2nd International Symposium on Information Geometry and Its Applications, 22–28.</w:t>
      </w:r>
    </w:p>
    <w:p>
      <w:pPr>
        <w:spacing w:after="20" w:line="240" w:lineRule="auto"/>
        <w:ind w:left="432" w:hanging="432"/>
      </w:pPr>
      <w:r>
        <w:rPr>
          <w:sz w:val="20"/>
        </w:rPr>
        <w:t>Fishburn, P. C. (1970). Intransitive indifference with unequal indifference intervals. Journal of Mathematical Psychology, 7(1), 144–149.</w:t>
      </w:r>
    </w:p>
    <w:p>
      <w:pPr>
        <w:spacing w:after="20" w:line="240" w:lineRule="auto"/>
        <w:ind w:left="432" w:hanging="432"/>
      </w:pPr>
      <w:r>
        <w:rPr>
          <w:sz w:val="20"/>
        </w:rPr>
        <w:t>Kahneman, D., &amp; Tversky, A. (1979). Prospect theory: An analysis of decision under risk. Econometrica, 47(2), 263–291.</w:t>
      </w:r>
    </w:p>
    <w:p>
      <w:pPr>
        <w:spacing w:after="20" w:line="240" w:lineRule="auto"/>
        <w:ind w:left="432" w:hanging="432"/>
      </w:pPr>
      <w:r>
        <w:rPr>
          <w:sz w:val="20"/>
        </w:rPr>
        <w:t>Luce, R. D. (1956). Semiorders and a theory of utility discrimination. Econometrica, 24(2), 178–191.</w:t>
      </w:r>
    </w:p>
    <w:p>
      <w:pPr>
        <w:spacing w:after="20" w:line="240" w:lineRule="auto"/>
        <w:ind w:left="432" w:hanging="432"/>
      </w:pPr>
      <w:r>
        <w:rPr>
          <w:sz w:val="20"/>
        </w:rPr>
        <w:t>Masatlioglu, Y., Nakajima, D., &amp; Ozbay, E. Y. (2012). Revealed attention. American Economic Review, 102(5), 2183–2205.</w:t>
      </w:r>
    </w:p>
    <w:p>
      <w:pPr>
        <w:spacing w:after="20" w:line="240" w:lineRule="auto"/>
        <w:ind w:left="432" w:hanging="432"/>
      </w:pPr>
      <w:r>
        <w:rPr>
          <w:sz w:val="20"/>
        </w:rPr>
        <w:t>Matějka, F., &amp; McKay, A. (2015). Rational inattention to discrete choices: A new foundation for the multinomial logit model. American Economic Review, 105(1), 272–298.</w:t>
      </w:r>
    </w:p>
    <w:p>
      <w:pPr>
        <w:spacing w:after="20" w:line="240" w:lineRule="auto"/>
        <w:ind w:left="432" w:hanging="432"/>
      </w:pPr>
      <w:r>
        <w:rPr>
          <w:sz w:val="20"/>
        </w:rPr>
        <w:t>Scott, D., &amp; Suppes, P. (1958). Foundational aspects of theories of measurement. Journal of Symbolic Logic, 23(2), 113–128.</w:t>
      </w:r>
    </w:p>
    <w:p>
      <w:pPr>
        <w:spacing w:after="20" w:line="240" w:lineRule="auto"/>
        <w:ind w:left="432" w:hanging="432"/>
      </w:pPr>
      <w:r>
        <w:rPr>
          <w:sz w:val="20"/>
        </w:rPr>
        <w:t>Sen, A. K. (1971). Choice functions and revealed preference. Review of Economic Studies, 38(3), 307–317.</w:t>
      </w:r>
    </w:p>
    <w:p>
      <w:pPr>
        <w:spacing w:after="20" w:line="240" w:lineRule="auto"/>
        <w:ind w:left="432" w:hanging="432"/>
      </w:pPr>
      <w:r>
        <w:rPr>
          <w:sz w:val="20"/>
        </w:rPr>
        <w:t>Sen, A. (1993). Internal consistency of choice. Econometrica, 61(3), 495–521.</w:t>
      </w:r>
    </w:p>
    <w:p>
      <w:pPr>
        <w:spacing w:after="20" w:line="240" w:lineRule="auto"/>
        <w:ind w:left="432" w:hanging="432"/>
      </w:pPr>
      <w:r>
        <w:rPr>
          <w:sz w:val="20"/>
        </w:rPr>
        <w:t>Simon, H. A. (1955). A behavioral model of rational choice. Quarterly Journal of Economics, 69(1), 99–118.</w:t>
      </w:r>
    </w:p>
    <w:p>
      <w:pPr>
        <w:spacing w:after="20" w:line="240" w:lineRule="auto"/>
        <w:ind w:left="432" w:hanging="432"/>
      </w:pPr>
      <w:r>
        <w:rPr>
          <w:sz w:val="20"/>
        </w:rPr>
        <w:t>Sims, C. A. (2003). Implications of rational inattention. Journal of Monetary Economics, 50(3), 665–690.</w:t>
      </w:r>
    </w:p>
    <w:p>
      <w:pPr>
        <w:spacing w:after="20" w:line="240" w:lineRule="auto"/>
        <w:ind w:left="432" w:hanging="432"/>
      </w:pPr>
      <w:r>
        <w:rPr>
          <w:sz w:val="20"/>
        </w:rPr>
        <w:t>Tversky, A. (1969). Intransitivity of preferences. Psychological Review, 76(1), 31–48.</w:t>
      </w:r>
    </w:p>
    <w:sectPr w:rsidR="00FC693F" w:rsidRPr="0006063C" w:rsidSect="00034616">
      <w:footerReference w:type="default" r:id="rId9"/>
      <w:pgSz w:w="12240" w:h="15840"/>
      <w:pgMar w:top="1224"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mbria" w:hAnsi="Cambria" w:eastAsia="Cambria"/>
      <w:b/>
      <w:bCs/>
      <w:color w:val="1F384E"/>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mbria" w:hAnsi="Cambria" w:eastAsia="Cambria"/>
      <w:b/>
      <w:bCs/>
      <w:color w:val="2F5A7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mbria" w:hAnsi="Cambria" w:eastAsia="Cambria"/>
      <w:b/>
      <w:bCs/>
      <w:color w:val="4F6B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F38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Quote">
    <w:name w:val="Thesis Quote"/>
    <w:pPr>
      <w:spacing w:before="140" w:after="140"/>
      <w:ind w:left="576" w:right="576"/>
    </w:pPr>
    <w:rPr>
      <w:rFonts w:ascii="Cambria" w:hAnsi="Cambria"/>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Observer-Limited Geometric Cognition</dc:title>
  <dc:subject>A candidate fundamental theory of cognition from representation, evaluation, and bounded search</dc:subject>
  <dc:creator>Andrew H. Bond</dc:creator>
  <cp:keywords>cognition, observation theory, geometric evaluation, bounded rationality, preference reversal, stratified manifolds, AI safety</cp:keywords>
  <dc:description>generated by python-docx</dc:description>
  <cp:lastModifiedBy/>
  <cp:revision>1</cp:revision>
  <dcterms:created xsi:type="dcterms:W3CDTF">2013-12-23T23:15:00Z</dcterms:created>
  <dcterms:modified xsi:type="dcterms:W3CDTF">2013-12-23T23:15:00Z</dcterms:modified>
  <cp:category/>
</cp:coreProperties>
</file>