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the Gaussian mean squared error specialization</w:t>
      </w:r>
      <w:r>
        <w:t xml:space="preserve"> </w:t>
      </w:r>
      <w:r>
        <w:t xml:space="preserve">of Shannon rate distortion and of Gauss least squares. We prove that the read operator</w:t>
      </w:r>
      <w:r>
        <w:t xml:space="preserve"> </w:t>
      </w:r>
      <w:r>
        <w:t xml:space="preserve">is the pullback geometry of distinguishability, inducing a quotient of the</w:t>
      </w:r>
      <w:r>
        <w:t xml:space="preserve"> </w:t>
      </w:r>
      <w:r>
        <w:t xml:space="preserve">representation by what the consumer cannot separate; that it is recoverable from black</w:t>
      </w:r>
      <w:r>
        <w:t xml:space="preserve"> </w:t>
      </w:r>
      <w:r>
        <w:t xml:space="preserve">box consumer queries under a specified observation 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the read operator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Every empirical claim is governed by a sealed prior registration with a</w:t>
      </w:r>
      <w:r>
        <w:t xml:space="preserve"> </w:t>
      </w:r>
      <w:r>
        <w:t xml:space="preserve">preset bar; four predictions are confirmed and one is refuted.</w:t>
      </w:r>
    </w:p>
    <w:p>
      <w:pPr>
        <w:pStyle w:val="FirstParagraph"/>
      </w:pPr>
      <w:r>
        <w:t xml:space="preserve">BOND: OBSERVATION THEORY</w:t>
      </w:r>
    </w:p>
    <w:p>
      <w:pPr>
        <w:pStyle w:val="BodyText"/>
      </w:pPr>
      <w:r>
        <w:rPr>
          <w:b/>
          <w:bCs/>
        </w:rPr>
        <w:t xml:space="preserve">Index Terms—</w:t>
      </w:r>
      <w:r>
        <w:t xml:space="preserve"> </w:t>
      </w:r>
      <w:r>
        <w:t xml:space="preserve">Rate–distortion theory, source coding, quantization, information geometry,</w:t>
      </w:r>
      <w:r>
        <w:t xml:space="preserve"> </w:t>
      </w:r>
      <w:r>
        <w:t xml:space="preserve">distinguishability, indirect source coding, information bottleneck, neural network</w:t>
      </w:r>
      <w:r>
        <w:t xml:space="preserve"> </w:t>
      </w:r>
      <w:r>
        <w:t xml:space="preserve">compression, reproducibility.</w:t>
      </w:r>
    </w:p>
    <w:p>
      <w:pPr>
        <w:pStyle w:val="BodyText"/>
      </w:pPr>
      <w:r>
        <w:rPr>
          <w:i/>
          <w:iCs/>
        </w:rPr>
        <w:t xml:space="preserve">Andrew H. Bond, Senior Member, IEEE. Department of Computer Engineering, San José State University, San José, CA 95192 USA. Email: andrew.bond@sjsu.edu. ORCID: 0009-0003-2599-6158.</w:t>
      </w:r>
    </w:p>
    <w:bookmarkStart w:id="12" w:name="introduction"/>
    <w:p>
      <w:pPr>
        <w:pStyle w:val="Heading1"/>
      </w:pPr>
      <w:r>
        <w:rPr>
          <w:rStyle w:val="SectionNumber"/>
        </w:rPr>
        <w:t xml:space="preserve">1</w:t>
      </w:r>
      <w:r>
        <w:tab/>
      </w:r>
      <w:r>
        <w:t xml:space="preserve">Introduction</w:t>
      </w:r>
    </w:p>
    <w:p>
      <w:pPr>
        <w:pStyle w:val="FirstParagraph"/>
      </w:pPr>
      <w:r>
        <w:t xml:space="preserve">Shannon fixed a distortion measure and asked for the fewest bits meeting it</w:t>
      </w:r>
      <w:r>
        <w:t xml:space="preserve"> </w:t>
      </w:r>
      <w:r>
        <w:t xml:space="preserve">; Gauss fixed the same measure and asked for the</w:t>
      </w:r>
      <w:r>
        <w:t xml:space="preserve"> </w:t>
      </w:r>
      <w:r>
        <w:t xml:space="preserve">least-squares estimate</w:t>
      </w:r>
      <w:r>
        <w:t xml:space="preserve"> </w:t>
      </w:r>
      <w:r>
        <w:t xml:space="preserve">.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 its lossless, discrete form is</w:t>
      </w:r>
      <w:r>
        <w:t xml:space="preserve"> </w:t>
      </w:r>
      <w:r>
        <w:t xml:space="preserve">coding for computing and graph entropy</w:t>
      </w:r>
      <w:r>
        <w:t xml:space="preserve"> </w:t>
      </w:r>
      <w:r>
        <w:t xml:space="preserve">; its modern</w:t>
      </w:r>
      <w:r>
        <w:t xml:space="preserve"> </w:t>
      </w:r>
      <w:r>
        <w:t xml:space="preserve">face is the rate–distortion–perception tradeoff</w:t>
      </w:r>
      <w:r>
        <w:t xml:space="preserve"> </w:t>
      </w:r>
      <w:r>
        <w:t xml:space="preserve"> </w:t>
      </w:r>
      <w:r>
        <w:t xml:space="preserve">and task-oriented</w:t>
      </w:r>
      <w:r>
        <w:t xml:space="preserve"> </w:t>
      </w:r>
      <w:r>
        <w:t xml:space="preserve">/ semantic communication</w:t>
      </w:r>
      <w:r>
        <w:t xml:space="preserve"> </w:t>
      </w:r>
      <w:r>
        <w:t xml:space="preserve">; and its deployed form, for neural</w:t>
      </w:r>
      <w:r>
        <w:t xml:space="preserve"> </w:t>
      </w:r>
      <w:r>
        <w:t xml:space="preserve">networks, is loss-aware (Hessian-weighted) compression, from Optimal Brain</w:t>
      </w:r>
      <w:r>
        <w:t xml:space="preserve"> </w:t>
      </w:r>
      <w:r>
        <w:t xml:space="preserve">Damage/Surgeon</w:t>
      </w:r>
      <w:r>
        <w:t xml:space="preserve"> </w:t>
      </w:r>
      <w:r>
        <w:t xml:space="preserve"> </w:t>
      </w:r>
      <w:r>
        <w:t xml:space="preserve">to Hessian-aware quantization and GPTQ</w:t>
      </w:r>
      <w:r>
        <w:t xml:space="preserve"> </w:t>
      </w:r>
      <w:r>
        <w:t xml:space="preserve">.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w:t>
      </w:r>
      <w:r>
        <w:t xml:space="preserve"> </w:t>
      </w:r>
      <w:r>
        <w:t xml:space="preserve"> </w:t>
      </w:r>
      <w:r>
        <w:t xml:space="preserve">(an arbitrary, non-geometric relevance variable).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identifiability</w:t>
      </w:r>
      <w:r>
        <w:t xml:space="preserve">—recovery from black-box consumer queries under a specified</w:t>
      </w:r>
      <w:r>
        <w:t xml:space="preserve"> </w:t>
      </w:r>
      <w:r>
        <w:t xml:space="preserve">observation distribution,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w:t>
      </w:r>
      <w:r>
        <w:t xml:space="preserve"> </w:t>
      </w:r>
      <w:r>
        <w:t xml:space="preserve">The three companion works are Paper I (the angular observer and the spectral</w:t>
      </w:r>
      <w:r>
        <w:t xml:space="preserve"> </w:t>
      </w:r>
      <w:r>
        <w:t xml:space="preserve">budget-inversion mechanism)</w:t>
      </w:r>
      <w:r>
        <w:t xml:space="preserve"> </w:t>
      </w:r>
      <w:r>
        <w:t xml:space="preserve">, Paper II (geometric key quantization and</w:t>
      </w:r>
      <w:r>
        <w:t xml:space="preserve"> </w:t>
      </w:r>
      <w:r>
        <w:t xml:space="preserve">the reconstruction-is-not-the-target negative)</w:t>
      </w:r>
      <w:r>
        <w:t xml:space="preserve"> </w:t>
      </w:r>
      <w:r>
        <w:t xml:space="preserve">, and the claim ledger</w:t>
      </w:r>
      <w:r>
        <w:t xml:space="preserve"> </w:t>
      </w:r>
      <w:r>
        <w:t xml:space="preserve">; this is their information-theoretic synthesis.</w:t>
      </w:r>
    </w:p>
    <w:bookmarkEnd w:id="12"/>
    <w:bookmarkStart w:id="18" w:name="sec:framework"/>
    <w:p>
      <w:pPr>
        <w:pStyle w:val="Heading1"/>
      </w:pPr>
      <w:r>
        <w:rPr>
          <w:rStyle w:val="SectionNumber"/>
        </w:rPr>
        <w:t xml:space="preserve">2</w:t>
      </w:r>
      <w:r>
        <w:tab/>
      </w:r>
      <w:r>
        <w:t xml:space="preserve">The controlling quantity</w:t>
      </w:r>
    </w:p>
    <w:bookmarkStart w:id="13" w:name="tab:positioning"/>
    <w:p>
      <w:pPr>
        <w:pStyle w:val="TableCaption"/>
      </w:pPr>
      <w:r>
        <w:t xml:space="preserve">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and</w:t>
            </w:r>
            <w:r>
              <w:t xml:space="preserve"> </w:t>
            </w:r>
            <w:r>
              <w:rPr>
                <w:i/>
                <w:iCs/>
              </w:rPr>
              <w:t xml:space="preserve">identifiable</w:t>
            </w:r>
            <w:r>
              <w:t xml:space="preserve"> </w:t>
            </w:r>
            <w:r>
              <w:t xml:space="preserve">from the consumer</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3"/>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4" w:name="ex:head"/>
    <w:p>
      <w:pPr>
        <w:pStyle w:val="BodyText"/>
      </w:pPr>
      <w:r>
        <w:rPr>
          <w:b/>
          <w:bCs/>
        </w:rPr>
        <w:t xml:space="preserve">Example 1</w:t>
      </w:r>
      <w:r>
        <w:t xml:space="preserve"> </w:t>
      </w:r>
      <w:r>
        <w:t xml:space="preserve">(A running instance).</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Then</w:t>
      </w:r>
      <w:r>
        <w:t xml:space="preserve"> </w:t>
      </w:r>
      <m:oMath>
        <m:sSub>
          <m:e>
            <m:r>
              <m:t>d</m:t>
            </m:r>
          </m:e>
          <m:sub>
            <m:r>
              <m:rPr>
                <m:scr m:val="script"/>
                <m:sty m:val="p"/>
              </m:rPr>
              <m:t>O</m:t>
            </m:r>
          </m:sub>
        </m:sSub>
      </m:oMath>
      <w:r>
        <w:t xml:space="preserve"> </w:t>
      </w:r>
      <w:r>
        <w:t xml:space="preserve">measures how far a quantizer moves the head’s attention, and—as §</w:t>
      </w:r>
      <w:hyperlink w:anchor="sec:readop">
        <w:r>
          <w:rPr>
            <w:rStyle w:val="Hyperlink"/>
          </w:rPr>
          <w:t xml:space="preserve">3</w:t>
        </w:r>
      </w:hyperlink>
      <w:r>
        <w:t xml:space="preserve"> </w:t>
      </w:r>
      <w:r>
        <w:t xml:space="preserve">derives—the read operator turns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a code is judged only by how its error projects onto the directions</w:t>
      </w:r>
      <w:r>
        <w:t xml:space="preserve"> </w:t>
      </w:r>
      <w:r>
        <w:t xml:space="preserve">the queries actually read. We return to this instance when instantiating each result.</w:t>
      </w:r>
    </w:p>
    <w:bookmarkEnd w:id="14"/>
    <w:bookmarkStart w:id="15"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5"/>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6"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13</w:t>
        </w:r>
      </w:hyperlink>
      <w:r>
        <w:t xml:space="preserve"> </w:t>
      </w:r>
      <w:r>
        <w:t xml:space="preserve">then gives the exact, unfactored treatment.</w:t>
      </w:r>
    </w:p>
    <w:bookmarkEnd w:id="16"/>
    <w:bookmarkStart w:id="17"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13</w:t>
        </w:r>
      </w:hyperlink>
      <w:r>
        <w:t xml:space="preserve"> </w:t>
      </w:r>
      <w:r>
        <w:t xml:space="preserve">(Cor. </w:t>
      </w:r>
      <w:hyperlink w:anchor="cor:B2a">
        <w:r>
          <w:rPr>
            <w:rStyle w:val="Hyperlink"/>
          </w:rPr>
          <w:t xml:space="preserve">3</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7"/>
    <w:bookmarkEnd w:id="18"/>
    <w:bookmarkStart w:id="22" w:name="sec:readop"/>
    <w:p>
      <w:pPr>
        <w:pStyle w:val="Heading1"/>
      </w:pPr>
      <w:r>
        <w:rPr>
          <w:rStyle w:val="SectionNumber"/>
        </w:rPr>
        <w:t xml:space="preserve">3</w:t>
      </w:r>
      <w:r>
        <w:tab/>
      </w:r>
      <w:r>
        <w:t xml:space="preserve">Derivation of the read operator</w:t>
      </w:r>
    </w:p>
    <w:bookmarkStart w:id="19" w:name="tab:readops"/>
    <w:p>
      <w:pPr>
        <w:pStyle w:val="TableCaption"/>
      </w:pPr>
      <w:r>
        <w:t xml:space="preserve">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9"/>
    <w:bookmarkStart w:id="20"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20"/>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w:t>
      </w:r>
      <w:r>
        <w:t xml:space="preserve"> </w:t>
      </w:r>
      <w:r>
        <w:t xml:space="preserve">: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21"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w:t>
      </w:r>
      <w:r>
        <w:rPr>
          <w:i/>
          <w:iCs/>
        </w:rPr>
        <w:t xml:space="preserve"> </w:t>
      </w:r>
      <m:oMath>
        <m:r>
          <m:t>g</m:t>
        </m:r>
        <m:r>
          <m:rPr>
            <m:sty m:val="p"/>
          </m:rPr>
          <m:t>=</m:t>
        </m:r>
        <m:r>
          <m:t>H</m:t>
        </m:r>
        <m:r>
          <m:t>θ</m:t>
        </m:r>
      </m:oMath>
      <w:r>
        <w:rPr>
          <w:i/>
          <w:iCs/>
        </w:rPr>
        <w:t xml:space="preserve">, and</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with conditionally unbiased error</w:t>
      </w:r>
      <w:r>
        <w:rPr>
          <w:i/>
          <w:iCs/>
        </w:rPr>
        <w:t xml:space="preserve"> </w:t>
      </w:r>
      <m:oMath>
        <m:r>
          <m:rPr>
            <m:scr m:val="double-struck"/>
            <m:sty m:val="p"/>
          </m:rPr>
          <m:t>E</m:t>
        </m:r>
        <m:r>
          <m:rPr>
            <m:sty m:val="p"/>
          </m:rPr>
          <m:t>[</m:t>
        </m:r>
        <m:r>
          <m:t>δ</m:t>
        </m:r>
        <m:r>
          <m:rPr>
            <m:sty m:val="p"/>
          </m:rPr>
          <m:t>∣</m:t>
        </m:r>
        <m:r>
          <m:t>θ</m:t>
        </m:r>
        <m:r>
          <m:rPr>
            <m:sty m:val="p"/>
          </m:rPr>
          <m:t>]</m:t>
        </m:r>
        <m:r>
          <m:rPr>
            <m:sty m:val="p"/>
          </m:rPr>
          <m:t>=</m:t>
        </m:r>
        <m:r>
          <m:t>0</m:t>
        </m:r>
      </m:oMath>
      <w:r>
        <w:rPr>
          <w:i/>
          <w:iCs/>
        </w:rPr>
        <w:t xml:space="preserve">, used in</w:t>
      </w:r>
      <w:r>
        <w:rPr>
          <w:i/>
          <w:iCs/>
        </w:rPr>
        <w:t xml:space="preserve"> </w:t>
      </w:r>
      <w:r>
        <w:rPr>
          <w:i/>
          <w:iCs/>
        </w:rPr>
        <w:t xml:space="preserve">a step of size</w:t>
      </w:r>
      <w:r>
        <w:rPr>
          <w:i/>
          <w:iCs/>
        </w:rPr>
        <w:t xml:space="preserve"> </w:t>
      </w:r>
      <m:oMath>
        <m:r>
          <m:t>η</m:t>
        </m:r>
      </m:oMath>
      <w:r>
        <w:rPr>
          <w:i/>
          <w:iCs/>
        </w:rPr>
        <w:t xml:space="preserve">. Then</w:t>
      </w:r>
      <w:r>
        <w:rPr>
          <w:i/>
          <w:iCs/>
        </w:rPr>
        <w:t xml:space="preserve"> </w:t>
      </w:r>
      <m:oMath>
        <m:r>
          <m:t>L</m:t>
        </m:r>
        <m:r>
          <m:rPr>
            <m:sty m:val="p"/>
          </m:rPr>
          <m:t>(</m:t>
        </m:r>
        <m:r>
          <m:t>θ</m:t>
        </m:r>
        <m:r>
          <m:rPr>
            <m:sty m:val="p"/>
          </m:rPr>
          <m:t>−</m:t>
        </m:r>
        <m:r>
          <m:t>η</m:t>
        </m:r>
        <m:acc>
          <m:accPr>
            <m:chr m:val="̂"/>
          </m:accPr>
          <m:e>
            <m:r>
              <m:t>g</m:t>
            </m:r>
          </m:e>
        </m:acc>
        <m:r>
          <m:rPr>
            <m:sty m:val="p"/>
          </m:rPr>
          <m:t>)</m:t>
        </m:r>
        <m:r>
          <m:rPr>
            <m:sty m:val="p"/>
          </m:rPr>
          <m:t>−</m:t>
        </m:r>
        <m:r>
          <m:t>L</m:t>
        </m:r>
        <m:r>
          <m:rPr>
            <m:sty m:val="p"/>
          </m:rPr>
          <m:t>(</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rPr>
            <m:sty m:val="p"/>
          </m:rPr>
          <m:t>−</m:t>
        </m:r>
        <m:r>
          <m:t>η</m:t>
        </m:r>
        <m:r>
          <m:t> </m:t>
        </m:r>
        <m:sSup>
          <m:e>
            <m:r>
              <m:t>δ</m:t>
            </m:r>
          </m:e>
          <m:sup>
            <m:r>
              <m:rPr>
                <m:sty m:val="p"/>
              </m:rPr>
              <m:t>⊤</m:t>
            </m:r>
          </m:sup>
        </m:sSup>
        <m:r>
          <m:t>H</m:t>
        </m:r>
        <m:r>
          <m:rPr>
            <m:sty m:val="p"/>
          </m:rPr>
          <m:t>(</m:t>
        </m:r>
        <m:r>
          <m:t>θ</m:t>
        </m:r>
        <m:r>
          <m:rPr>
            <m:sty m:val="p"/>
          </m:rPr>
          <m:t>−</m:t>
        </m:r>
        <m:r>
          <m:t>η</m:t>
        </m:r>
        <m:r>
          <m:t>g</m:t>
        </m:r>
        <m:r>
          <m:rPr>
            <m:sty m:val="p"/>
          </m:rPr>
          <m:t>)</m:t>
        </m:r>
      </m:oMath>
      <w:r>
        <w:rPr>
          <w:i/>
          <w:iCs/>
        </w:rPr>
        <w:t xml:space="preserve">, whose error-quadratic part</w:t>
      </w:r>
      <w:r>
        <w:rPr>
          <w:i/>
          <w:iCs/>
        </w:rPr>
        <w:t xml:space="preserve"> </w:t>
      </w:r>
      <w:r>
        <w:rPr>
          <w:i/>
          <w:iCs/>
        </w:rPr>
        <w:t xml:space="preserve">is</w:t>
      </w:r>
      <w:r>
        <w:rPr>
          <w:i/>
          <w:iCs/>
        </w:rPr>
        <w:t xml:space="preserve"> </w:t>
      </w:r>
      <m:oMath>
        <m:f>
          <m:fPr>
            <m:type m:val="lin"/>
          </m:fPr>
          <m:num>
            <m:r>
              <m:t>1</m:t>
            </m:r>
          </m:num>
          <m:den>
            <m:r>
              <m:t>2</m:t>
            </m:r>
          </m:den>
        </m:f>
        <m:sSup>
          <m:e>
            <m:r>
              <m:t>η</m:t>
            </m:r>
          </m:e>
          <m:sup>
            <m:r>
              <m:t>2</m:t>
            </m:r>
          </m:sup>
        </m:sSup>
        <m:r>
          <m:rPr>
            <m:sty m:val="p"/>
          </m:rPr>
          <m:t>tr</m:t>
        </m:r>
        <m:r>
          <m:rPr>
            <m:sty m:val="p"/>
          </m:rPr>
          <m:t>(</m:t>
        </m:r>
        <m:r>
          <m:t>H</m:t>
        </m:r>
        <m:r>
          <m:t> </m:t>
        </m:r>
        <m:r>
          <m:t>δ</m:t>
        </m:r>
        <m:sSup>
          <m:e>
            <m:r>
              <m:t>δ</m:t>
            </m:r>
          </m:e>
          <m:sup>
            <m:r>
              <m:rPr>
                <m:sty m:val="p"/>
              </m:rPr>
              <m:t>⊤</m:t>
            </m:r>
          </m:sup>
        </m:sSup>
        <m:r>
          <m:rPr>
            <m:sty m:val="p"/>
          </m:rPr>
          <m:t>)</m:t>
        </m:r>
      </m:oMath>
      <w:r>
        <w:rPr>
          <w:i/>
          <w:iCs/>
        </w:rPr>
        <w:t xml:space="preserve">; the linear cross term vanishes in</w:t>
      </w:r>
      <w:r>
        <w:rPr>
          <w:i/>
          <w:iCs/>
        </w:rPr>
        <w:t xml:space="preserve"> </w:t>
      </w:r>
      <w:r>
        <w:rPr>
          <w:i/>
          <w:iCs/>
        </w:rPr>
        <w:t xml:space="preserve">expectation (</w:t>
      </w:r>
      <m:oMath>
        <m:r>
          <m:rPr>
            <m:scr m:val="double-struck"/>
            <m:sty m:val="p"/>
          </m:rPr>
          <m:t>E</m:t>
        </m:r>
        <m:r>
          <m:rPr>
            <m:sty m:val="p"/>
          </m:rPr>
          <m:t>[</m:t>
        </m:r>
        <m:r>
          <m:t>δ</m:t>
        </m:r>
        <m:r>
          <m:rPr>
            <m:sty m:val="p"/>
          </m:rPr>
          <m:t>∣</m:t>
        </m:r>
        <m:r>
          <m:t>θ</m:t>
        </m:r>
        <m:r>
          <m:rPr>
            <m:sty m:val="p"/>
          </m:rPr>
          <m:t>]</m:t>
        </m:r>
        <m:r>
          <m:rPr>
            <m:sty m:val="p"/>
          </m:rPr>
          <m:t>=</m:t>
        </m:r>
        <m:r>
          <m:t>0</m:t>
        </m:r>
      </m:oMath>
      <w:r>
        <w:rPr>
          <w:i/>
          <w:iCs/>
        </w:rPr>
        <w:t xml:space="preserve">), giving</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w:t>
      </w:r>
      <w:r>
        <w:rPr>
          <w:i/>
          <w:iCs/>
        </w:rPr>
        <w:t xml:space="preserve"> </w:t>
      </w:r>
      <w:r>
        <w:rPr>
          <w:i/>
          <w:iCs/>
        </w:rPr>
        <w:t xml:space="preserve">so</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w:t>
      </w:r>
    </w:p>
    <w:bookmarkEnd w:id="21"/>
    <w:p>
      <w:pPr>
        <w:pStyle w:val="BodyText"/>
      </w:pPr>
      <w:r>
        <w:t xml:space="preserve">This is loss-aware pruning/quantization made a metric: Hessian-weighted</w:t>
      </w:r>
      <w:r>
        <w:t xml:space="preserve"> </w:t>
      </w:r>
      <w:r>
        <w:t xml:space="preserve">deletion</w:t>
      </w:r>
      <w:r>
        <w:t xml:space="preserve"> </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22"/>
    <w:bookmarkStart w:id="30" w:name="sec:distortion"/>
    <w:p>
      <w:pPr>
        <w:pStyle w:val="Heading1"/>
      </w:pPr>
      <w:r>
        <w:rPr>
          <w:rStyle w:val="SectionNumber"/>
        </w:rPr>
        <w:t xml:space="preserve">4</w:t>
      </w:r>
      <w:r>
        <w:tab/>
      </w:r>
      <w:r>
        <w:t xml:space="preserve">Distortion: the consumer determines the metric (GO-2)</w:t>
      </w:r>
    </w:p>
    <w:bookmarkStart w:id="26" w:name="fig:flip"/>
    <w:p>
      <w:pPr>
        <w:pStyle w:val="CaptionedFigure"/>
      </w:pPr>
      <w:r>
        <w:drawing>
          <wp:inline>
            <wp:extent cx="3223336" cy="2477137"/>
            <wp:effectExtent b="0" l="0" r="0" t="0"/>
            <wp:docPr descr="" title="" id="24" name="Picture"/>
            <a:graphic>
              <a:graphicData uri="http://schemas.openxmlformats.org/drawingml/2006/picture">
                <pic:pic>
                  <pic:nvPicPr>
                    <pic:cNvPr descr="fig1_flip.png" id="25" name="Picture"/>
                    <pic:cNvPicPr>
                      <a:picLocks noChangeArrowheads="1" noChangeAspect="1"/>
                    </pic:cNvPicPr>
                  </pic:nvPicPr>
                  <pic:blipFill>
                    <a:blip r:embed="rId23"/>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6"/>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bookmarkStart w:id="27" w:name="dissociation."/>
    <w:p>
      <w:pPr>
        <w:pStyle w:val="Heading4"/>
      </w:pPr>
      <w:r>
        <w:rPr>
          <w:rStyle w:val="SectionNumber"/>
        </w:rPr>
        <w:t xml:space="preserve">4.0.0.1</w:t>
      </w:r>
      <w:r>
        <w:tab/>
      </w:r>
      <w:r>
        <w:t xml:space="preserve">Dissociation.</w:t>
      </w:r>
    </w:p>
    <w:p>
      <w:pPr>
        <w:pStyle w:val="FirstParagraph"/>
      </w:pP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rStyle w:val="VerbatimChar"/>
        </w:rPr>
        <w:t xml:space="preserve">[demonstrated]</w:t>
      </w:r>
      <w:r>
        <w:t xml:space="preserve">).</w:t>
      </w:r>
    </w:p>
    <w:bookmarkEnd w:id="27"/>
    <w:bookmarkStart w:id="28" w:name="flip."/>
    <w:p>
      <w:pPr>
        <w:pStyle w:val="Heading4"/>
      </w:pPr>
      <w:r>
        <w:rPr>
          <w:rStyle w:val="SectionNumber"/>
        </w:rPr>
        <w:t xml:space="preserve">4.0.0.2</w:t>
      </w:r>
      <w:r>
        <w:tab/>
      </w:r>
      <w:r>
        <w:t xml:space="preserve">Flip.</w:t>
      </w:r>
    </w:p>
    <w:p>
      <w:pPr>
        <w:pStyle w:val="FirstParagraph"/>
      </w:pPr>
      <w:r>
        <w:t xml:space="preserve">Holding reconstruction fixed and changing only the query bank, the</w:t>
      </w:r>
      <w:r>
        <w:t xml:space="preserve"> </w:t>
      </w:r>
      <w:r>
        <w:t xml:space="preserve">ranking</w:t>
      </w:r>
      <w:r>
        <w:t xml:space="preserve"> </w:t>
      </w:r>
      <w:r>
        <w:rPr>
          <w:i/>
          <w:iCs/>
        </w:rPr>
        <w:t xml:space="preserve">inverts</w:t>
      </w:r>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rStyle w:val="VerbatimChar"/>
        </w:rPr>
        <w:t xml:space="preserve">[demonstrated]</w:t>
      </w:r>
      <w:r>
        <w:t xml:space="preserve">).</w:t>
      </w:r>
    </w:p>
    <w:bookmarkEnd w:id="28"/>
    <w:bookmarkStart w:id="29" w:name="replication-and-out-of-sample."/>
    <w:p>
      <w:pPr>
        <w:pStyle w:val="Heading4"/>
      </w:pPr>
      <w:r>
        <w:rPr>
          <w:rStyle w:val="SectionNumber"/>
        </w:rPr>
        <w:t xml:space="preserve">4.0.0.3</w:t>
      </w:r>
      <w:r>
        <w:tab/>
      </w:r>
      <w:r>
        <w:t xml:space="preserve">Replication and out-of-sample.</w:t>
      </w:r>
    </w:p>
    <w:p>
      <w:pPr>
        <w:pStyle w:val="FirstParagraph"/>
      </w:pP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rStyle w:val="VerbatimChar"/>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rStyle w:val="VerbatimChar"/>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11</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9"/>
    <w:bookmarkEnd w:id="30"/>
    <w:bookmarkStart w:id="32" w:name="sec:id"/>
    <w:p>
      <w:pPr>
        <w:pStyle w:val="Heading1"/>
      </w:pPr>
      <w:r>
        <w:rPr>
          <w:rStyle w:val="SectionNumber"/>
        </w:rPr>
        <w:t xml:space="preserve">5</w:t>
      </w:r>
      <w:r>
        <w:tab/>
      </w:r>
      <w:r>
        <w:t xml:space="preserve">Identifiability: the read subspace is recoverable (GO-1)</w:t>
      </w:r>
    </w:p>
    <w:bookmarkStart w:id="31"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31"/>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rStyle w:val="VerbatimChar"/>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32"/>
    <w:bookmarkStart w:id="38" w:name="sec:capacity"/>
    <w:p>
      <w:pPr>
        <w:pStyle w:val="Heading1"/>
      </w:pPr>
      <w:r>
        <w:rPr>
          <w:rStyle w:val="SectionNumber"/>
        </w:rPr>
        <w:t xml:space="preserve">6</w:t>
      </w:r>
      <w:r>
        <w:tab/>
      </w:r>
      <w:r>
        <w:t xml:space="preserve">Capacity: a derived vacuity threshold (GO-3)</w:t>
      </w:r>
    </w:p>
    <w:bookmarkStart w:id="36" w:name="fig:vacuity"/>
    <w:p>
      <w:pPr>
        <w:pStyle w:val="CaptionedFigure"/>
      </w:pPr>
      <w:r>
        <w:drawing>
          <wp:inline>
            <wp:extent cx="4278413" cy="1948069"/>
            <wp:effectExtent b="0" l="0" r="0" t="0"/>
            <wp:docPr descr="" title="" id="34" name="Picture"/>
            <a:graphic>
              <a:graphicData uri="http://schemas.openxmlformats.org/drawingml/2006/picture">
                <pic:pic>
                  <pic:nvPicPr>
                    <pic:cNvPr descr="fig2_vacuity.png" id="35" name="Picture"/>
                    <pic:cNvPicPr>
                      <a:picLocks noChangeArrowheads="1" noChangeAspect="1"/>
                    </pic:cNvPicPr>
                  </pic:nvPicPr>
                  <pic:blipFill>
                    <a:blip r:embed="rId33"/>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6"/>
    <w:bookmarkStart w:id="37"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7"/>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beating the un-normalized margin (</w:t>
      </w:r>
      <m:oMath>
        <m:r>
          <m:t>0.873</m:t>
        </m:r>
      </m:oMath>
      <w:r>
        <w:t xml:space="preserve">), with a</w:t>
      </w:r>
      <w:r>
        <w:t xml:space="preserve"> </w:t>
      </w:r>
      <w:r>
        <w:t xml:space="preserve">finite-width transition (</w:t>
      </w:r>
      <w:r>
        <w:rPr>
          <w:rStyle w:val="VerbatimChar"/>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w:t>
      </w:r>
      <w:r>
        <w:t xml:space="preserve"> </w:t>
      </w:r>
      <w:r>
        <w:rPr>
          <w:i/>
          <w:iCs/>
        </w:rPr>
        <w:t xml:space="preserve">form</w:t>
      </w:r>
      <w:r>
        <w:t xml:space="preserve"> </w:t>
      </w:r>
      <w:r>
        <w:t xml:space="preserve">of the threshold is nonetheless robust: the</w:t>
      </w:r>
      <w:r>
        <w:t xml:space="preserve"> </w:t>
      </w:r>
      <m:oMath>
        <m:rad>
          <m:radPr>
            <m:degHide m:val="on"/>
          </m:radPr>
          <m:deg/>
          <m:e>
            <m:r>
              <m:t>2</m:t>
            </m:r>
            <m:r>
              <m:rPr>
                <m:sty m:val="p"/>
              </m:rPr>
              <m:t>ln</m:t>
            </m:r>
            <m:r>
              <m:t>N</m:t>
            </m:r>
          </m:e>
        </m:rad>
      </m:oMath>
      <w:r>
        <w:t xml:space="preserve"> </w:t>
      </w:r>
      <w:r>
        <w:t xml:space="preserve">scaling is the centering of the Gumbel max-domain of attraction,</w:t>
      </w:r>
      <w:r>
        <w:t xml:space="preserve"> </w:t>
      </w:r>
      <w:r>
        <w:t xml:space="preserve">shared by every distractor law with sub-exponential (lighter-than-polynomial)</w:t>
      </w:r>
      <w:r>
        <w:t xml:space="preserve"> </w:t>
      </w:r>
      <w:r>
        <w:t xml:space="preserve">tails—Gaussian, exponential, Weibull-type—so non-Gaussianity</w:t>
      </w:r>
      <w:r>
        <w:t xml:space="preserve"> </w:t>
      </w:r>
      <w:r>
        <w:rPr>
          <w:i/>
          <w:iCs/>
        </w:rPr>
        <w:t xml:space="preserve">within</w:t>
      </w:r>
      <w:r>
        <w:t xml:space="preserve"> </w:t>
      </w:r>
      <w:r>
        <w:t xml:space="preserve">that</w:t>
      </w:r>
      <w:r>
        <w:t xml:space="preserve"> </w:t>
      </w:r>
      <w:r>
        <w:t xml:space="preserve">domain moves the constants</w:t>
      </w:r>
      <w:r>
        <w:t xml:space="preserve"> </w:t>
      </w:r>
      <m:oMath>
        <m:r>
          <m:rPr>
            <m:sty m:val="p"/>
          </m:rPr>
          <m:t>(</m:t>
        </m:r>
        <m:sSub>
          <m:e>
            <m:r>
              <m:t>α</m:t>
            </m:r>
          </m:e>
          <m:sub>
            <m:r>
              <m:t>N</m:t>
            </m:r>
          </m:sub>
        </m:sSub>
        <m:r>
          <m:rPr>
            <m:sty m:val="p"/>
          </m:rPr>
          <m:t>,</m:t>
        </m:r>
        <m:sSub>
          <m:e>
            <m:r>
              <m:t>b</m:t>
            </m:r>
          </m:e>
          <m:sub>
            <m:r>
              <m:t>N</m:t>
            </m:r>
          </m:sub>
        </m:sSub>
        <m:r>
          <m:rPr>
            <m:sty m:val="p"/>
          </m:rPr>
          <m:t>)</m:t>
        </m:r>
      </m:oMath>
      <w:r>
        <w:t xml:space="preserve">, not the scaling law; positive correlation</w:t>
      </w:r>
      <w:r>
        <w:t xml:space="preserve"> </w:t>
      </w:r>
      <w:r>
        <w:t xml:space="preserve">enters as an</w:t>
      </w:r>
      <w:r>
        <w:t xml:space="preserve"> </w:t>
      </w:r>
      <w:r>
        <w:rPr>
          <w:i/>
          <w:iCs/>
        </w:rPr>
        <w:t xml:space="preserve">effective count</w:t>
      </w:r>
      <w:r>
        <w:t xml:space="preserve">, replacing</w:t>
      </w:r>
      <w:r>
        <w:t xml:space="preserve"> </w:t>
      </w:r>
      <m:oMath>
        <m:r>
          <m:t>N</m:t>
        </m:r>
      </m:oMath>
      <w:r>
        <w:t xml:space="preserve"> </w:t>
      </w:r>
      <w:r>
        <w:t xml:space="preserve">by</w:t>
      </w:r>
      <w:r>
        <w:t xml:space="preserve"> </w:t>
      </w:r>
      <m:oMath>
        <m:r>
          <m:t>θ</m:t>
        </m:r>
        <m:r>
          <m:t>N</m:t>
        </m:r>
      </m:oMath>
      <w:r>
        <w:t xml:space="preserve"> </w:t>
      </w:r>
      <w:r>
        <w:t xml:space="preserve">through the extremal</w:t>
      </w:r>
      <w:r>
        <w:t xml:space="preserve"> </w:t>
      </w:r>
      <w:r>
        <w:t xml:space="preserve">index</w:t>
      </w:r>
      <w:r>
        <w:t xml:space="preserve"> </w:t>
      </w:r>
      <m:oMath>
        <m:r>
          <m:t>θ</m:t>
        </m:r>
        <m:r>
          <m:rPr>
            <m:sty m:val="p"/>
          </m:rPr>
          <m:t>∈</m:t>
        </m:r>
        <m:r>
          <m:rPr>
            <m:sty m:val="p"/>
          </m:rPr>
          <m:t>(</m:t>
        </m:r>
        <m:r>
          <m:t>0</m:t>
        </m:r>
        <m:r>
          <m:rPr>
            <m:sty m:val="p"/>
          </m:rPr>
          <m:t>,</m:t>
        </m:r>
        <m:r>
          <m:t>1</m:t>
        </m:r>
        <m:r>
          <m:rPr>
            <m:sty m:val="p"/>
          </m:rPr>
          <m:t>]</m:t>
        </m:r>
      </m:oMath>
      <w:r>
        <w:t xml:space="preserve"> </w:t>
      </w:r>
      <w:r>
        <w:t xml:space="preserve">and shifting</w:t>
      </w:r>
      <w:r>
        <w:t xml:space="preserve"> </w:t>
      </w:r>
      <m:oMath>
        <m:sSub>
          <m:e>
            <m:r>
              <m:t>μ</m:t>
            </m:r>
          </m:e>
          <m:sub>
            <m:r>
              <m:rPr>
                <m:sty m:val="p"/>
              </m:rPr>
              <m:t>c</m:t>
            </m:r>
            <m:r>
              <m:rPr>
                <m:sty m:val="p"/>
              </m:rPr>
              <m:t>r</m:t>
            </m:r>
            <m:r>
              <m:rPr>
                <m:sty m:val="p"/>
              </m:rPr>
              <m:t>i</m:t>
            </m:r>
            <m:r>
              <m:rPr>
                <m:sty m:val="p"/>
              </m:rPr>
              <m:t>t</m:t>
            </m:r>
          </m:sub>
        </m:sSub>
      </m:oMath>
      <w:r>
        <w:t xml:space="preserve"> </w:t>
      </w:r>
      <w:r>
        <w:t xml:space="preserve">by</w:t>
      </w:r>
      <w:r>
        <w:t xml:space="preserve"> </w:t>
      </w:r>
      <m:oMath>
        <m:f>
          <m:fPr>
            <m:type m:val="lin"/>
          </m:fPr>
          <m:num>
            <m:r>
              <m:rPr>
                <m:sty m:val="p"/>
              </m:rPr>
              <m:t>ln</m:t>
            </m:r>
            <m:r>
              <m:t>θ</m:t>
            </m:r>
          </m:num>
          <m:den>
            <m:r>
              <m:t>2</m:t>
            </m:r>
            <m:rad>
              <m:radPr>
                <m:degHide m:val="on"/>
              </m:radPr>
              <m:deg/>
              <m:e>
                <m:r>
                  <m:t>2</m:t>
                </m:r>
                <m:r>
                  <m:rPr>
                    <m:sty m:val="p"/>
                  </m:rPr>
                  <m:t>ln</m:t>
                </m:r>
                <m:r>
                  <m:t>N</m:t>
                </m:r>
              </m:e>
            </m:rad>
          </m:den>
        </m:f>
      </m:oMath>
      <w:r>
        <w:t xml:space="preserve"> </w:t>
      </w:r>
      <w:r>
        <w:t xml:space="preserve">at leading order; and only genuinely heavy</w:t>
      </w:r>
      <w:r>
        <w:t xml:space="preserve"> </w:t>
      </w:r>
      <w:r>
        <w:t xml:space="preserve">(Fréchet-domain, polynomial) tails change the scaling itself—the certificate’s</w:t>
      </w:r>
      <w:r>
        <w:t xml:space="preserve"> </w:t>
      </w:r>
      <w:r>
        <w:t xml:space="preserve">stated failure mode. The</w:t>
      </w:r>
      <w:r>
        <w:t xml:space="preserve"> </w:t>
      </w:r>
      <m:oMath>
        <m:r>
          <m:t>14</m:t>
        </m:r>
      </m:oMath>
      <w:r>
        <w:t xml:space="preserve">-corpus ordering above (</w:t>
      </w:r>
      <m:oMath>
        <m:r>
          <m:t>ρ</m:t>
        </m:r>
        <m:r>
          <m:rPr>
            <m:sty m:val="p"/>
          </m:rPr>
          <m:t>=</m:t>
        </m:r>
        <m:r>
          <m:t>0.99</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that single-stage retrieval is at or past its vacuity point—budget for a</w:t>
      </w:r>
      <w:r>
        <w:t xml:space="preserve"> </w:t>
      </w:r>
      <w:r>
        <w:t xml:space="preserve">re-ranking stage or a larger index before deployment—while</w:t>
      </w:r>
      <w:r>
        <w:t xml:space="preserve"> </w:t>
      </w:r>
      <m:oMath>
        <m:r>
          <m:t>ρ</m:t>
        </m:r>
      </m:oMath>
      <w:r>
        <w:t xml:space="preserve"> </w:t>
      </w:r>
      <w:r>
        <w:t xml:space="preserve">comfortably above</w:t>
      </w:r>
      <w:r>
        <w:t xml:space="preserve"> </w:t>
      </w:r>
      <m:oMath>
        <m:r>
          <m:t>1</m:t>
        </m:r>
      </m:oMath>
      <w:r>
        <w:t xml:space="preserve"> </w:t>
      </w:r>
      <w:r>
        <w:t xml:space="preserve">certifies headroom. Because</w:t>
      </w:r>
      <w:r>
        <w:t xml:space="preserve"> </w:t>
      </w:r>
      <m:oMath>
        <m:r>
          <m:t>ρ</m:t>
        </m:r>
      </m:oMath>
      <w:r>
        <w:t xml:space="preserve"> </w:t>
      </w:r>
      <w:r>
        <w:t xml:space="preserve">preserves the recall</w:t>
      </w:r>
      <w:r>
        <w:t xml:space="preserve"> </w:t>
      </w:r>
      <w:r>
        <w:rPr>
          <w:i/>
          <w:iCs/>
        </w:rPr>
        <w:t xml:space="preserve">ordering</w:t>
      </w:r>
      <w:r>
        <w:t xml:space="preserve"> </w:t>
      </w:r>
      <w:r>
        <w:t xml:space="preserve">across</w:t>
      </w:r>
      <w:r>
        <w:t xml:space="preserve"> </w:t>
      </w:r>
      <w:r>
        <w:t xml:space="preserve">corpora, it also ranks candidate corpora or index configurations</w:t>
      </w:r>
      <w:r>
        <w:t xml:space="preserve"> </w:t>
      </w:r>
      <w:r>
        <w:rPr>
          <w:i/>
          <w:iCs/>
        </w:rPr>
        <w:t xml:space="preserve">without</w:t>
      </w:r>
      <w:r>
        <w:t xml:space="preserve"> </w:t>
      </w:r>
      <w:r>
        <w:t xml:space="preserve">running full retrieval.</w:t>
      </w:r>
    </w:p>
    <w:bookmarkEnd w:id="38"/>
    <w:bookmarkStart w:id="40" w:name="sec:rate"/>
    <w:p>
      <w:pPr>
        <w:pStyle w:val="Heading1"/>
      </w:pPr>
      <w:r>
        <w:rPr>
          <w:rStyle w:val="SectionNumber"/>
        </w:rPr>
        <w:t xml:space="preserve">7</w:t>
      </w:r>
      <w:r>
        <w:tab/>
      </w: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9"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w:t>
      </w:r>
      <w:r>
        <w:rPr>
          <w:i/>
          <w:iCs/>
        </w:rPr>
        <w:t xml:space="preserve"> </w:t>
      </w:r>
      <w:r>
        <w:rPr>
          <w:i/>
          <w:iCs/>
        </w:rPr>
        <w:t xml:space="preserve">,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w:t>
      </w:r>
      <w:r>
        <w:rPr>
          <w:i/>
          <w:iCs/>
        </w:rPr>
        <w:t xml:space="preserve"> </w:t>
      </w:r>
      <w:r>
        <w:rPr>
          <w:i/>
          <w:iCs/>
        </w:rPr>
        <w:t xml:space="preserve">).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9"/>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w:t>
      </w:r>
      <w:r>
        <w:t xml:space="preserve"> </w:t>
      </w:r>
      <w:r>
        <w:t xml:space="preserve">.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rStyle w:val="VerbatimChar"/>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40"/>
    <w:bookmarkStart w:id="43" w:name="sec:rd"/>
    <w:p>
      <w:pPr>
        <w:pStyle w:val="Heading1"/>
      </w:pPr>
      <w:r>
        <w:rPr>
          <w:rStyle w:val="SectionNumber"/>
        </w:rPr>
        <w:t xml:space="preserve">8</w:t>
      </w:r>
      <w:r>
        <w:tab/>
      </w: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nonlinear consumer</w:t>
      </w:r>
      <w:r>
        <w:t xml:space="preserve"> </w:t>
      </w:r>
      <m:oMath>
        <m:sSub>
          <m:e>
            <m:r>
              <m:t>P</m:t>
            </m:r>
          </m:e>
          <m:sub>
            <m:r>
              <m:rPr>
                <m:scr m:val="script"/>
                <m:sty m:val="p"/>
              </m:rPr>
              <m:t>C</m:t>
            </m:r>
          </m:sub>
        </m:sSub>
        <m:r>
          <m:rPr>
            <m:sty m:val="p"/>
          </m:rPr>
          <m:t>(</m:t>
        </m:r>
        <m:r>
          <m:t>x</m:t>
        </m:r>
        <m:r>
          <m:rPr>
            <m:sty m:val="p"/>
          </m:rPr>
          <m:t>)</m:t>
        </m:r>
      </m:oMath>
      <w:r>
        <w:t xml:space="preserve"> </w:t>
      </w:r>
      <w:r>
        <w:t xml:space="preserve">varies, there is</w:t>
      </w:r>
      <w:r>
        <w:t xml:space="preserve"> </w:t>
      </w:r>
      <w:r>
        <w:t xml:space="preserve">no single tilted source—a direction invisible at one point can be visible at</w:t>
      </w:r>
      <w:r>
        <w:t xml:space="preserve"> </w:t>
      </w:r>
      <w:r>
        <w:t xml:space="preserve">another—and the coding theorem for that case is open. The results below, and</w:t>
      </w:r>
      <w:r>
        <w:t xml:space="preserve"> </w:t>
      </w:r>
      <w:r>
        <w:t xml:space="preserve">Appendix </w:t>
      </w:r>
      <w:hyperlink w:anchor="app:coding">
        <w:r>
          <w:rPr>
            <w:rStyle w:val="Hyperlink"/>
          </w:rPr>
          <w:t xml:space="preserve">12</w:t>
        </w:r>
      </w:hyperlink>
      <w:r>
        <w:t xml:space="preserve">, are for the fixed weighted-quadratic model, whose theory</w:t>
      </w:r>
      <w:r>
        <w:t xml:space="preserve"> </w:t>
      </w:r>
      <w:r>
        <w:t xml:space="preserve">is classical</w:t>
      </w:r>
      <w:r>
        <w:t xml:space="preserve"> </w:t>
      </w:r>
      <w:r>
        <w:t xml:space="preserve">.</w:t>
      </w:r>
    </w:p>
    <w:bookmarkStart w:id="41"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 the estimation dual is Gauss–Markov</w:t>
      </w:r>
      <w:r>
        <w:rPr>
          <w:i/>
          <w:iCs/>
        </w:rPr>
        <w:t xml:space="preserve"> </w:t>
      </w:r>
      <w:r>
        <w:rPr>
          <w:i/>
          <w:iCs/>
        </w:rPr>
        <w:t xml:space="preserve">least squares</w:t>
      </w:r>
      <w:r>
        <w:rPr>
          <w:i/>
          <w:iCs/>
        </w:rPr>
        <w:t xml:space="preserve"> </w:t>
      </w:r>
      <w:r>
        <w:rPr>
          <w:i/>
          <w:iCs/>
        </w:rPr>
        <w:t xml:space="preserve">.</w:t>
      </w:r>
    </w:p>
    <w:bookmarkEnd w:id="41"/>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42"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42"/>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1</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 here given a geometric read operator.</w:t>
      </w:r>
    </w:p>
    <w:p>
      <w:pPr>
        <w:pStyle w:val="BodyText"/>
      </w:pPr>
      <w:r>
        <w:t xml:space="preserve">These form a</w:t>
      </w:r>
      <w:r>
        <w:t xml:space="preserve"> </w:t>
      </w:r>
      <w:r>
        <w:rPr>
          <w:i/>
          <w:iCs/>
        </w:rPr>
        <w:t xml:space="preserve">conceptual axis</w:t>
      </w:r>
      <w:r>
        <w:t xml:space="preserve">, not a formal nesting: Shannon rate–distortion</w:t>
      </w:r>
      <w:r>
        <w:t xml:space="preserve"> </w:t>
      </w:r>
      <w:r>
        <w:t xml:space="preserve">(</w:t>
      </w:r>
      <m:oMath>
        <m:sSub>
          <m:e>
            <m:r>
              <m:t>P</m:t>
            </m:r>
          </m:e>
          <m:sub>
            <m:r>
              <m:rPr>
                <m:scr m:val="script"/>
                <m:sty m:val="p"/>
              </m:rPr>
              <m:t>C</m:t>
            </m:r>
          </m:sub>
        </m:sSub>
        <m:r>
          <m:rPr>
            <m:sty m:val="p"/>
          </m:rPr>
          <m:t>=</m:t>
        </m:r>
        <m:r>
          <m:t>I</m:t>
        </m:r>
      </m:oMath>
      <w:r>
        <w:t xml:space="preserve">, the isotropic observer), consumer-relative 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w:t>
      </w:r>
      <w:r>
        <w:t xml:space="preserve"> </w:t>
      </w:r>
      <w:r>
        <w:t xml:space="preserve">—which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recoverable from the consumer</w:t>
      </w:r>
      <w:r>
        <w:t xml:space="preserve"> </w:t>
      </w:r>
      <w:r>
        <w:t xml:space="preserve">(Prop. </w:t>
      </w:r>
      <w:hyperlink w:anchor="prop:id">
        <w:r>
          <w:rPr>
            <w:rStyle w:val="Hyperlink"/>
          </w:rPr>
          <w:t xml:space="preserve">4</w:t>
        </w:r>
      </w:hyperlink>
      <w:r>
        <w:t xml:space="preserve">)—and its coding 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12</w:t>
        </w:r>
      </w:hyperlink>
      <w:r>
        <w:t xml:space="preserve">.</w:t>
      </w:r>
    </w:p>
    <w:bookmarkEnd w:id="43"/>
    <w:bookmarkStart w:id="44" w:name="sec:boundary"/>
    <w:p>
      <w:pPr>
        <w:pStyle w:val="Heading1"/>
      </w:pPr>
      <w:r>
        <w:rPr>
          <w:rStyle w:val="SectionNumber"/>
        </w:rPr>
        <w:t xml:space="preserve">9</w:t>
      </w:r>
      <w:r>
        <w:tab/>
      </w: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w:t>
      </w:r>
      <w:r>
        <w:t xml:space="preserve"> </w:t>
      </w:r>
      <w:r>
        <w:t xml:space="preserve">: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w:t>
      </w:r>
      <w:r>
        <w:t xml:space="preserve"> </w:t>
      </w:r>
      <w:r>
        <w:t xml:space="preserve">).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rStyle w:val="VerbatimChar"/>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44"/>
    <w:bookmarkStart w:id="45" w:name="sec:negatives"/>
    <w:p>
      <w:pPr>
        <w:pStyle w:val="Heading1"/>
      </w:pPr>
      <w:r>
        <w:rPr>
          <w:rStyle w:val="SectionNumber"/>
        </w:rPr>
        <w:t xml:space="preserve">10</w:t>
      </w:r>
      <w:r>
        <w:tab/>
      </w: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9</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9</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45"/>
    <w:bookmarkStart w:id="47" w:name="sec:discussion"/>
    <w:p>
      <w:pPr>
        <w:pStyle w:val="Heading1"/>
      </w:pPr>
      <w:r>
        <w:rPr>
          <w:rStyle w:val="SectionNumber"/>
        </w:rPr>
        <w:t xml:space="preserve">11</w:t>
      </w:r>
      <w:r>
        <w:tab/>
      </w:r>
      <w:r>
        <w:t xml:space="preserve">Discussion</w:t>
      </w:r>
    </w:p>
    <w:bookmarkStart w:id="46" w:name="tab:scoreboard"/>
    <w:p>
      <w:pPr>
        <w:pStyle w:val="TableCaption"/>
      </w:pPr>
      <w:r>
        <w:t xml:space="preserve">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11</w:t>
        </w:r>
      </w:hyperlink>
      <w:r>
        <w:t xml:space="preserve">).</w:t>
      </w:r>
    </w:p>
    <w:tbl>
      <w:tblPr>
        <w:tblStyle w:val="Table"/>
        <w:tblW w:type="auto" w:w="0"/>
        <w:tblLook w:firstRow="1" w:lastRow="0" w:firstColumn="0" w:lastColumn="0" w:noHBand="0" w:noVBand="0" w:val="0020"/>
        <w:tblCaption w:val="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w:t>
            </w:r>
            <w:r>
              <w:t xml:space="preserve"> </w:t>
            </w:r>
            <m:oMath>
              <m:r>
                <m:t>ρ</m:t>
              </m:r>
              <m:r>
                <m:rPr>
                  <m:sty m:val="p"/>
                </m:rPr>
                <m:t>=</m:t>
              </m:r>
              <m:r>
                <m:t>0.99</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46"/>
    <w:p>
      <w:pPr>
        <w:pStyle w:val="BodyText"/>
      </w:pPr>
      <w:r>
        <w:t xml:space="preserve">In summary, Observation Theory identifies operational geometry with the pullback</w:t>
      </w:r>
      <w:r>
        <w:t xml:space="preserve"> </w:t>
      </w:r>
      <w:r>
        <w:t xml:space="preserve">geometry of distinguishability and makes that geometry recoverable and experimentally</w:t>
      </w:r>
      <w:r>
        <w:t xml:space="preserve"> </w:t>
      </w:r>
      <w:r>
        <w:t xml:space="preserve">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m:oMath>
        <m:r>
          <m:t>16</m:t>
        </m:r>
        <m:r>
          <m:rPr>
            <m:sty m:val="p"/>
          </m:rPr>
          <m:t>/</m:t>
        </m:r>
        <m:r>
          <m:t>16</m:t>
        </m:r>
      </m:oMath>
      <w:r>
        <w:t xml:space="preserve"> </w:t>
      </w:r>
      <w:r>
        <w:t xml:space="preserve">heads while reconstruction, provably tied, agrees on only</w:t>
      </w:r>
      <w:r>
        <w:t xml:space="preserve"> </w:t>
      </w:r>
      <m:oMath>
        <m:r>
          <m:t>2</m:t>
        </m:r>
        <m:r>
          <m:rPr>
            <m:sty m:val="p"/>
          </m:rPr>
          <m:t>/</m:t>
        </m:r>
        <m:r>
          <m:t>16</m:t>
        </m:r>
      </m:oMath>
      <w:r>
        <w:t xml:space="preserve"> </w:t>
      </w:r>
      <w:r>
        <w:t xml:space="preserve">(its own</w:t>
      </w:r>
      <w:r>
        <w:t xml:space="preserve"> </w:t>
      </w:r>
      <w:r>
        <w:t xml:space="preserve">floating-point noise), and the read operator is recovered at overlap</w:t>
      </w:r>
      <w:r>
        <w:t xml:space="preserve"> </w:t>
      </w:r>
      <m:oMath>
        <m:r>
          <m:t>0.647</m:t>
        </m:r>
      </m:oMath>
      <w:r>
        <w:t xml:space="preserve">. The</w:t>
      </w:r>
      <w:r>
        <w:t xml:space="preserve"> </w:t>
      </w:r>
      <w:r>
        <w:t xml:space="preserve">theory’s mechanism thus operates on a trained frontier layer, called</w:t>
      </w:r>
      <w:r>
        <w:t xml:space="preserve"> </w:t>
      </w:r>
      <w:r>
        <w:rPr>
          <w:i/>
          <w:iCs/>
        </w:rPr>
        <w:t xml:space="preserve">before</w:t>
      </w:r>
      <w:r>
        <w:t xml:space="preserve"> </w:t>
      </w:r>
      <w:r>
        <w:t xml:space="preserve">compression by a blind probe; the GO-P-2026-020 miss stands as an honest negative on</w:t>
      </w:r>
      <w:r>
        <w:t xml:space="preserve"> </w:t>
      </w:r>
      <w:r>
        <w:t xml:space="preserve">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12</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2</w:t>
        </w:r>
      </w:hyperlink>
      <w:r>
        <w:t xml:space="preserve">), and Appendix </w:t>
      </w:r>
      <w:hyperlink w:anchor="app:true">
        <w:r>
          <w:rPr>
            <w:rStyle w:val="Hyperlink"/>
          </w:rPr>
          <w:t xml:space="preserve">13</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2</w:t>
        </w:r>
      </w:hyperlink>
      <w:r>
        <w:t xml:space="preserve">)</w:t>
      </w:r>
      <w:r>
        <w:t xml:space="preserve"> </w:t>
      </w:r>
      <w:r>
        <w:t xml:space="preserve">and its exact reduction to output-side coding, the tilt being</w:t>
      </w:r>
      <w:r>
        <w:t xml:space="preserve"> </w:t>
      </w:r>
      <m:oMath>
        <m:r>
          <m:rPr>
            <m:scr m:val="script"/>
            <m:sty m:val="p"/>
          </m:rPr>
          <m:t>C</m:t>
        </m:r>
      </m:oMath>
      <w:r>
        <w:t xml:space="preserve"> </w:t>
      </w:r>
      <w:r>
        <w:t xml:space="preserve">itself</w:t>
      </w:r>
      <w:r>
        <w:t xml:space="preserve"> </w:t>
      </w:r>
      <w:r>
        <w:t xml:space="preserve">(Thm. </w:t>
      </w:r>
      <w:hyperlink w:anchor="thm:B2">
        <w:r>
          <w:rPr>
            <w:rStyle w:val="Hyperlink"/>
          </w:rPr>
          <w:t xml:space="preserve">3</w:t>
        </w:r>
      </w:hyperlink>
      <w:r>
        <w:t xml:space="preserve">), with the quotient floor unconditional (Cor. </w:t>
      </w:r>
      <w:hyperlink w:anchor="cor:B2a">
        <w:r>
          <w:rPr>
            <w:rStyle w:val="Hyperlink"/>
          </w:rPr>
          <w:t xml:space="preserve">3</w:t>
        </w:r>
      </w:hyperlink>
      <w:r>
        <w:t xml:space="preserve">). What</w:t>
      </w:r>
      <w:r>
        <w:t xml:space="preserve"> </w:t>
      </w:r>
      <w:r>
        <w:t xml:space="preserve">remains open is narrower: the curved-image high-resolution case, the multi-observer</w:t>
      </w:r>
      <w:r>
        <w:t xml:space="preserve"> </w:t>
      </w:r>
      <w:r>
        <w:t xml:space="preserve">rate region (distinct quotients, no single reduction), the 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12</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13</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47"/>
    <w:bookmarkStart w:id="52" w:name="app:coding"/>
    <w:p>
      <w:pPr>
        <w:pStyle w:val="Heading1"/>
      </w:pPr>
      <w:r>
        <w:rPr>
          <w:rStyle w:val="SectionNumber"/>
        </w:rPr>
        <w:t xml:space="preserve">12</w:t>
      </w:r>
      <w:r>
        <w:tab/>
      </w: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2</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48" w:name="lem:tilt"/>
    <w:p>
      <w:pPr>
        <w:pStyle w:val="BodyText"/>
      </w:pPr>
      <w:r>
        <w:rPr>
          <w:b/>
          <w:bCs/>
        </w:rPr>
        <w:t xml:space="preserve">Lemma 2</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48"/>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49" w:name="thm:coding"/>
    <w:p>
      <w:pPr>
        <w:pStyle w:val="BodyText"/>
      </w:pPr>
      <w:r>
        <w:rPr>
          <w:b/>
          <w:bCs/>
        </w:rPr>
        <w:t xml:space="preserve">Theorem 1</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49"/>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w:t>
      </w:r>
      <w:r>
        <w:t xml:space="preserve"> </w:t>
      </w:r>
      <w:r>
        <w:t xml:space="preserve">;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50" w:name="cor:coding"/>
    <w:p>
      <w:pPr>
        <w:pStyle w:val="BodyText"/>
      </w:pPr>
      <w:r>
        <w:rPr>
          <w:b/>
          <w:bCs/>
        </w:rPr>
        <w:t xml:space="preserve">Corollary 1</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50"/>
    <w:bookmarkStart w:id="51" w:name="cor:pointdep"/>
    <w:p>
      <w:pPr>
        <w:pStyle w:val="BodyText"/>
      </w:pPr>
      <w:r>
        <w:rPr>
          <w:b/>
          <w:bCs/>
        </w:rPr>
        <w:t xml:space="preserve">Corollary 2</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1</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51"/>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1</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whereas with</w:t>
      </w:r>
      <w:r>
        <w:t xml:space="preserve"> </w:t>
      </w:r>
      <m:oMath>
        <m:sSub>
          <m:e>
            <m:r>
              <m:t>P</m:t>
            </m:r>
          </m:e>
          <m:sub>
            <m:r>
              <m:rPr>
                <m:scr m:val="script"/>
                <m:sty m:val="p"/>
              </m:rPr>
              <m:t>C</m:t>
            </m:r>
          </m:sub>
        </m:sSub>
        <m:r>
          <m:rPr>
            <m:sty m:val="p"/>
          </m:rPr>
          <m:t>(</m:t>
        </m:r>
        <m:r>
          <m:t>x</m:t>
        </m:r>
        <m:r>
          <m:rPr>
            <m:sty m:val="p"/>
          </m:rPr>
          <m:t>)</m:t>
        </m:r>
      </m:oMath>
      <w:r>
        <w:t xml:space="preserve"> </w:t>
      </w:r>
      <w:r>
        <w:t xml:space="preserve">the tilt</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is nonlinear and</w:t>
      </w:r>
      <w:r>
        <w:t xml:space="preserve"> </w:t>
      </w:r>
      <m:oMath>
        <m:sSub>
          <m:e>
            <m:r>
              <m:t>R</m:t>
            </m:r>
          </m:e>
          <m:sub>
            <m:r>
              <m:rPr>
                <m:scr m:val="script"/>
                <m:sty m:val="p"/>
              </m:rPr>
              <m:t>C</m:t>
            </m:r>
          </m:sub>
        </m:sSub>
      </m:oMath>
      <w:r>
        <w:t xml:space="preserve"> </w:t>
      </w:r>
      <w:r>
        <w:t xml:space="preserve">has no</w:t>
      </w:r>
      <w:r>
        <w:t xml:space="preserve"> </w:t>
      </w:r>
      <w:r>
        <w:t xml:space="preserve">closed form;</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2</w:t>
        </w:r>
      </w:hyperlink>
      <w:r>
        <w:t xml:space="preserve"> </w:t>
      </w:r>
      <w:r>
        <w:t xml:space="preserve">settles that—and, as</w:t>
      </w:r>
      <w:r>
        <w:t xml:space="preserve"> </w:t>
      </w:r>
      <w:r>
        <w:t xml:space="preserve">Appendix </w:t>
      </w:r>
      <w:hyperlink w:anchor="app:true">
        <w:r>
          <w:rPr>
            <w:rStyle w:val="Hyperlink"/>
          </w:rPr>
          <w:t xml:space="preserve">13</w:t>
        </w:r>
      </w:hyperlink>
      <w:r>
        <w:t xml:space="preserve"> </w:t>
      </w:r>
      <w:r>
        <w:t xml:space="preserve">shows, not the true nonlinear divergence either:</w:t>
      </w:r>
      <w:r>
        <w:t xml:space="preserve"> </w:t>
      </w:r>
      <w:r>
        <w:t xml:space="preserve">Thm. </w:t>
      </w:r>
      <w:hyperlink w:anchor="thm:B1">
        <w:r>
          <w:rPr>
            <w:rStyle w:val="Hyperlink"/>
          </w:rPr>
          <w:t xml:space="preserve">2</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3</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§B.4.</w:t>
      </w:r>
    </w:p>
    <w:bookmarkEnd w:id="52"/>
    <w:bookmarkStart w:id="63" w:name="app:true"/>
    <w:p>
      <w:pPr>
        <w:pStyle w:val="Heading1"/>
      </w:pPr>
      <w:r>
        <w:rPr>
          <w:rStyle w:val="SectionNumber"/>
        </w:rPr>
        <w:t xml:space="preserve">13</w:t>
      </w:r>
      <w:r>
        <w:tab/>
      </w: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2</w:t>
        </w:r>
      </w:hyperlink>
      <w:r>
        <w:t xml:space="preserve">. The load-bearing identities</w:t>
      </w:r>
      <w:r>
        <w:t xml:space="preserve"> </w:t>
      </w:r>
      <w:r>
        <w:t xml:space="preserve">(Thm. </w:t>
      </w:r>
      <w:hyperlink w:anchor="thm:B2">
        <w:r>
          <w:rPr>
            <w:rStyle w:val="Hyperlink"/>
          </w:rPr>
          <w:t xml:space="preserve">3</w:t>
        </w:r>
      </w:hyperlink>
      <w:r>
        <w:t xml:space="preserve">, Cor. </w:t>
      </w:r>
      <w:hyperlink w:anchor="cor:B2a">
        <w:r>
          <w:rPr>
            <w:rStyle w:val="Hyperlink"/>
          </w:rPr>
          <w:t xml:space="preserve">3</w:t>
        </w:r>
      </w:hyperlink>
      <w:r>
        <w:t xml:space="preserve">) and the high-resolution formula</w:t>
      </w:r>
      <w:r>
        <w:t xml:space="preserve"> </w:t>
      </w:r>
      <w:r>
        <w:t xml:space="preserve">(Thm. </w:t>
      </w:r>
      <w:hyperlink w:anchor="thm:B3">
        <w:r>
          <w:rPr>
            <w:rStyle w:val="Hyperlink"/>
          </w:rPr>
          <w:t xml:space="preserve">4</w:t>
        </w:r>
      </w:hyperlink>
      <w:r>
        <w:t xml:space="preserve">) were confirmed to machine precision by an independent</w:t>
      </w:r>
      <w:r>
        <w:t xml:space="preserve"> </w:t>
      </w:r>
      <w:r>
        <w:t xml:space="preserve">Blahut–Arimoto / reverse-water-filling check committed with the ledger</w:t>
      </w:r>
      <w:r>
        <w:t xml:space="preserve"> </w:t>
      </w:r>
      <w:r>
        <w:t xml:space="preserve">.</w:t>
      </w:r>
    </w:p>
    <w:bookmarkStart w:id="54" w:name="existence-the-theorem-ports-verbatim"/>
    <w:p>
      <w:pPr>
        <w:pStyle w:val="Heading2"/>
      </w:pPr>
      <w:r>
        <w:rPr>
          <w:rStyle w:val="SectionNumber"/>
        </w:rPr>
        <w:t xml:space="preserve">13.1</w:t>
      </w:r>
      <w:r>
        <w:tab/>
      </w:r>
      <w:r>
        <w:t xml:space="preserve">Existence: the theorem ports verbatim</w:t>
      </w:r>
    </w:p>
    <w:bookmarkStart w:id="53" w:name="thm:B1"/>
    <w:p>
      <w:pPr>
        <w:pStyle w:val="FirstParagraph"/>
      </w:pPr>
      <w:r>
        <w:rPr>
          <w:b/>
          <w:bCs/>
        </w:rPr>
        <w:t xml:space="preserve">Theorem 2</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3"/>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1</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2</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54"/>
    <w:bookmarkStart w:id="58" w:name="X367fbd65c62cb4a4e0cf143bc8c74bd9670dd12"/>
    <w:p>
      <w:pPr>
        <w:pStyle w:val="Heading2"/>
      </w:pPr>
      <w:r>
        <w:rPr>
          <w:rStyle w:val="SectionNumber"/>
        </w:rPr>
        <w:t xml:space="preserve">13.2</w:t>
      </w:r>
      <w:r>
        <w:tab/>
      </w:r>
      <w:r>
        <w:t xml:space="preserve">The exact nonlinear tilt: reduction to the output source</w:t>
      </w:r>
    </w:p>
    <w:bookmarkStart w:id="55" w:name="thm:B2"/>
    <w:p>
      <w:pPr>
        <w:pStyle w:val="FirstParagraph"/>
      </w:pPr>
      <w:r>
        <w:rPr>
          <w:b/>
          <w:bCs/>
        </w:rPr>
        <w:t xml:space="preserve">Theorem 3</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55"/>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56" w:name="cor:B2a"/>
    <w:p>
      <w:pPr>
        <w:pStyle w:val="BodyText"/>
      </w:pPr>
      <w:r>
        <w:rPr>
          <w:b/>
          <w:bCs/>
        </w:rPr>
        <w:t xml:space="preserve">Corollary 3</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2</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56"/>
    <w:bookmarkStart w:id="57" w:name="cor:B2b"/>
    <w:p>
      <w:pPr>
        <w:pStyle w:val="BodyText"/>
      </w:pPr>
      <w:r>
        <w:rPr>
          <w:b/>
          <w:bCs/>
        </w:rPr>
        <w:t xml:space="preserve">Corollary 4</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3</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4</w:t>
        </w:r>
      </w:hyperlink>
      <w:r>
        <w:rPr>
          <w:i/>
          <w:iCs/>
        </w:rPr>
        <w:t xml:space="preserve">.</w:t>
      </w:r>
    </w:p>
    <w:bookmarkEnd w:id="57"/>
    <w:p>
      <w:pPr>
        <w:pStyle w:val="BodyText"/>
      </w:pPr>
      <w:r>
        <w:rPr>
          <w:i/>
          <w:iCs/>
        </w:rPr>
        <w:t xml:space="preserve">Remark 4</w:t>
      </w:r>
      <w:r>
        <w:t xml:space="preserve"> </w:t>
      </w:r>
      <w:r>
        <w:t xml:space="preserve">(Provenance).</w:t>
      </w:r>
      <w:r>
        <w:t xml:space="preserve"> </w:t>
      </w:r>
      <w:r>
        <w:t xml:space="preserve"> </w:t>
      </w:r>
      <w:r>
        <w:t xml:space="preserve">Thm. </w:t>
      </w:r>
      <w:hyperlink w:anchor="thm:B2">
        <w:r>
          <w:rPr>
            <w:rStyle w:val="Hyperlink"/>
          </w:rPr>
          <w:t xml:space="preserve">3</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58"/>
    <w:bookmarkStart w:id="60" w:name="Xbcb80a14c4c6d3407ac91cd25bb11365932f1a6"/>
    <w:p>
      <w:pPr>
        <w:pStyle w:val="Heading2"/>
      </w:pPr>
      <w:r>
        <w:rPr>
          <w:rStyle w:val="SectionNumber"/>
        </w:rPr>
        <w:t xml:space="preserve">13.3</w:t>
      </w:r>
      <w:r>
        <w:tab/>
      </w:r>
      <w:r>
        <w:t xml:space="preserve">High resolution: the surrogate’s exact validity region</w:t>
      </w:r>
    </w:p>
    <w:p>
      <w:pPr>
        <w:pStyle w:val="FirstParagraph"/>
      </w:pPr>
      <w:r>
        <w:t xml:space="preserve">Apply Thm. </w:t>
      </w:r>
      <w:hyperlink w:anchor="thm:B2">
        <w:r>
          <w:rPr>
            <w:rStyle w:val="Hyperlink"/>
          </w:rPr>
          <w:t xml:space="preserve">3</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w:t>
      </w:r>
      <w:r>
        <w:t xml:space="preserve"> </w:t>
      </w:r>
      <w:r>
        <w:t xml:space="preserve">:</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59" w:name="thm:B3"/>
    <w:p>
      <w:pPr>
        <w:pStyle w:val="BodyText"/>
      </w:pPr>
      <w:r>
        <w:rPr>
          <w:b/>
          <w:bCs/>
        </w:rPr>
        <w:t xml:space="preserve">Theorem 4</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w:t>
      </w:r>
      <w:r>
        <w:rPr>
          <w:i/>
          <w:iCs/>
        </w:rPr>
        <w:t xml:space="preserve"> </w:t>
      </w:r>
      <w:r>
        <w:rPr>
          <w:i/>
          <w:iCs/>
        </w:rPr>
        <w:t xml:space="preserve"> </w:t>
      </w:r>
      <w:r>
        <w:rPr>
          <w:i/>
          <w:iCs/>
        </w:rPr>
        <w:t xml:space="preserve">for</w:t>
      </w:r>
      <w:r>
        <w:rPr>
          <w:i/>
          <w:iCs/>
        </w:rPr>
        <w:t xml:space="preserve"> </w:t>
      </w:r>
      <m:oMath>
        <m:r>
          <m:rPr>
            <m:sty m:val="p"/>
          </m:rPr>
          <m:t>(</m:t>
        </m:r>
        <m:r>
          <m:t>U</m:t>
        </m:r>
        <m:r>
          <m:rPr>
            <m:sty m:val="p"/>
          </m:rPr>
          <m:t>,</m:t>
        </m:r>
        <m:sSub>
          <m:e>
            <m:r>
              <m:t>D</m:t>
            </m:r>
          </m:e>
          <m:sub>
            <m:r>
              <m:t>Y</m:t>
            </m:r>
          </m:sub>
        </m:sSub>
        <m:r>
          <m:rPr>
            <m:sty m:val="p"/>
          </m:rPr>
          <m:t>)</m:t>
        </m:r>
      </m:oMath>
      <w:r>
        <w:rPr>
          <w:i/>
          <w:iCs/>
        </w:rPr>
        <w:t xml:space="preserv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w:t>
      </w:r>
      <w:r>
        <w:rPr>
          <w:i/>
          <w:i/>
          <w:iCs/>
          <w:iCs/>
        </w:rPr>
        <w:t xml:space="preserve"> </w:t>
      </w:r>
      <m:oMath>
        <m:r>
          <m:rPr>
            <m:sty m:val="p"/>
          </m:rPr>
          <m:t>=</m:t>
        </m:r>
      </m:oMath>
      <w:r>
        <w:rPr>
          <w:i/>
          <w:i/>
          <w:iCs/>
          <w:iCs/>
        </w:rPr>
        <w:t xml:space="preserve"> </w:t>
      </w:r>
      <w:r>
        <w:rPr>
          <w:i/>
          <w:i/>
          <w:iCs/>
          <w:iCs/>
        </w:rPr>
        <w:t xml:space="preserve">entropy of</w:t>
      </w:r>
      <w:r>
        <w:rPr>
          <w:i/>
          <w:i/>
          <w:iCs/>
          <w:iCs/>
        </w:rPr>
        <w:t xml:space="preserve"> </w:t>
      </w:r>
      <w:r>
        <w:rPr>
          <w:i/>
          <w:i/>
          <w:iCs/>
          <w:iCs/>
        </w:rPr>
        <w:t xml:space="preserve">what the consumer sees</w:t>
      </w:r>
      <w:r>
        <w:rPr>
          <w:i/>
          <w:i/>
          <w:iCs/>
          <w:iCs/>
        </w:rPr>
        <w:t xml:space="preserve"> </w:t>
      </w:r>
      <m:oMath>
        <m:r>
          <m:rPr>
            <m:sty m:val="p"/>
          </m:rPr>
          <m:t>+</m:t>
        </m:r>
      </m:oMath>
      <w:r>
        <w:rPr>
          <w:i/>
          <w:i/>
          <w:iCs/>
          <w:iCs/>
        </w:rPr>
        <w:t xml:space="preserve"> </w:t>
      </w:r>
      <w:r>
        <w:rPr>
          <w:i/>
          <w:i/>
          <w:iCs/>
          <w:iCs/>
        </w:rPr>
        <w:t xml:space="preserve">log-volume of the consumer’s metric</w:t>
      </w:r>
      <w:r>
        <w:rPr>
          <w:i/>
          <w:i/>
          <w:iCs/>
          <w:iCs/>
        </w:rPr>
        <w:t xml:space="preserve"> </w:t>
      </w:r>
      <m:oMath>
        <m:r>
          <m:rPr>
            <m:sty m:val="p"/>
          </m:rPr>
          <m:t>+</m:t>
        </m:r>
      </m:oMath>
      <w:r>
        <w:rPr>
          <w:i/>
          <w:i/>
          <w:iCs/>
          <w:iCs/>
        </w:rPr>
        <w:t xml:space="preserve"> </w:t>
      </w:r>
      <w:r>
        <w:rPr>
          <w:i/>
          <w:i/>
          <w:iCs/>
          <w:iCs/>
        </w:rPr>
        <w:t xml:space="preserve">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(§B.4).</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59"/>
    <w:p>
      <w:pPr>
        <w:pStyle w:val="BodyText"/>
      </w:pPr>
      <w:r>
        <w:rPr>
          <w:i/>
          <w:iCs/>
        </w:rPr>
        <w:t xml:space="preserve">Remark 5</w:t>
      </w:r>
      <w:r>
        <w:t xml:space="preserve"> </w:t>
      </w:r>
      <w:r>
        <w:t xml:space="preserve">(What coding to the surrogate certifies).</w:t>
      </w:r>
      <w:r>
        <w:t xml:space="preserve"> </w:t>
      </w:r>
      <w:r>
        <w:t xml:space="preserve"> </w:t>
      </w:r>
      <w:r>
        <w:t xml:space="preserve">Thms. </w:t>
      </w:r>
      <w:hyperlink w:anchor="thm:B2">
        <w:r>
          <w:rPr>
            <w:rStyle w:val="Hyperlink"/>
          </w:rPr>
          <w:t xml:space="preserve">3</w:t>
        </w:r>
      </w:hyperlink>
      <w:r>
        <w:t xml:space="preserve">–</w:t>
      </w:r>
      <w:hyperlink w:anchor="thm:B3">
        <w:r>
          <w:rPr>
            <w:rStyle w:val="Hyperlink"/>
          </w:rPr>
          <w:t xml:space="preserve">4</w:t>
        </w:r>
      </w:hyperlink>
      <w:r>
        <w:t xml:space="preserve"> </w:t>
      </w:r>
      <w:r>
        <w:t xml:space="preserve">replace Cor. </w:t>
      </w:r>
      <w:hyperlink w:anchor="cor:pointdep">
        <w:r>
          <w:rPr>
            <w:rStyle w:val="Hyperlink"/>
          </w:rPr>
          <w:t xml:space="preserve">2</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w:t>
      </w:r>
      <w:r>
        <w:t xml:space="preserve"> </w:t>
      </w:r>
      <w:r>
        <w:t xml:space="preserve"> </w:t>
      </w:r>
      <w:r>
        <w:t xml:space="preserve">should port under their regularity</w:t>
      </w:r>
      <w:r>
        <w:t xml:space="preserve"> </w:t>
      </w:r>
      <w:r>
        <w:t xml:space="preserve">conditions.</w:t>
      </w:r>
    </w:p>
    <w:bookmarkEnd w:id="60"/>
    <w:bookmarkStart w:id="62" w:name="X96f4d445268fbe070867d425090a81bd953b10c"/>
    <w:p>
      <w:pPr>
        <w:pStyle w:val="Heading2"/>
      </w:pPr>
      <w:r>
        <w:rPr>
          <w:rStyle w:val="SectionNumber"/>
        </w:rPr>
        <w:t xml:space="preserve">13.4</w:t>
      </w:r>
      <w:r>
        <w:tab/>
      </w:r>
      <w:r>
        <w:t xml:space="preserve">What remains open, and a registered prediction</w:t>
      </w:r>
    </w:p>
    <w:p>
      <w:pPr>
        <w:pStyle w:val="FirstParagraph"/>
      </w:pPr>
      <w:r>
        <w:t xml:space="preserve">Genuinely open after Thms. </w:t>
      </w:r>
      <w:hyperlink w:anchor="thm:B1">
        <w:r>
          <w:rPr>
            <w:rStyle w:val="Hyperlink"/>
          </w:rPr>
          <w:t xml:space="preserve">2</w:t>
        </w:r>
      </w:hyperlink>
      <w:r>
        <w:t xml:space="preserve">–</w:t>
      </w:r>
      <w:hyperlink w:anchor="thm:B3">
        <w:r>
          <w:rPr>
            <w:rStyle w:val="Hyperlink"/>
          </w:rPr>
          <w:t xml:space="preserve">4</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rate region for</w:t>
      </w:r>
      <w:r>
        <w:t xml:space="preserve"> </w:t>
      </w:r>
      <m:oMath>
        <m:r>
          <m:rPr>
            <m:sty m:val="p"/>
          </m:rPr>
          <m:t>{</m:t>
        </m:r>
        <m:sSub>
          <m:e>
            <m:r>
              <m:rPr>
                <m:scr m:val="script"/>
                <m:sty m:val="p"/>
              </m:rPr>
              <m:t>C</m:t>
            </m:r>
          </m:e>
          <m:sub>
            <m:r>
              <m:t>k</m:t>
            </m:r>
          </m:sub>
        </m:sSub>
        <m:r>
          <m:rPr>
            <m:sty m:val="p"/>
          </m:rPr>
          <m:t>}</m:t>
        </m:r>
      </m:oMath>
      <w:r>
        <w:t xml:space="preserve">,</w:t>
      </w:r>
      <w:r>
        <w:t xml:space="preserve"> </w:t>
      </w:r>
      <w:r>
        <w:t xml:space="preserve">where the single-observer reduction fails because the observers’ quotients differ—the</w:t>
      </w:r>
      <w:r>
        <w:t xml:space="preserve"> </w:t>
      </w:r>
      <w:r>
        <w:t xml:space="preserve">frontier flagged in §</w:t>
      </w:r>
      <w:hyperlink w:anchor="sec:framework">
        <w:r>
          <w:rPr>
            <w:rStyle w:val="Hyperlink"/>
          </w:rPr>
          <w:t xml:space="preserve">2</w:t>
        </w:r>
      </w:hyperlink>
      <w:r>
        <w:t xml:space="preserve">;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3</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4</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p>
      <w:pPr>
        <w:pStyle w:val="BodyText"/>
      </w:pPr>
      <w:r>
        <w:t xml:space="preserve">99</w:t>
      </w:r>
      <w:r>
        <w:t xml:space="preserve"> </w:t>
      </w:r>
      <w:r>
        <w:t xml:space="preserve">C. E. Shannon. A mathematical theory of communication.</w:t>
      </w:r>
      <w:r>
        <w:t xml:space="preserve"> </w:t>
      </w:r>
      <w:r>
        <w:rPr>
          <w:i/>
          <w:iCs/>
        </w:rPr>
        <w:t xml:space="preserve">Bell Syst. Tech. J.</w:t>
      </w:r>
      <w:r>
        <w:t xml:space="preserve">, 27:379–423, 623–656, 1948.</w:t>
      </w:r>
      <w:r>
        <w:t xml:space="preserve"> </w:t>
      </w: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r>
        <w:t xml:space="preserve"> </w:t>
      </w:r>
      <w:r>
        <w:t xml:space="preserve">C. F. Gauss.</w:t>
      </w:r>
      <w:r>
        <w:t xml:space="preserve"> </w:t>
      </w:r>
      <w:r>
        <w:rPr>
          <w:i/>
          <w:iCs/>
        </w:rPr>
        <w:t xml:space="preserve">Theoria Motus Corporum Coelestium</w:t>
      </w:r>
      <w:r>
        <w:t xml:space="preserve">, 1809.</w:t>
      </w:r>
      <w:r>
        <w:t xml:space="preserve"> </w:t>
      </w:r>
      <w:r>
        <w:t xml:space="preserve">T. Berger.</w:t>
      </w:r>
      <w:r>
        <w:t xml:space="preserve"> </w:t>
      </w:r>
      <w:r>
        <w:rPr>
          <w:i/>
          <w:iCs/>
        </w:rPr>
        <w:t xml:space="preserve">Rate Distortion Theory</w:t>
      </w:r>
      <w:r>
        <w:t xml:space="preserve">. Prentice-Hall, 1971.</w:t>
      </w:r>
      <w:r>
        <w:t xml:space="preserve"> </w:t>
      </w: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r>
        <w:t xml:space="preserve"> </w:t>
      </w: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r>
        <w:t xml:space="preserve"> </w:t>
      </w:r>
      <w:r>
        <w:t xml:space="preserve">H. S. Witsenhausen. Indirect rate distortion problems.</w:t>
      </w:r>
      <w:r>
        <w:t xml:space="preserve"> </w:t>
      </w:r>
      <w:r>
        <w:rPr>
          <w:i/>
          <w:iCs/>
        </w:rPr>
        <w:t xml:space="preserve">IEEE Trans. Inf. Theory</w:t>
      </w:r>
      <w:r>
        <w:t xml:space="preserve">, 26(5):518–521, 1980.</w:t>
      </w:r>
      <w:r>
        <w:t xml:space="preserve"> </w:t>
      </w: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r>
        <w:t xml:space="preserve"> </w:t>
      </w:r>
      <w:r>
        <w:t xml:space="preserve">A. Orlitsky and J. R. Roche. Coding for computing.</w:t>
      </w:r>
      <w:r>
        <w:t xml:space="preserve"> </w:t>
      </w:r>
      <w:r>
        <w:rPr>
          <w:i/>
          <w:iCs/>
        </w:rPr>
        <w:t xml:space="preserve">IEEE Trans. Inf. Theory</w:t>
      </w:r>
      <w:r>
        <w:t xml:space="preserve">, 47(3):903–917, 2001.</w:t>
      </w:r>
      <w:r>
        <w:t xml:space="preserve"> </w:t>
      </w: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r>
        <w:t xml:space="preserve"> </w:t>
      </w: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r>
        <w:t xml:space="preserve"> </w:t>
      </w: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r>
        <w:t xml:space="preserve"> </w:t>
      </w:r>
      <w:r>
        <w:t xml:space="preserve">R. R. Coifman and S. Lafon. Diffusion maps.</w:t>
      </w:r>
      <w:r>
        <w:t xml:space="preserve"> </w:t>
      </w:r>
      <w:r>
        <w:rPr>
          <w:i/>
          <w:iCs/>
        </w:rPr>
        <w:t xml:space="preserve">Appl. Comput. Harmon. Anal.</w:t>
      </w:r>
      <w:r>
        <w:t xml:space="preserve">, 21(1):5–30, 2006.</w:t>
      </w:r>
      <w:r>
        <w:t xml:space="preserve"> </w:t>
      </w: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r>
        <w:t xml:space="preserve"> </w:t>
      </w:r>
      <w:r>
        <w:t xml:space="preserve">M. Radovanović, A. Nanopoulos, and M. Ivanović. Hubs in</w:t>
      </w:r>
      <w:r>
        <w:t xml:space="preserve"> </w:t>
      </w:r>
      <w:r>
        <w:t xml:space="preserve">space.</w:t>
      </w:r>
      <w:r>
        <w:t xml:space="preserve"> </w:t>
      </w:r>
      <w:r>
        <w:rPr>
          <w:i/>
          <w:iCs/>
        </w:rPr>
        <w:t xml:space="preserve">J. Mach. Learn. Res.</w:t>
      </w:r>
      <w:r>
        <w:t xml:space="preserve">, 11:2487–2531, 2010.</w:t>
      </w:r>
      <w:r>
        <w:t xml:space="preserve"> </w:t>
      </w:r>
      <w:r>
        <w:t xml:space="preserve">Y. LeCun, J. S. Denker, and S. A. Solla. Optimal Brain Damage.</w:t>
      </w:r>
      <w:r>
        <w:t xml:space="preserve"> </w:t>
      </w:r>
      <w:r>
        <w:rPr>
          <w:i/>
          <w:iCs/>
        </w:rPr>
        <w:t xml:space="preserve">NeurIPS</w:t>
      </w:r>
      <w:r>
        <w:t xml:space="preserve">, 1990.</w:t>
      </w:r>
      <w:r>
        <w:t xml:space="preserve"> </w:t>
      </w: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r>
        <w:t xml:space="preserve"> </w:t>
      </w:r>
      <w:r>
        <w:t xml:space="preserve">Z. Dong et al. HAWQ: Hessian aware quantization of neural</w:t>
      </w:r>
      <w:r>
        <w:t xml:space="preserve"> </w:t>
      </w:r>
      <w:r>
        <w:t xml:space="preserve">networks.</w:t>
      </w:r>
      <w:r>
        <w:t xml:space="preserve"> </w:t>
      </w:r>
      <w:r>
        <w:rPr>
          <w:i/>
          <w:iCs/>
        </w:rPr>
        <w:t xml:space="preserve">ICCV</w:t>
      </w:r>
      <w:r>
        <w:t xml:space="preserve">, 2019.</w:t>
      </w:r>
      <w:r>
        <w:t xml:space="preserve"> </w:t>
      </w: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r>
        <w:t xml:space="preserve"> </w:t>
      </w:r>
      <w:r>
        <w:t xml:space="preserve">A. H. Bond. The angular observer: geodesic preservation and the</w:t>
      </w:r>
      <w:r>
        <w:t xml:space="preserve"> </w:t>
      </w:r>
      <w:r>
        <w:t xml:space="preserve">mode-budget inversion. Companion Paper I, 2026.</w:t>
      </w:r>
      <w:r>
        <w:t xml:space="preserve"> </w:t>
      </w:r>
      <w:r>
        <w:t xml:space="preserve">A. H. Bond. Geometric key quantization: reconstruction is not the</w:t>
      </w:r>
      <w:r>
        <w:t xml:space="preserve"> </w:t>
      </w:r>
      <w:r>
        <w:t xml:space="preserve">target. Companion Paper II, 2026.</w:t>
      </w:r>
      <w:r>
        <w:t xml:space="preserve"> </w:t>
      </w: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w:t>
      </w:r>
      <w:r>
        <w:t xml:space="preserve"> </w:t>
      </w:r>
      <w:r>
        <w:t xml:space="preserve">I. Csiszár. On an extremum problem of information theory.</w:t>
      </w:r>
      <w:r>
        <w:t xml:space="preserve"> </w:t>
      </w:r>
      <w:r>
        <w:rPr>
          <w:i/>
          <w:iCs/>
        </w:rPr>
        <w:t xml:space="preserve">Studia Sci. Math. Hungar.</w:t>
      </w:r>
      <w:r>
        <w:t xml:space="preserve">, 9:57–71, 1974.</w:t>
      </w:r>
      <w:r>
        <w:t xml:space="preserve"> </w:t>
      </w: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r>
        <w:t xml:space="preserve"> </w:t>
      </w: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r>
        <w:t xml:space="preserve"> </w:t>
      </w: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bookmarkStart w:id="61" w:name="reproducibility-provenance."/>
    <w:p>
      <w:pPr>
        <w:pStyle w:val="Heading4"/>
      </w:pPr>
      <w:r>
        <w:rPr>
          <w:rStyle w:val="SectionNumber"/>
        </w:rPr>
        <w:t xml:space="preserve">13.4.0.1</w:t>
      </w:r>
      <w:r>
        <w:tab/>
      </w:r>
      <w:r>
        <w:t xml:space="preserve">Reproducibility &amp; provenance.</w:t>
      </w:r>
    </w:p>
    <w:p>
      <w:pPr>
        <w:pStyle w:val="FirstParagraph"/>
      </w:pPr>
      <w:r>
        <w:t xml:space="preserve">All results resolve to committed registry</w:t>
      </w:r>
      <w:r>
        <w:t xml:space="preserve"> </w:t>
      </w:r>
      <w:r>
        <w:t xml:space="preserve">entries and artifacts in the public companion repository</w:t>
      </w:r>
      <w:r>
        <w:t xml:space="preserve"> </w:t>
      </w:r>
      <w:r>
        <w:t xml:space="preserve">; each</w:t>
      </w:r>
      <w:r>
        <w:t xml:space="preserve"> </w:t>
      </w:r>
      <w:r>
        <w:t xml:space="preserve">registry entry is committed</w:t>
      </w:r>
      <w:r>
        <w:t xml:space="preserve"> </w:t>
      </w:r>
      <w:r>
        <w:rPr>
          <w:i/>
          <w:iCs/>
        </w:rPr>
        <w:t xml:space="preserve">before</w:t>
      </w:r>
      <w:r>
        <w:t xml:space="preserve"> </w:t>
      </w:r>
      <w:r>
        <w:t xml:space="preserve">the run it governs, so the evidence that</w:t>
      </w:r>
      <w:r>
        <w:t xml:space="preserve"> </w:t>
      </w:r>
      <w:r>
        <w:t xml:space="preserve">registration preceded experimentation is the</w:t>
      </w:r>
      <w:r>
        <w:t xml:space="preserve"> </w:t>
      </w:r>
      <w:r>
        <w:rPr>
          <w:i/>
          <w:iCs/>
        </w:rPr>
        <w:t xml:space="preserve">commit ordering</w:t>
      </w:r>
      <w:r>
        <w:t xml:space="preserve"> </w:t>
      </w:r>
      <w:r>
        <w:t xml:space="preserve">of the public</w:t>
      </w:r>
      <w:r>
        <w:t xml:space="preserve"> </w:t>
      </w:r>
      <w:r>
        <w:t xml:space="preserve">history. We are explicit about its limits: git and hosting timestamps are not</w:t>
      </w:r>
      <w:r>
        <w:t xml:space="preserve"> </w:t>
      </w:r>
      <w:r>
        <w:t xml:space="preserve">cryptographic third-party proof, and a snapshot taken</w:t>
      </w:r>
      <w:r>
        <w:t xml:space="preserve"> </w:t>
      </w:r>
      <w:r>
        <w:rPr>
          <w:i/>
          <w:iCs/>
        </w:rPr>
        <w:t xml:space="preserve">after</w:t>
      </w:r>
      <w:r>
        <w:t xml:space="preserve"> </w:t>
      </w:r>
      <w:r>
        <w:t xml:space="preserve">completion</w:t>
      </w:r>
      <w:r>
        <w:t xml:space="preserve"> </w:t>
      </w:r>
      <w:r>
        <w:t xml:space="preserve">preserves the current history but does not retroactively establish timing. Stronger</w:t>
      </w:r>
      <w:r>
        <w:t xml:space="preserve"> </w:t>
      </w:r>
      <w:r>
        <w:t xml:space="preserve">anchoring—an external immutable deposit (Zenodo/OSF) and any contemporaneous</w:t>
      </w:r>
      <w:r>
        <w:t xml:space="preserve"> </w:t>
      </w:r>
      <w:r>
        <w:t xml:space="preserve">third-party timestamps (signed hashes, prior deposits)—accompanies the paper.</w:t>
      </w:r>
      <w:r>
        <w:t xml:space="preserve"> </w:t>
      </w:r>
      <w:r>
        <w:t xml:space="preserve">Computational experimentation and drafting were carried out with an AI research</w:t>
      </w:r>
      <w:r>
        <w:t xml:space="preserve"> </w:t>
      </w:r>
      <w:r>
        <w:t xml:space="preserve">assistant under the registration-first protocol of §</w:t>
      </w:r>
      <w:hyperlink w:anchor="sec:negatives">
        <w:r>
          <w:rPr>
            <w:rStyle w:val="Hyperlink"/>
          </w:rPr>
          <w:t xml:space="preserve">10</w:t>
        </w:r>
      </w:hyperlink>
      <w:r>
        <w:t xml:space="preserve">; every</w:t>
      </w:r>
      <w:r>
        <w:t xml:space="preserve"> </w:t>
      </w:r>
      <w:r>
        <w:t xml:space="preserve">ledger row names its verifier and context-freshness.</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Manuscript submitted July 2026. The author is with the Department of</w:t>
      </w:r>
      <w:r>
        <w:t xml:space="preserve"> </w:t>
      </w:r>
      <w:r>
        <w:t xml:space="preserve">Computer Engineering, San José State University, San José, CA 95192 USA</w:t>
      </w:r>
      <w:r>
        <w:t xml:space="preserve"> </w:t>
      </w:r>
      <w:r>
        <w:t xml:space="preserve">(e-mail: andrew.bond@sjsu.edu; ORCID 0009-0003-2599-6158).</w:t>
      </w:r>
    </w:p>
  </w:footnote>
  <w:footnote w:id="10">
    <w:p>
      <w:pPr>
        <w:pStyle w:val="FootnoteText"/>
      </w:pPr>
      <w:r>
        <w:rPr>
          <w:rStyle w:val="FootnoteReference"/>
        </w:rPr>
        <w:footnoteRef/>
      </w:r>
      <w:r>
        <w:t xml:space="preserve"> </w:t>
      </w:r>
      <w:r>
        <w:t xml:space="preserve">Companion software, the sealed pre-registrations, and the claim ledger that</w:t>
      </w:r>
      <w:r>
        <w:t xml:space="preserve"> </w:t>
      </w:r>
      <w:r>
        <w:t xml:space="preserve">govern every empirical result are publicly available at</w:t>
      </w:r>
      <w:r>
        <w:t xml:space="preserve"> </w:t>
      </w:r>
      <w:hyperlink r:id="rId11">
        <w:r>
          <w:rPr>
            <w:rStyle w:val="Hyperlink"/>
          </w:rPr>
          <w:t xml:space="preserve">https://github.com/ahb-sjsu/geometric-observation</w:t>
        </w:r>
      </w:hyperlink>
      <w:r>
        <w:t xml:space="preserve">. A continuous-integration</w:t>
      </w:r>
      <w:r>
        <w:t xml:space="preserve"> </w:t>
      </w:r>
      <w:r>
        <w:t xml:space="preserve">workflow re-runs the reproducible experiments and verifies the theoretical</w:t>
      </w:r>
      <w:r>
        <w:t xml:space="preserve"> </w:t>
      </w:r>
      <w:r>
        <w:t xml:space="preserve">constructions on each commit.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1" Target="https://github.com/ahb-sjsu/geometric-observation"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geometric-obser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dc:creator>
  <cp:keywords/>
  <dcterms:created xsi:type="dcterms:W3CDTF">2026-07-18T03:15:02Z</dcterms:created>
  <dcterms:modified xsi:type="dcterms:W3CDTF">2026-07-18T03:15:02Z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the Gaussian mean squared error specialization of Shannon rate distortion and of Gauss least squares. We prove that the read operator is the pullback geometry of distinguishability, inducing a quotient of the representation by what the consumer cannot separate; that it is recoverable from black 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the read operator for attention, gradient optimization, and retrieval, and position it as the identifiable geometric middle term between Shannon rate distortion and the information bottleneck. Every empirical claim is governed by a sealed prior registration with a preset bar; four predictions are confirmed and one is refuted.</vt:lpwstr>
  </property>
</Properties>
</file>