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Every empirical claim is governed by a sealed prior registration with a</w:t></w:r><w:r><w:t xml:space="preserve"> </w:t></w:r><w:r><w:t xml:space="preserve">preset bar; four of five core predictions are confirmed, one refuted; a further</w:t></w:r><w:r><w:t xml:space="preserve"> </w:t></w:r><w:r><w:t xml:space="preserve">trained-model test missed, then passed after correction.</w:t></w:r></w:p>
    <w:p><w:pPr><w:pStyle w:val="FirstParagraph" /></w:pPr><w:r><w:t xml:space="preserve">BOND: OBSERVATION THEORY</w:t></w:r></w:p>
    <w:p><w:pPr><w:pStyle w:val="BodyText" /></w:pPr><w:r><w:rPr><w:b /><w:bCs /></w:rPr><w:t xml:space="preserve">Index Terms—</w:t></w:r><w:r><w:t xml:space="preserve"> </w:t></w:r><w:r><w:t xml:space="preserve">Distinguishability, indirect source coding, information bottleneck, information</w:t></w:r><w:r><w:t xml:space="preserve"> </w:t></w:r><w:r><w:t xml:space="preserve">geometry, neural network compression, quantization, rate–distortion theory,</w:t></w:r><w:r><w:t xml:space="preserve"> </w:t></w:r><w:r><w:t xml:space="preserve">reproducibility, source coding.</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rPr><w:rStyle w:val="SectionNumber" /></w:rPr><w:t xml:space="preserve">1</w:t></w:r><w:r><w:tab /></w: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rPr><w:rStyle w:val="SectionNumber" /></w:rPr><w:t xml:space="preserve">2</w:t></w:r><w:r><w:tab /></w: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head the same blind prediction is right on</w:t></w:r><w:r><w:t xml:space="preserve"> </w:t></w:r><m:oMath><m:r><m:t>16</m:t></m:r><m:r><m:rPr><m:sty m:val="p" /></m:rPr><m:t>/</m:t></m:r><m:r><m:t>16</m:t></m:r></m:oMath><w:r><w:t xml:space="preserve"> </w:t></w:r><w:r><w:t xml:space="preserve">heads while</w:t></w:r><w:r><w:t xml:space="preserve"> </w:t></w:r><w:r><w:t xml:space="preserve">reconstruction, held equal, is at chance (</w:t></w:r><m:oMath><m:r><m:t>2</m:t></m:r><m:r><m:rPr><m:sty m:val="p" /></m:rPr><m:t>/</m:t></m:r><m:r><m:t>16</m:t></m:r></m:oMath><w:r><w:t xml:space="preserve">; §</w:t></w:r><w:hyperlink w:anchor="sec:discussion"><w:r><w:rPr><w:rStyle w:val="Hyperlink" /></w:rPr><w:t xml:space="preserve">11</w:t></w:r></w:hyperlink><w:r><w:t xml:space="preserve">). One head,</w:t></w:r><w:r><w:t xml:space="preserve"> </w:t></w:r><w:r><w:t xml:space="preserve">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13</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13</w:t></w:r></w:hyperlink><w:r><w:t xml:space="preserve"> </w:t></w:r><w:r><w:t xml:space="preserve">(Cor. </w:t></w:r><w:hyperlink w:anchor="cor:B2a"><w:r><w:rPr><w:rStyle w:val="Hyperlink" /></w:rPr><w:t xml:space="preserve">3</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rPr><w:rStyle w:val="SectionNumber" /></w:rPr><w:t xml:space="preserve">3</w:t></w:r><w:r><w:tab /></w: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rPr><w:rStyle w:val="SectionNumber" /></w:rPr><w:t xml:space="preserve">4</w:t></w:r><w:r><w:tab /></w: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11</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rPr><w:rStyle w:val="SectionNumber" /></w:rPr><w:t xml:space="preserve">5</w:t></w:r><w:r><w:tab /></w: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rPr><w:rStyle w:val="SectionNumber" /></w:rPr><w:t xml:space="preserve">6</w:t></w:r><w:r><w:tab /></w: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rPr><w:rStyle w:val="SectionNumber" /></w:rPr><w:t xml:space="preserve">7</w:t></w:r><w:r><w:tab /></w: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rPr><w:rStyle w:val="SectionNumber" /></w:rPr><w:t xml:space="preserve">8</w:t></w:r><w:r><w:tab /></w: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2</w:t></w:r></w:hyperlink><w:r><w:t xml:space="preserve"> </w:t></w:r><w:r><w:t xml:space="preserve">and</w:t></w:r><w:r><w:t xml:space="preserve"> </w:t></w:r><w:r><w:t xml:space="preserve">Appendix </w:t></w:r><w:hyperlink w:anchor="app:true"><w:r><w:rPr><w:rStyle w:val="Hyperlink" /></w:rPr><w:t xml:space="preserve">13</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1</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12</w:t></w:r></w:hyperlink><w:r><w:t xml:space="preserve">.</w:t></w:r></w:p>
    <w:bookmarkEnd w:id="37" />
    <w:bookmarkStart w:id="38" w:name="sec:boundary" />
    <w:p><w:pPr><w:pStyle w:val="Heading1" /></w:pPr><w:r><w:rPr><w:rStyle w:val="SectionNumber" /></w:rPr><w:t xml:space="preserve">9</w:t></w:r><w:r><w:tab /></w: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38" />
    <w:bookmarkStart w:id="39" w:name="sec:negatives" />
    <w:p><w:pPr><w:pStyle w:val="Heading1" /></w:pPr><w:r><w:rPr><w:rStyle w:val="SectionNumber" /></w:rPr><w:t xml:space="preserve">10</w:t></w:r><w:r><w:tab /></w: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9</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9</w:t></w:r></w:hyperlink><w:r><w:t xml:space="preserve">) were</w:t></w:r><w:r><w:t xml:space="preserve"> </w:t></w:r><w:r><w:t xml:space="preserve">blinded where feasible. The house rule is that the paper may not assert what the</w:t></w:r><w:r><w:t xml:space="preserve"> </w:t></w:r><w:r><w:t xml:space="preserve">ledger cannot show.</w:t></w:r></w:p>
    <w:bookmarkEnd w:id="39" />
    <w:bookmarkStart w:id="41" w:name="sec:discussion" />
    <w:p><w:pPr><w:pStyle w:val="Heading1" /></w:pPr><w:r><w:rPr><w:rStyle w:val="SectionNumber" /></w:rPr><w:t xml:space="preserve">11</w:t></w:r><w:r><w:tab /></w:r><w:r><w:t xml:space="preserve">Discussion</w:t></w:r></w:p>
    <w:bookmarkStart w:id="40"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11</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40"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m:oMath><m:r><m:t>16</m:t></m:r><m:r><m:rPr><m:sty m:val="p" /></m:rPr><m:t>/</m:t></m:r><m:r><m:t>16</m:t></m:r></m:oMath><w:r><w:t xml:space="preserve"> </w:t></w:r><w:r><w:t xml:space="preserve">heads while reconstruction, provably tied, agrees on only</w:t></w:r><w:r><w:t xml:space="preserve"> </w:t></w:r><m:oMath><m:r><m:t>2</m:t></m:r><m:r><m:rPr><m:sty m:val="p" /></m:rPr><m:t>/</m:t></m:r><m:r><m:t>16</m:t></m:r></m:oMath><w:r><w:t xml:space="preserve"> </w:t></w:r><w:r><w:t xml:space="preserve">(its own</w:t></w:r><w:r><w:t xml:space="preserve"> </w:t></w:r><w:r><w:t xml:space="preserve">floating-point noise), and the read</w:t></w:r><w:r><w:t xml:space="preserve"> </w:t></w:r><w:r><w:rPr><w:i /><w:iCs /></w:rPr><w:t xml:space="preserve">subspace</w:t></w:r><w:r><w:t xml:space="preserve"> </w:t></w:r><w:r><w:t xml:space="preserve">is recovered at overlap</w:t></w:r><w:r><w:t xml:space="preserve"> </w:t></w:r><m:oMath><m:r><m:t>0.647</m:t></m:r></m:oMath><w:r><w:t xml:space="preserve">.</w:t></w:r><w:r><w:t xml:space="preserve"> </w:t></w:r><w:r><w:t xml:space="preserve">The theory’s mechanism thus operates on a trained Llama attention layer, called</w:t></w:r><w:r><w:t xml:space="preserve"> </w:t></w:r><w:r><w:rPr><w:i /><w:iCs /></w:rPr><w:t xml:space="preserve">before</w:t></w:r><w:r><w:t xml:space="preserve"> </w:t></w:r><w:r><w:t xml:space="preserve">compression by a blind probe; the GO-P-2026-020 miss stands as an honest</w:t></w:r><w:r><w:t xml:space="preserve"> </w:t></w:r><w:r><w:t xml:space="preserve">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12</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2</w:t></w:r></w:hyperlink><w:r><w:t xml:space="preserve">), and Appendix </w:t></w:r><w:hyperlink w:anchor="app:true"><w:r><w:rPr><w:rStyle w:val="Hyperlink" /></w:rPr><w:t xml:space="preserve">13</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2</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3</w:t></w:r></w:hyperlink><w:r><w:t xml:space="preserve">), with the</w:t></w:r><w:r><w:t xml:space="preserve"> </w:t></w:r><w:r><w:t xml:space="preserve">quotient floor unconditional (Cor. </w:t></w:r><w:hyperlink w:anchor="cor:B2a"><w:r><w:rPr><w:rStyle w:val="Hyperlink" /></w:rPr><w:t xml:space="preserve">3</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12</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13</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41" />
    <w:bookmarkStart w:id="46" w:name="app:coding" />
    <w:p><w:pPr><w:pStyle w:val="Heading1" /></w:pPr><w:r><w:rPr><w:rStyle w:val="SectionNumber" /></w:rPr><w:t xml:space="preserve">12</w:t></w:r><w:r><w:tab /></w: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2</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42" w:name="lem:tilt" />
    <w:p><w:pPr><w:pStyle w:val="BodyText" /></w:pPr><w:r><w:rPr><w:b /><w:bCs /></w:rPr><w:t xml:space="preserve">Lemma 2</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42"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43" w:name="thm:coding" />
    <w:p><w:pPr><w:pStyle w:val="BodyText" /></w:pPr><w:r><w:rPr><w:b /><w:bCs /></w:rPr><w:t xml:space="preserve">Theorem 1</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43"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44" w:name="cor:coding" />
    <w:p><w:pPr><w:pStyle w:val="BodyText" /></w:pPr><w:r><w:rPr><w:b /><w:bCs /></w:rPr><w:t xml:space="preserve">Corollary 1</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44" />
    <w:bookmarkStart w:id="45" w:name="cor:pointdep" />
    <w:p><w:pPr><w:pStyle w:val="BodyText" /></w:pPr><w:r><w:rPr><w:b /><w:bCs /></w:rPr><w:t xml:space="preserve">Corollary 2</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1</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45"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1</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2</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2</w:t></w:r></w:hyperlink><w:r><w:t xml:space="preserve"> </w:t></w:r><w:r><w:t xml:space="preserve">settles that—and, as</w:t></w:r><w:r><w:t xml:space="preserve"> </w:t></w:r><w:r><w:t xml:space="preserve">Appendix </w:t></w:r><w:hyperlink w:anchor="app:true"><w:r><w:rPr><w:rStyle w:val="Hyperlink" /></w:rPr><w:t xml:space="preserve">13</w:t></w:r></w:hyperlink><w:r><w:t xml:space="preserve"> </w:t></w:r><w:r><w:t xml:space="preserve">shows, not the true nonlinear divergence either:</w:t></w:r><w:r><w:t xml:space="preserve"> </w:t></w:r><w:r><w:t xml:space="preserve">Thm. </w:t></w:r><w:hyperlink w:anchor="thm:B1"><w:r><w:rPr><w:rStyle w:val="Hyperlink" /></w:rPr><w:t xml:space="preserve">2</w:t></w:r></w:hyperlink><w:r><w:t xml:space="preserve"> </w:t></w:r><w:r><w:t xml:space="preserve">gives its single-letter theorem at every</w:t></w:r><w:r><w:t xml:space="preserve"> </w:t></w:r><m:oMath><m:r><m:t>D</m:t></m:r></m:oMath><w:r><w:t xml:space="preserve">, and Thm. </w:t></w:r><w:hyperlink w:anchor="thm:B2"><w:r><w:rPr><w:rStyle w:val="Hyperlink" /></w:rPr><w:t xml:space="preserve">3</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13</w:t></w:r></w:hyperlink><w:r><w:t xml:space="preserve">, §</w:t></w:r><w:hyperlink w:anchor="subsec:open"><w:r><w:rPr><w:rStyle w:val="Hyperlink" /></w:rPr><w:t xml:space="preserve">13.4</w:t></w:r></w:hyperlink><w:r><w:t xml:space="preserve">.</w:t></w:r></w:p>
    <w:bookmarkEnd w:id="46" />
    <w:bookmarkStart w:id="56" w:name="app:true" />
    <w:p><w:pPr><w:pStyle w:val="Heading1" /></w:pPr><w:r><w:rPr><w:rStyle w:val="SectionNumber" /></w:rPr><w:t xml:space="preserve">13</w:t></w:r><w:r><w:tab /></w: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2</w:t></w:r></w:hyperlink><w:r><w:t xml:space="preserve">. The load-bearing identities</w:t></w:r><w:r><w:t xml:space="preserve"> </w:t></w:r><w:r><w:t xml:space="preserve">(Thm. </w:t></w:r><w:hyperlink w:anchor="thm:B2"><w:r><w:rPr><w:rStyle w:val="Hyperlink" /></w:rPr><w:t xml:space="preserve">3</w:t></w:r></w:hyperlink><w:r><w:t xml:space="preserve">, Cor. </w:t></w:r><w:hyperlink w:anchor="cor:B2a"><w:r><w:rPr><w:rStyle w:val="Hyperlink" /></w:rPr><w:t xml:space="preserve">3</w:t></w:r></w:hyperlink><w:r><w:t xml:space="preserve">) and the high-resolution formula</w:t></w:r><w:r><w:t xml:space="preserve"> </w:t></w:r><w:r><w:t xml:space="preserve">(Thm. </w:t></w:r><w:hyperlink w:anchor="thm:B3"><w:r><w:rPr><w:rStyle w:val="Hyperlink" /></w:rPr><w:t xml:space="preserve">4</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48" w:name="existence-the-theorem-ports-verbatim" />
    <w:p><w:pPr><w:pStyle w:val="Heading2" /></w:pPr><w:r><w:rPr><w:rStyle w:val="SectionNumber" /></w:rPr><w:t xml:space="preserve">13.1</w:t></w:r><w:r><w:tab /></w:r><w:r><w:t xml:space="preserve">Existence: the theorem ports verbatim</w:t></w:r></w:p>
    <w:bookmarkStart w:id="47" w:name="thm:B1" />
    <w:p><w:pPr><w:pStyle w:val="FirstParagraph" /></w:pPr><w:r><w:rPr><w:b /><w:bCs /></w:rPr><w:t xml:space="preserve">Theorem 2</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47"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1</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2</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48" />
    <w:bookmarkStart w:id="52" w:name="X367fbd65c62cb4a4e0cf143bc8c74bd9670dd12" />
    <w:p><w:pPr><w:pStyle w:val="Heading2" /></w:pPr><w:r><w:rPr><w:rStyle w:val="SectionNumber" /></w:rPr><w:t xml:space="preserve">13.2</w:t></w:r><w:r><w:tab /></w:r><w:r><w:t xml:space="preserve">The exact nonlinear tilt: reduction to the output source</w:t></w:r></w:p>
    <w:bookmarkStart w:id="49" w:name="thm:B2" />
    <w:p><w:pPr><w:pStyle w:val="FirstParagraph" /></w:pPr><w:r><w:rPr><w:b /><w:bCs /></w:rPr><w:t xml:space="preserve">Theorem 3</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49"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50" w:name="cor:B2a" />
    <w:p><w:pPr><w:pStyle w:val="BodyText" /></w:pPr><w:r><w:rPr><w:b /><w:bCs /></w:rPr><w:t xml:space="preserve">Corollary 3</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2</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50" />
    <w:bookmarkStart w:id="51" w:name="cor:B2b" />
    <w:p><w:pPr><w:pStyle w:val="BodyText" /></w:pPr><w:r><w:rPr><w:b /><w:bCs /></w:rPr><w:t xml:space="preserve">Corollary 4</w:t></w:r><w:r><w:t xml:space="preserve"> </w:t></w:r><w:r><w:t xml:space="preserve">(Order of operations).</w:t></w:r><w:r><w:t xml:space="preserve"> </w:t></w:r><w:r><w:t xml:space="preserve"> </w:t></w:r><w:r><w:rPr><w:i /><w:iCs /></w:rPr><w:t xml:space="preserve">The reduction of Thm. </w:t></w:r><w:hyperlink w:anchor="thm:B2"><w:r><w:rPr><w:rStyle w:val="Hyperlink" /><w:i /><w:iCs /></w:rPr><w:t xml:space="preserve">3</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4</w:t></w:r></w:hyperlink><w:r><w:rPr><w:i /><w:iCs /></w:rPr><w:t xml:space="preserve">.</w:t></w:r></w:p>
    <w:bookmarkEnd w:id="51" />
    <w:p><w:pPr><w:pStyle w:val="BodyText" /></w:pPr><w:r><w:rPr><w:i /><w:iCs /></w:rPr><w:t xml:space="preserve">Remark 4</w:t></w:r><w:r><w:t xml:space="preserve"> </w:t></w:r><w:r><w:t xml:space="preserve">(Provenance).</w:t></w:r><w:r><w:t xml:space="preserve"> </w:t></w:r><w:r><w:t xml:space="preserve"> </w:t></w:r><w:r><w:t xml:space="preserve">Thm. </w:t></w:r><w:hyperlink w:anchor="thm:B2"><w:r><w:rPr><w:rStyle w:val="Hyperlink" /></w:rPr><w:t xml:space="preserve">3</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52" />
    <w:bookmarkStart w:id="54" w:name="Xbcb80a14c4c6d3407ac91cd25bb11365932f1a6" />
    <w:p><w:pPr><w:pStyle w:val="Heading2" /></w:pPr><w:r><w:rPr><w:rStyle w:val="SectionNumber" /></w:rPr><w:t xml:space="preserve">13.3</w:t></w:r><w:r><w:tab /></w:r><w:r><w:t xml:space="preserve">High resolution: the surrogate’s exact validity region</w:t></w:r></w:p>
    <w:p><w:pPr><w:pStyle w:val="FirstParagraph" /></w:pPr><w:r><w:t xml:space="preserve">Apply Thm. </w:t></w:r><w:hyperlink w:anchor="thm:B2"><w:r><w:rPr><w:rStyle w:val="Hyperlink" /></w:rPr><w:t xml:space="preserve">3</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53" w:name="thm:B3" />
    <w:p><w:pPr><w:pStyle w:val="BodyText" /></w:pPr><w:r><w:rPr><w:b /><w:bCs /></w:rPr><w:t xml:space="preserve">Theorem 4</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13</w:t></w:r></w:hyperlink><w:r><w:rPr><w:i /><w:iCs /></w:rPr><w:t xml:space="preserve">, §</w:t></w:r><w:hyperlink w:anchor="subsec:open"><w:r><w:rPr><w:rStyle w:val="Hyperlink" /><w:i /><w:iCs /></w:rPr><w:t xml:space="preserve">13.4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53" />
    <w:p><w:pPr><w:pStyle w:val="BodyText" /></w:pPr><w:r><w:rPr><w:i /><w:iCs /></w:rPr><w:t xml:space="preserve">Remark 5</w:t></w:r><w:r><w:t xml:space="preserve"> </w:t></w:r><w:r><w:t xml:space="preserve">(What coding to the surrogate certifies).</w:t></w:r><w:r><w:t xml:space="preserve"> </w:t></w:r><w:r><w:t xml:space="preserve"> </w:t></w:r><w:r><w:t xml:space="preserve">Thms. </w:t></w:r><w:hyperlink w:anchor="thm:B2"><w:r><w:rPr><w:rStyle w:val="Hyperlink" /></w:rPr><w:t xml:space="preserve">3</w:t></w:r></w:hyperlink><w:r><w:t xml:space="preserve">–</w:t></w:r><w:hyperlink w:anchor="thm:B3"><w:r><w:rPr><w:rStyle w:val="Hyperlink" /></w:rPr><w:t xml:space="preserve">4</w:t></w:r></w:hyperlink><w:r><w:t xml:space="preserve"> </w:t></w:r><w:r><w:t xml:space="preserve">replace Cor. </w:t></w:r><w:hyperlink w:anchor="cor:pointdep"><w:r><w:rPr><w:rStyle w:val="Hyperlink" /></w:rPr><w:t xml:space="preserve">2</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54" />
    <w:bookmarkStart w:id="55" w:name="subsec:open" />
    <w:p><w:pPr><w:pStyle w:val="Heading2" /></w:pPr><w:r><w:rPr><w:rStyle w:val="SectionNumber" /></w:rPr><w:t xml:space="preserve">13.4</w:t></w:r><w:r><w:tab /></w:r><w:r><w:t xml:space="preserve">What remains open, and a registered prediction</w:t></w:r></w:p>
    <w:p><w:pPr><w:pStyle w:val="FirstParagraph" /></w:pPr><w:r><w:t xml:space="preserve">Genuinely open after Thms. </w:t></w:r><w:hyperlink w:anchor="thm:B1"><w:r><w:rPr><w:rStyle w:val="Hyperlink" /></w:rPr><w:t xml:space="preserve">2</w:t></w:r></w:hyperlink><w:r><w:t xml:space="preserve">–</w:t></w:r><w:hyperlink w:anchor="thm:B3"><w:r><w:rPr><w:rStyle w:val="Hyperlink" /></w:rPr><w:t xml:space="preserve">4</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w:t></w:r><w:r><w:t xml:space="preserve"> </w:t></w:r><w:r><w:t xml:space="preserve">where the single-observer reduction fails because the observers’ quotients differ—the</w:t></w:r><w:r><w:t xml:space="preserve"> </w:t></w:r><w:r><w:t xml:space="preserve">frontier flagged in §</w:t></w:r><w:hyperlink w:anchor="sec:framework"><w:r><w:rPr><w:rStyle w:val="Hyperlink" /></w:rPr><w:t xml:space="preserve">2</w:t></w:r></w:hyperlink><w:r><w:t xml:space="preserve">;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3</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4</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55" />
    <w:bookmarkEnd w:id="56" />
    <w:bookmarkStart w:id="57"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(Zenodo/OSF) accompanies the paper.</w:t></w:r></w:p>
    <w:bookmarkEnd w:id="57" />
    <w:bookmarkStart w:id="58"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w:t></w:r></w:p>
    <w:p><w:pPr><w:numPr><w:ilvl w:val="0" /><w:numId w:val="1001" /></w:numPr></w:pPr><w:r><w:t xml:space="preserve">A. H. Bond. Geometric key quantization: reconstruction is not the</w:t></w:r><w:r><w:t xml:space="preserve"> </w:t></w:r><w:r><w:t xml:space="preserve">target. Companion Paper II, 2026.</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bookmarkEnd w:id="58"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2026-07-18T04:07:48Z</dcterms:created>
  <dcterms:modified xsi:type="dcterms:W3CDTF">2026-07-18T04:07:48Z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