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Every empirical claim is governed by a sealed prior registration with a</w:t></w:r><w:r><w:t xml:space="preserve"> </w:t></w:r><w:r><w:t xml:space="preserve">preset bar; four of five core predictions are confirmed, one refuted; a further</w:t></w:r><w:r><w:t xml:space="preserve"> </w:t></w:r><w:r><w:t xml:space="preserve">trained-model test missed, then passed after correction.</w:t></w:r></w:p>
    <w:p><w:pPr><w:pStyle w:val="FirstParagraph" /></w:pPr><w:r><w:t xml:space="preserve">BOND: OBSERVATION THEORY</w:t></w:r></w:p>
    <w:p><w:pPr><w:pStyle w:val="BodyText" /></w:pPr><w:r><w:rPr><w:b /><w:bCs /></w:rPr><w:t xml:space="preserve">Index Terms—</w:t></w:r><w:r><w:t xml:space="preserve"> </w:t></w:r><w:r><w:t xml:space="preserve">Distinguishability, indirect source coding, information bottleneck, information</w:t></w:r><w:r><w:t xml:space="preserve"> </w:t></w:r><w:r><w:t xml:space="preserve">geometry, neural network compression, quantization, rate–distortion theory,</w:t></w:r><w:r><w:t xml:space="preserve"> </w:t></w:r><w:r><w:t xml:space="preserve">reproducibility, source coding.</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rPr><w:rStyle w:val="SectionNumber" /></w:rPr><w:t xml:space="preserve">1</w:t></w:r><w:r><w:tab /></w: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rPr><w:rStyle w:val="SectionNumber" /></w:rPr><w:t xml:space="preserve">2</w:t></w:r><w:r><w:tab /></w: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and</w:t></w:r><w:r><w:t xml:space="preserve"> </w:t></w:r><w:r><w:rPr><w:i /><w:iCs /></w:rPr><w:t xml:space="preserve">identifiable</w:t></w:r><w:r><w:t xml:space="preserve"> </w:t></w:r><w:r><w:t xml:space="preserve">from the consumer</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 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11</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13</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13</w:t></w:r></w:hyperlink><w:r><w:t xml:space="preserve"> </w:t></w:r><w:r><w:t xml:space="preserve">(Cor. </w:t></w:r><w:hyperlink w:anchor="cor:B2a"><w:r><w:rPr><w:rStyle w:val="Hyperlink" /></w:rPr><w:t xml:space="preserve">3</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rPr><w:rStyle w:val="SectionNumber" /></w:rPr><w:t xml:space="preserve">3</w:t></w:r><w:r><w:tab /></w: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rPr><w:rStyle w:val="SectionNumber" /></w:rPr><w:t xml:space="preserve">4</w:t></w:r><w:r><w:tab /></w: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11</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rPr><w:rStyle w:val="SectionNumber" /></w:rPr><w:t xml:space="preserve">5</w:t></w:r><w:r><w:tab /></w: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rPr><w:rStyle w:val="SectionNumber" /></w:rPr><w:t xml:space="preserve">6</w:t></w:r><w:r><w:tab /></w: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r><m:t>F</m:t></m: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w:t></w:r><m:oMath><m:r><m:t>ρ</m:t></m:r><m:r><m:rPr><m:sty m:val="p" /></m:rPr><m:t>=</m:t></m:r><m:r><m:t>0.99</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rPr><w:rStyle w:val="SectionNumber" /></w:rPr><w:t xml:space="preserve">7</w:t></w:r><w:r><w:tab /></w: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rPr><w:rStyle w:val="SectionNumber" /></w:rPr><w:t xml:space="preserve">8</w:t></w:r><w:r><w:tab /></w: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2</w:t></w:r></w:hyperlink><w:r><w:t xml:space="preserve"> </w:t></w:r><w:r><w:t xml:space="preserve">and</w:t></w:r><w:r><w:t xml:space="preserve"> </w:t></w:r><w:r><w:t xml:space="preserve">Appendix </w:t></w:r><w:hyperlink w:anchor="app:true"><w:r><w:rPr><w:rStyle w:val="Hyperlink" /></w:rPr><w:t xml:space="preserve">13</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1</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12</w:t></w:r></w:hyperlink><w:r><w:t xml:space="preserve">.</w:t></w:r></w:p>
    <w:bookmarkEnd w:id="37" />
    <w:bookmarkStart w:id="38" w:name="sec:boundary" />
    <w:p><w:pPr><w:pStyle w:val="Heading1" /></w:pPr><w:r><w:rPr><w:rStyle w:val="SectionNumber" /></w:rPr><w:t xml:space="preserve">9</w:t></w:r><w:r><w:tab /></w: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38" />
    <w:bookmarkStart w:id="39" w:name="sec:negatives" />
    <w:p><w:pPr><w:pStyle w:val="Heading1" /></w:pPr><w:r><w:rPr><w:rStyle w:val="SectionNumber" /></w:rPr><w:t xml:space="preserve">10</w:t></w:r><w:r><w:tab /></w: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9</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9</w:t></w:r></w:hyperlink><w:r><w:t xml:space="preserve">) were</w:t></w:r><w:r><w:t xml:space="preserve"> </w:t></w:r><w:r><w:t xml:space="preserve">blinded where feasible. The house rule is that the paper may not assert what the</w:t></w:r><w:r><w:t xml:space="preserve"> </w:t></w:r><w:r><w:t xml:space="preserve">ledger cannot show.</w:t></w:r></w:p>
    <w:bookmarkEnd w:id="39" />
    <w:bookmarkStart w:id="41" w:name="sec:discussion" />
    <w:p><w:pPr><w:pStyle w:val="Heading1" /></w:pPr><w:r><w:rPr><w:rStyle w:val="SectionNumber" /></w:rPr><w:t xml:space="preserve">11</w:t></w:r><w:r><w:tab /></w:r><w:r><w:t xml:space="preserve">Discussion</w:t></w:r></w:p>
    <w:bookmarkStart w:id="40"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11</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1)."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w:t></w:r><w:r><w:t xml:space="preserve"> </w:t></w:r><m:oMath><m:r><m:t>ρ</m:t></m:r><m:r><m:rPr><m:sty m:val="p" /></m:rPr><m:t>=</m:t></m:r><m:r><m:t>0.99</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40"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12</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2</w:t></w:r></w:hyperlink><w:r><w:t xml:space="preserve">), and Appendix </w:t></w:r><w:hyperlink w:anchor="app:true"><w:r><w:rPr><w:rStyle w:val="Hyperlink" /></w:rPr><w:t xml:space="preserve">13</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2</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3</w:t></w:r></w:hyperlink><w:r><w:t xml:space="preserve">), with the</w:t></w:r><w:r><w:t xml:space="preserve"> </w:t></w:r><w:r><w:t xml:space="preserve">quotient floor unconditional (Cor. </w:t></w:r><w:hyperlink w:anchor="cor:B2a"><w:r><w:rPr><w:rStyle w:val="Hyperlink" /></w:rPr><w:t xml:space="preserve">3</w:t></w:r></w:hyperlink><w:r><w:t xml:space="preserve">). What</w:t></w:r><w:r><w:t xml:space="preserve"> </w:t></w:r><w:r><w:t xml:space="preserve">remains open is narrower: the curved-image high-resolution case, the multi-observer</w:t></w:r><w:r><w:t xml:space="preserve"> </w:t></w:r><w:r><w:t xml:space="preserve">rate region (distinct quotients, no single reduction), the 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12</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13</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41" />
    <w:bookmarkStart w:id="46" w:name="app:coding" />
    <w:p><w:pPr><w:pStyle w:val="Heading1" /></w:pPr><w:r><w:rPr><w:rStyle w:val="SectionNumber" /></w:rPr><w:t xml:space="preserve">12</w:t></w:r><w:r><w:tab /></w: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2</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42" w:name="lem:tilt" />
    <w:p><w:pPr><w:pStyle w:val="BodyText" /></w:pPr><w:r><w:rPr><w:b /><w:bCs /></w:rPr><w:t xml:space="preserve">Lemma 2</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42"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43" w:name="thm:coding" />
    <w:p><w:pPr><w:pStyle w:val="BodyText" /></w:pPr><w:r><w:rPr><w:b /><w:bCs /></w:rPr><w:t xml:space="preserve">Theorem 1</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43"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44" w:name="cor:coding" />
    <w:p><w:pPr><w:pStyle w:val="BodyText" /></w:pPr><w:r><w:rPr><w:b /><w:bCs /></w:rPr><w:t xml:space="preserve">Corollary 1</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44" />
    <w:bookmarkStart w:id="45" w:name="cor:pointdep" />
    <w:p><w:pPr><w:pStyle w:val="BodyText" /></w:pPr><w:r><w:rPr><w:b /><w:bCs /></w:rPr><w:t xml:space="preserve">Corollary 2</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1</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45"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1</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2</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2</w:t></w:r></w:hyperlink><w:r><w:t xml:space="preserve"> </w:t></w:r><w:r><w:t xml:space="preserve">settles that—and, as</w:t></w:r><w:r><w:t xml:space="preserve"> </w:t></w:r><w:r><w:t xml:space="preserve">Appendix </w:t></w:r><w:hyperlink w:anchor="app:true"><w:r><w:rPr><w:rStyle w:val="Hyperlink" /></w:rPr><w:t xml:space="preserve">13</w:t></w:r></w:hyperlink><w:r><w:t xml:space="preserve"> </w:t></w:r><w:r><w:t xml:space="preserve">shows, not the true nonlinear divergence either:</w:t></w:r><w:r><w:t xml:space="preserve"> </w:t></w:r><w:r><w:t xml:space="preserve">Thm. </w:t></w:r><w:hyperlink w:anchor="thm:B1"><w:r><w:rPr><w:rStyle w:val="Hyperlink" /></w:rPr><w:t xml:space="preserve">2</w:t></w:r></w:hyperlink><w:r><w:t xml:space="preserve"> </w:t></w:r><w:r><w:t xml:space="preserve">gives its single-letter theorem at every</w:t></w:r><w:r><w:t xml:space="preserve"> </w:t></w:r><m:oMath><m:r><m:t>D</m:t></m:r></m:oMath><w:r><w:t xml:space="preserve">, and Thm. </w:t></w:r><w:hyperlink w:anchor="thm:B2"><w:r><w:rPr><w:rStyle w:val="Hyperlink" /></w:rPr><w:t xml:space="preserve">3</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13</w:t></w:r></w:hyperlink><w:r><w:t xml:space="preserve">, §</w:t></w:r><w:hyperlink w:anchor="subsec:open"><w:r><w:rPr><w:rStyle w:val="Hyperlink" /></w:rPr><w:t xml:space="preserve">13.4</w:t></w:r></w:hyperlink><w:r><w:t xml:space="preserve">.</w:t></w:r></w:p>
    <w:bookmarkEnd w:id="46" />
    <w:bookmarkStart w:id="56" w:name="app:true" />
    <w:p><w:pPr><w:pStyle w:val="Heading1" /></w:pPr><w:r><w:rPr><w:rStyle w:val="SectionNumber" /></w:rPr><w:t xml:space="preserve">13</w:t></w:r><w:r><w:tab /></w: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2</w:t></w:r></w:hyperlink><w:r><w:t xml:space="preserve">. The load-bearing identities</w:t></w:r><w:r><w:t xml:space="preserve"> </w:t></w:r><w:r><w:t xml:space="preserve">(Thm. </w:t></w:r><w:hyperlink w:anchor="thm:B2"><w:r><w:rPr><w:rStyle w:val="Hyperlink" /></w:rPr><w:t xml:space="preserve">3</w:t></w:r></w:hyperlink><w:r><w:t xml:space="preserve">, Cor. </w:t></w:r><w:hyperlink w:anchor="cor:B2a"><w:r><w:rPr><w:rStyle w:val="Hyperlink" /></w:rPr><w:t xml:space="preserve">3</w:t></w:r></w:hyperlink><w:r><w:t xml:space="preserve">) and the high-resolution formula</w:t></w:r><w:r><w:t xml:space="preserve"> </w:t></w:r><w:r><w:t xml:space="preserve">(Thm. </w:t></w:r><w:hyperlink w:anchor="thm:B3"><w:r><w:rPr><w:rStyle w:val="Hyperlink" /></w:rPr><w:t xml:space="preserve">4</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48" w:name="existence-the-theorem-ports-verbatim" />
    <w:p><w:pPr><w:pStyle w:val="Heading2" /></w:pPr><w:r><w:rPr><w:rStyle w:val="SectionNumber" /></w:rPr><w:t xml:space="preserve">13.1</w:t></w:r><w:r><w:tab /></w:r><w:r><w:t xml:space="preserve">Existence: the theorem ports verbatim</w:t></w:r></w:p>
    <w:bookmarkStart w:id="47" w:name="thm:B1" />
    <w:p><w:pPr><w:pStyle w:val="FirstParagraph" /></w:pPr><w:r><w:rPr><w:b /><w:bCs /></w:rPr><w:t xml:space="preserve">Theorem 2</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47"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1</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2</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48" />
    <w:bookmarkStart w:id="52" w:name="X367fbd65c62cb4a4e0cf143bc8c74bd9670dd12" />
    <w:p><w:pPr><w:pStyle w:val="Heading2" /></w:pPr><w:r><w:rPr><w:rStyle w:val="SectionNumber" /></w:rPr><w:t xml:space="preserve">13.2</w:t></w:r><w:r><w:tab /></w:r><w:r><w:t xml:space="preserve">The exact nonlinear tilt: reduction to the output source</w:t></w:r></w:p>
    <w:bookmarkStart w:id="49" w:name="thm:B2" />
    <w:p><w:pPr><w:pStyle w:val="FirstParagraph" /></w:pPr><w:r><w:rPr><w:b /><w:bCs /></w:rPr><w:t xml:space="preserve">Theorem 3</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49"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50" w:name="cor:B2a" />
    <w:p><w:pPr><w:pStyle w:val="BodyText" /></w:pPr><w:r><w:rPr><w:b /><w:bCs /></w:rPr><w:t xml:space="preserve">Corollary 3</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2</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50" />
    <w:bookmarkStart w:id="51" w:name="cor:B2b" />
    <w:p><w:pPr><w:pStyle w:val="BodyText" /></w:pPr><w:r><w:rPr><w:b /><w:bCs /></w:rPr><w:t xml:space="preserve">Corollary 4</w:t></w:r><w:r><w:t xml:space="preserve"> </w:t></w:r><w:r><w:t xml:space="preserve">(Order of operations).</w:t></w:r><w:r><w:t xml:space="preserve"> </w:t></w:r><w:r><w:t xml:space="preserve"> </w:t></w:r><w:r><w:rPr><w:i /><w:iCs /></w:rPr><w:t xml:space="preserve">The reduction of Thm. </w:t></w:r><w:hyperlink w:anchor="thm:B2"><w:r><w:rPr><w:rStyle w:val="Hyperlink" /><w:i /><w:iCs /></w:rPr><w:t xml:space="preserve">3</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4</w:t></w:r></w:hyperlink><w:r><w:rPr><w:i /><w:iCs /></w:rPr><w:t xml:space="preserve">.</w:t></w:r></w:p>
    <w:bookmarkEnd w:id="51" />
    <w:p><w:pPr><w:pStyle w:val="BodyText" /></w:pPr><w:r><w:rPr><w:i /><w:iCs /></w:rPr><w:t xml:space="preserve">Remark 4</w:t></w:r><w:r><w:t xml:space="preserve"> </w:t></w:r><w:r><w:t xml:space="preserve">(Provenance).</w:t></w:r><w:r><w:t xml:space="preserve"> </w:t></w:r><w:r><w:t xml:space="preserve"> </w:t></w:r><w:r><w:t xml:space="preserve">Thm. </w:t></w:r><w:hyperlink w:anchor="thm:B2"><w:r><w:rPr><w:rStyle w:val="Hyperlink" /></w:rPr><w:t xml:space="preserve">3</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52" />
    <w:bookmarkStart w:id="54" w:name="Xbcb80a14c4c6d3407ac91cd25bb11365932f1a6" />
    <w:p><w:pPr><w:pStyle w:val="Heading2" /></w:pPr><w:r><w:rPr><w:rStyle w:val="SectionNumber" /></w:rPr><w:t xml:space="preserve">13.3</w:t></w:r><w:r><w:tab /></w:r><w:r><w:t xml:space="preserve">High resolution: the surrogate’s exact validity region</w:t></w:r></w:p>
    <w:p><w:pPr><w:pStyle w:val="FirstParagraph" /></w:pPr><w:r><w:t xml:space="preserve">Apply Thm. </w:t></w:r><w:hyperlink w:anchor="thm:B2"><w:r><w:rPr><w:rStyle w:val="Hyperlink" /></w:rPr><w:t xml:space="preserve">3</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53" w:name="thm:B3" />
    <w:p><w:pPr><w:pStyle w:val="BodyText" /></w:pPr><w:r><w:rPr><w:b /><w:bCs /></w:rPr><w:t xml:space="preserve">Theorem 4</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13</w:t></w:r></w:hyperlink><w:r><w:rPr><w:i /><w:iCs /></w:rPr><w:t xml:space="preserve">, §</w:t></w:r><w:hyperlink w:anchor="subsec:open"><w:r><w:rPr><w:rStyle w:val="Hyperlink" /><w:i /><w:iCs /></w:rPr><w:t xml:space="preserve">13.4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53" />
    <w:p><w:pPr><w:pStyle w:val="BodyText" /></w:pPr><w:r><w:rPr><w:i /><w:iCs /></w:rPr><w:t xml:space="preserve">Remark 5</w:t></w:r><w:r><w:t xml:space="preserve"> </w:t></w:r><w:r><w:t xml:space="preserve">(What coding to the surrogate certifies).</w:t></w:r><w:r><w:t xml:space="preserve"> </w:t></w:r><w:r><w:t xml:space="preserve"> </w:t></w:r><w:r><w:t xml:space="preserve">Thms. </w:t></w:r><w:hyperlink w:anchor="thm:B2"><w:r><w:rPr><w:rStyle w:val="Hyperlink" /></w:rPr><w:t xml:space="preserve">3</w:t></w:r></w:hyperlink><w:r><w:t xml:space="preserve">–</w:t></w:r><w:hyperlink w:anchor="thm:B3"><w:r><w:rPr><w:rStyle w:val="Hyperlink" /></w:rPr><w:t xml:space="preserve">4</w:t></w:r></w:hyperlink><w:r><w:t xml:space="preserve"> </w:t></w:r><w:r><w:t xml:space="preserve">replace Cor. </w:t></w:r><w:hyperlink w:anchor="cor:pointdep"><w:r><w:rPr><w:rStyle w:val="Hyperlink" /></w:rPr><w:t xml:space="preserve">2</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54" />
    <w:bookmarkStart w:id="55" w:name="subsec:open" />
    <w:p><w:pPr><w:pStyle w:val="Heading2" /></w:pPr><w:r><w:rPr><w:rStyle w:val="SectionNumber" /></w:rPr><w:t xml:space="preserve">13.4</w:t></w:r><w:r><w:tab /></w:r><w:r><w:t xml:space="preserve">What remains open, and a registered prediction</w:t></w:r></w:p>
    <w:p><w:pPr><w:pStyle w:val="FirstParagraph" /></w:pPr><w:r><w:t xml:space="preserve">Genuinely open after Thms. </w:t></w:r><w:hyperlink w:anchor="thm:B1"><w:r><w:rPr><w:rStyle w:val="Hyperlink" /></w:rPr><w:t xml:space="preserve">2</w:t></w:r></w:hyperlink><w:r><w:t xml:space="preserve">–</w:t></w:r><w:hyperlink w:anchor="thm:B3"><w:r><w:rPr><w:rStyle w:val="Hyperlink" /></w:rPr><w:t xml:space="preserve">4</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rate region for</w:t></w:r><w:r><w:t xml:space="preserve"> </w:t></w:r><m:oMath><m:r><m:rPr><m:sty m:val="p" /></m:rPr><m:t>{</m:t></m:r><m:sSub><m:e><m:r><m:rPr><m:scr m:val="script" /><m:sty m:val="p" /></m:rPr><m:t>C</m:t></m:r></m:e><m:sub><m:r><m:t>k</m:t></m:r></m:sub></m:sSub><m:r><m:rPr><m:sty m:val="p" /></m:rPr><m:t>}</m:t></m:r></m:oMath><w:r><w:t xml:space="preserve"> </w:t></w:r><w:r><w:t xml:space="preserve">beyond the two-observer weighted-quadratic case that Appendix </w:t></w:r><w:hyperlink w:anchor="app:multiobs"><w:r><w:rPr><w:rStyle w:val="Hyperlink" /></w:rPr><w:t xml:space="preserve">14</w:t></w:r></w:hyperlink><w:r><w:t xml:space="preserve"> </w:t></w:r><w:r><w:t xml:space="preserve">settles</w:t></w:r><w:r><w:t xml:space="preserve"> </w:t></w:r><w:r><w:t xml:space="preserve">(the general</w:t></w:r><w:r><w:t xml:space="preserve"> </w:t></w:r><m:oMath><m:r><m:t>k</m:t></m:r></m:oMath><w:r><w:t xml:space="preserve">-observer region, and non-Gaussian sources, remain open);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3</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4</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55" />
    <w:bookmarkEnd w:id="56" />
    <w:bookmarkStart w:id="59" w:name="app:multiobs" />
    <w:p><w:pPr><w:pStyle w:val="Heading1" /></w:pPr><w:r><w:rPr><w:rStyle w:val="SectionNumber" /></w:rPr><w:t xml:space="preserve">14</w:t></w:r><w:r><w:tab /></w:r><w:r><w:t xml:space="preserve">The multi-observer rate penalty</w:t></w:r></w:p>
    <w:p><w:pPr><w:pStyle w:val="FirstParagraph" /></w:pPr><w:r><w:t xml:space="preserve">The single-observer theory serves one consumer at a time. When two consumers read the</w:t></w:r><w:r><w:t xml:space="preserve"> </w:t></w:r><w:r><w:t xml:space="preserve">same Gaussian source in two stages—a base layer judged by consumer 1’s read operator</w:t></w:r><w:r><w:t xml:space="preserve"> </w:t></w:r><m:oMath><m:sSub><m:e><m:r><m:t>P</m:t></m:r></m:e><m:sub><m:r><m:t>1</m:t></m:r></m:sub></m:sSub></m:oMath><w:r><w:t xml:space="preserve">, the full description by consumer 2’s</w:t></w:r><w:r><w:t xml:space="preserve"> </w:t></w:r><m:oMath><m:sSub><m:e><m:r><m:t>P</m:t></m:r></m:e><m:sub><m:r><m:t>2</m:t></m:r></m:sub></m:sSub></m:oMath><w:r><w:t xml:space="preserve">—the frontier flagged in</w:t></w:r><w:r><w:t xml:space="preserve"> </w:t></w:r><w:r><w:t xml:space="preserve">§</w:t></w:r><w:hyperlink w:anchor="sec:framework"><w:r><w:rPr><w:rStyle w:val="Hyperlink" /></w:rPr><w:t xml:space="preserve">2</w:t></w:r></w:hyperlink><w:r><w:t xml:space="preserve"> </w:t></w:r><w:r><w:t xml:space="preserve">becomes a coding question with an exact answer.</w:t></w:r></w:p>
    <w:p><w:pPr><w:pStyle w:val="BodyText" /></w:pPr><w:r><w:t xml:space="preserve">Let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w:t></w:r><w:r><w:t xml:space="preserve"> </w:t></w:r><m:oMath><m:sSub><m:e><m:r><m:rPr><m:sty m:val="p" /></m:rPr><m:t>Σ</m:t></m:r></m:e><m:sub><m:r><m:t>x</m:t></m:r></m:sub></m:sSub><m:r><m:rPr><m:sty m:val="p" /></m:rPr><m:t>≻</m:t></m:r><m:r><m:t>0</m:t></m:r></m:oMath><w:r><w:t xml:space="preserve">; consumer</w:t></w:r><w:r><w:t xml:space="preserve"> </w:t></w:r><m:oMath><m:r><m:t>i</m:t></m:r><m:r><m:rPr><m:sty m:val="p" /></m:rPr><m:t>∈</m:t></m:r><m:r><m:rPr><m:sty m:val="p" /></m:rPr><m:t>{</m:t></m:r><m:r><m:t>1</m:t></m:r><m:r><m:rPr><m:sty m:val="p" /></m:rPr><m:t>,</m:t></m:r><m:r><m:t>2</m:t></m:r><m:r><m:rPr><m:sty m:val="p" /></m:rPr><m:t>}</m:t></m:r></m:oMath><w:r><w:t xml:space="preserve"> </w:t></w:r><w:r><w:t xml:space="preserve">has</w:t></w:r><w:r><w:t xml:space="preserve"> </w:t></w:r><m:oMath><m:sSub><m:e><m:r><m:t>P</m:t></m:r></m:e><m:sub><m:r><m:t>i</m:t></m:r></m:sub></m:sSub><m:r><m:rPr><m:sty m:val="p" /></m:rPr><m:t>≽</m:t></m:r><m:r><m:t>0</m:t></m:r></m:oMath><w:r><w:t xml:space="preserve"> </w:t></w:r><w:r><w:t xml:space="preserve">and distortion</w:t></w:r><w:r><w:t xml:space="preserve"> </w:t></w:r><m:oMath><m:sSub><m:e><m:r><m:t>d</m:t></m:r></m:e><m:sub><m:r><m:t>i</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t>i</m:t></m:r></m:sub></m:sSub><m:r><m:rPr><m:sty m:val="p" /></m:rPr><m:t>(</m:t></m:r><m:r><m:t>x</m:t></m:r><m:r><m:rPr><m:sty m:val="p" /></m:rPr><m:t>−</m:t></m:r><m:acc><m:accPr><m:chr m:val="̂" /></m:accPr><m:e><m:r><m:t>x</m:t></m:r></m:e></m:acc><m:r><m:rPr><m:sty m:val="p" /></m:rPr><m:t>)</m:t></m:r></m:oMath><w:r><w:t xml:space="preserve">, with</w:t></w:r><w:r><w:t xml:space="preserve"> </w:t></w:r><w:r><w:t xml:space="preserve">consumer-relative rate–distortion function</w:t></w:r><w:r><w:t xml:space="preserve"> </w:t></w:r><m:oMath><m:sSub><m:e><m:r><m:t>R</m:t></m:r></m:e><m:sub><m:r><m:t>i</m:t></m:r></m:sub></m:sSub></m:oMath><w:r><w:t xml:space="preserve">. From the conditional-mean estimator</w:t></w:r><w:r><w:t xml:space="preserve"> </w:t></w:r><w:r><w:t xml:space="preserve">and Gaussian entropy-maximization converse (Prop. </w:t></w:r><w:hyperlink w:anchor="prop:rd"><w:r><w:rPr><w:rStyle w:val="Hyperlink" /></w:rPr><w:t xml:space="preserve">6</w:t></w:r></w:hyperlink><w:r><w:t xml:space="preserve">), each single-stage</w:t></w:r><w:r><w:t xml:space="preserve"> </w:t></w:r><w:r><w:t xml:space="preserve">optimum has a unique</w:t></w:r><w:r><w:t xml:space="preserve"> </w:t></w:r><w:r><w:rPr><w:i /><w:iCs /></w:rPr><w:t xml:space="preserve">max-det</w:t></w:r><w:r><w:t xml:space="preserve"> </w:t></w:r><w:r><w:t xml:space="preserve">form,</w:t></w:r></w:p>
    <w:p><w:pPr><w:pStyle w:val="BodyText" /></w:pPr><m:oMathPara><m:oMathParaPr><m:jc m:val="center" /></m:oMathParaPr><m:oMath><m:sSub><m:e><m:r><m:t>R</m:t></m:r></m:e><m:sub><m:r><m:t>i</m:t></m:r></m:sub></m:sSub><m:r><m:rPr><m:sty m:val="p" /></m:rPr><m:t>(</m:t></m:r><m:sSub><m:e><m:r><m:t>D</m:t></m:r></m:e><m:sub><m:r><m:t>i</m:t></m:r></m:sub></m:sSub><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bSup><m:e><m:r><m:rPr><m:sty m:val="p" /></m:rPr><m:t>Σ</m:t></m:r></m:e><m:sub><m:r><m:t>i</m:t></m:r></m:sub><m:sup><m:r><m:rPr><m:sty m:val="p" /></m:rPr><m:t>⋆</m:t></m:r></m:sup></m:sSubSup><m:r><m:rPr><m:sty m:val="p" /></m:rPr><m:t>,</m:t></m:r><m:r><m:t> </m:t></m:r><m:sSubSup><m:e><m:r><m:rPr><m:sty m:val="p" /></m:rPr><m:t>Σ</m:t></m:r></m:e><m:sub><m:r><m:t>i</m:t></m:r></m:sub><m:sup><m:r><m:rPr><m:sty m:val="p" /></m:rPr><m:t>⋆</m:t></m:r></m:sup></m:sSubSup><m:r><m:rPr><m:sty m:val="p" /></m:rPr><m:t>=</m:t></m:r><m:r><m:rPr><m:sty m:val="p" /></m:rPr><m:t>arg</m:t></m:r><m:r><m:rPr><m:sty m:val="p" /></m:rPr><m:t>max</m:t></m:r><m:r><m:rPr><m:sty m:val="p" /></m:rPr><m:t>{</m:t></m:r><m:r><m:rPr><m:sty m:val="p" /></m:rPr><m:t>log</m:t></m:r><m:r><m:rPr><m:sty m:val="p" /></m:rPr><m:t>det</m:t></m:r><m:r><m:rPr><m:sty m:val="p" /></m:rPr><m:t>Σ</m:t></m:r><m:r><m:rPr><m:sty m:val="p" /></m:rPr><m:t>:</m:t></m:r><m:r><m:t> </m:t></m:r><m:r><m:rPr><m:sty m:val="p" /></m:rPr><m:t>Σ</m:t></m:r><m:r><m:rPr><m:sty m:val="p" /></m:rPr><m:t>≼</m:t></m:r><m:sSub><m:e><m:r><m:rPr><m:sty m:val="p" /></m:rPr><m:t>Σ</m:t></m:r></m:e><m:sub><m:r><m:t>x</m:t></m:r></m:sub></m:sSub><m:r><m:rPr><m:sty m:val="p" /></m:rPr><m:t>,</m:t></m:r><m:r><m:t> </m:t></m:r><m:r><m:rPr><m:sty m:val="p" /></m:rPr><m:t>tr</m:t></m:r><m:r><m:rPr><m:sty m:val="p" /></m:rPr><m:t>(</m:t></m:r><m:sSub><m:e><m:r><m:t>P</m:t></m:r></m:e><m:sub><m:r><m:t>i</m:t></m:r></m:sub></m:sSub><m:r><m:rPr><m:sty m:val="p" /></m:rPr><m:t>Σ</m:t></m:r><m:r><m:rPr><m:sty m:val="p" /></m:rPr><m:t>)</m:t></m:r><m:r><m:rPr><m:sty m:val="p" /></m:rPr><m:t>≤</m:t></m:r><m:sSub><m:e><m:r><m:t>D</m:t></m:r></m:e><m:sub><m:r><m:t>i</m:t></m:r></m:sub></m:sSub><m:r><m:rPr><m:sty m:val="p" /></m:rPr><m:t>}</m:t></m:r><m:r><m:rPr><m:sty m:val="p" /></m:rPr><m:t>,</m:t></m:r></m:oMath></m:oMathPara></w:p>
    <w:p><w:pPr><w:pStyle w:val="FirstParagraph" /></w:pPr><w:r><w:t xml:space="preserve">the maximizer unique by strict concavity of</w:t></w:r><w:r><w:t xml:space="preserve"> </w:t></w:r><m:oMath><m:r><m:rPr><m:sty m:val="p" /></m:rPr><m:t>log</m:t></m:r><m:r><m:rPr><m:sty m:val="p" /></m:rPr><m:t>det</m:t></m:r></m:oMath><w:r><w:t xml:space="preserve"> </w:t></w:r><w:r><w:t xml:space="preserve">on the positive-definite cone.</w:t></w:r></w:p>
    <w:bookmarkStart w:id="57" w:name="thm:multiobs" />
    <w:p><w:pPr><w:pStyle w:val="BodyText" /></w:pPr><w:r><w:rPr><w:b /><w:bCs /></w:rPr><w:t xml:space="preserve">Theorem 5</w:t></w:r><w:r><w:t xml:space="preserve"> </w:t></w:r><w:r><w:t xml:space="preserve">(Two-observer refinability).</w:t></w:r><w:r><w:t xml:space="preserve"> </w:t></w:r><w:r><w:t xml:space="preserve"> </w:t></w:r><w:r><w:rPr><w:i /><w:iCs /></w:rPr><w:t xml:space="preserve">The pair</w:t></w:r><w:r><w:rPr><w:i /><w:iCs /></w:rPr><w:t xml:space="preserve"> </w:t></w:r><m:oMath><m:r><m:rPr><m:sty m:val="p" /></m:rPr><m:t>(</m:t></m:r><m:sSub><m:e><m:r><m:t>D</m:t></m:r></m:e><m:sub><m:r><m:t>1</m:t></m:r></m:sub></m:sSub><m:r><m:rPr><m:sty m:val="p" /></m:rPr><m:t>,</m:t></m:r><m:sSub><m:e><m:r><m:t>D</m:t></m:r></m:e><m:sub><m:r><m:t>2</m:t></m:r></m:sub></m:sSub><m:r><m:rPr><m:sty m:val="p" /></m:rPr><m:t>)</m:t></m:r></m:oMath><w:r><w:rPr><w:i /><w:iCs /></w:rPr><w:t xml:space="preserve"> </w:t></w:r><w:r><w:rPr><w:i /><w:iCs /></w:rPr><w:t xml:space="preserve">is successively refinable—the corner</w:t></w:r><w:r><w:rPr><w:i /><w:iCs /></w:rP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rPr><w:i /><w:iCs /></w:rPr><w:t xml:space="preserve"> </w:t></w:r><w:r><w:rPr><w:i /><w:iCs /></w:rPr><w:t xml:space="preserve">is</w:t></w:r><w:r><w:rPr><w:i /><w:iCs /></w:rPr><w:t xml:space="preserve"> </w:t></w:r><w:r><w:rPr><w:i /><w:iCs /></w:rPr><w:t xml:space="preserve">achievable by a two-stage code—if and only if the observers’ optimal uncertainty</w:t></w:r><w:r><w:rPr><w:i /><w:iCs /></w:rPr><w:t xml:space="preserve"> </w:t></w:r><w:r><w:rPr><w:i /><w:iCs /></w:rPr><w:t xml:space="preserve">ellipsoids nest:</w:t></w:r><w:r><w:rPr><w:i /><w:iCs /></w:rPr><w:t xml:space="preserve"> </w:t></w:r><m:oMathPara><m:oMathParaPr><m:jc m:val="center" /></m:oMathParaPr><m:oMath><m:sSubSup><m:e><m:r><m:rPr><m:sty m:val="p" /></m:rPr><m:t>Σ</m:t></m:r></m:e><m:sub><m:r><m:t>2</m:t></m:r></m:sub><m:sup><m:r><m:rPr><m:sty m:val="p" /></m:rPr><m:t>⋆</m:t></m:r></m:sup></m:sSubSup><m:r><m:t> </m:t></m:r><m:r><m:rPr><m:sty m:val="p" /></m:rPr><m:t>≼</m:t></m:r><m:r><m:t> </m:t></m:r><m:sSubSup><m:e><m:r><m:rPr><m:sty m:val="p" /></m:rPr><m:t>Σ</m:t></m:r></m:e><m:sub><m:r><m:t>1</m:t></m:r></m:sub><m:sup><m:r><m:rPr><m:sty m:val="p" /></m:rPr><m:t>⋆</m:t></m:r></m:sup></m:sSubSup><m:r><m:rPr><m:sty m:val="p" /></m:rPr><m:t>.</m:t></m:r></m:oMath></m:oMathPara></w:p>
    <w:bookmarkEnd w:id="57" />
    <w:p><w:pPr><w:pStyle w:val="FirstParagraph" /></w:pPr><w:r><w:rPr><w:i /><w:iCs /></w:rPr><w:t xml:space="preserve">Proof sketch.</w:t></w:r><w:r><w:t xml:space="preserve"> </w:t></w:r><w:r><w:rPr><w:i /><w:iCs /></w:rPr><w:t xml:space="preserve">Necessity.</w:t></w:r><w:r><w:t xml:space="preserve"> </w:t></w:r><w:r><w:t xml:space="preserve">Refinability forces</w:t></w:r><w:r><w:t xml:space="preserve"> </w:t></w:r><m:oMath><m:r><m:t>I</m:t></m:r><m:r><m:rPr><m:sty m:val="p" /></m:rPr><m:t>(</m:t></m:r><m:r><m:t>X</m:t></m:r><m:r><m:rPr><m:sty m:val="p" /></m:rPr><m:t>;</m:t></m:r><m:sSub><m:e><m:acc><m:accPr><m:chr m:val="̂" /></m:accPr><m:e><m:r><m:t>X</m:t></m:r></m:e></m:acc></m:e><m:sub><m:r><m:t>2</m:t></m:r></m:sub></m:sSub><m:r><m:rPr><m:sty m:val="p" /></m:rPr><m:t>)</m:t></m:r><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r><m:t>R</m:t></m:r></m:e><m:sub><m:r><m:t>2</m:t></m:r></m:sub></m:sSub><m:r><m:rPr><m:sty m:val="p" /></m:rPr><m:t>(</m:t></m:r><m:sSub><m:e><m:r><m:t>D</m:t></m:r></m:e><m:sub><m:r><m:t>2</m:t></m:r></m:sub></m:sSub><m:r><m:rPr><m:sty m:val="p" /></m:rPr><m:t>)</m:t></m:r></m:oMath><w:r><w:t xml:space="preserve">,</w:t></w:r><w:r><w:t xml:space="preserve"> </w:t></w:r><w:r><w:t xml:space="preserve">hence</w:t></w:r><w:r><w:t xml:space="preserve"> </w:t></w:r><m:oMath><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t>0</m:t></m:r></m:oMath><w:r><w:t xml:space="preserve">: the Markov chain</w:t></w:r><w:r><w:t xml:space="preserve"> </w:t></w:r><m:oMath><m:r><m:t>X</m:t></m:r><m:r><m:rPr><m:sty m:val="p" /></m:rPr><m:t>→</m:t></m:r><m:sSub><m:e><m:acc><m:accPr><m:chr m:val="̂" /></m:accPr><m:e><m:r><m:t>X</m:t></m:r></m:e></m:acc></m:e><m:sub><m:r><m:t>2</m:t></m:r></m:sub></m:sSub><m:r><m:rPr><m:sty m:val="p" /></m:rPr><m:t>→</m:t></m:r><m:sSub><m:e><m:acc><m:accPr><m:chr m:val="̂" /></m:accPr><m:e><m:r><m:t>X</m:t></m:r></m:e></m:acc></m:e><m:sub><m:r><m:t>1</m:t></m:r></m:sub></m:sSub></m:oMath><w:r><w:t xml:space="preserve">.</w:t></w:r><w:r><w:t xml:space="preserve"> </w:t></w:r><w:r><w:t xml:space="preserve">Uniqueness of the max-det optimum gives</w:t></w:r><w:r><w:t xml:space="preserve"> </w:t></w:r><m:oMath><m:r><m:rPr><m:sty m:val="p" /></m:rPr><m:t>Σ</m:t></m:r><m:r><m:rPr><m:sty m:val="p" /></m:rPr><m:t>(</m:t></m:r><m:sSub><m:e><m:acc><m:accPr><m:chr m:val="̂" /></m:accPr><m:e><m:r><m:t>X</m:t></m:r></m:e></m:acc></m:e><m:sub><m:r><m:t>i</m:t></m:r></m:sub></m:sSub><m:r><m:rPr><m:sty m:val="p" /></m:rPr><m:t>)</m:t></m:r><m:r><m:rPr><m:sty m:val="p" /></m:rPr><m:t>=</m:t></m:r><m:sSubSup><m:e><m:r><m:rPr><m:sty m:val="p" /></m:rPr><m:t>Σ</m:t></m:r></m:e><m:sub><m:r><m:t>i</m:t></m:r></m:sub><m:sup><m:r><m:rPr><m:sty m:val="p" /></m:rPr><m:t>⋆</m:t></m:r></m:sup></m:sSubSup></m:oMath><w:r><w:t xml:space="preserve">, and Markov</w:t></w:r><w:r><w:t xml:space="preserve"> </w:t></w:r><w:r><w:t xml:space="preserve">monotonicity of the error covariance 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w:t></w:r><w:r><w:t xml:space="preserve"> </w:t></w:r><w:r><w:rPr><w:i /><w:iCs /></w:rPr><w:t xml:space="preserve">Sufficiency.</w:t></w:r><w:r><w:t xml:space="preserve"> </w:t></w:r><w:r><w:t xml:space="preserve">With</w:t></w:r><w:r><w:t xml:space="preserve"> </w:t></w:r><m:oMath><m:sSub><m:e><m:r><m:rPr><m:sty m:val="p" /></m:rPr><m:t>Λ</m:t></m:r></m:e><m:sub><m:r><m:t>i</m:t></m:r></m:sub></m:sSub><m:box><m:boxPr><m:opEmu m:val="on" /></m:boxPr><m:e><m:r><m:rPr><m:sty m:val="p" /></m:rPr><m:t>:=</m:t></m:r></m:e></m:box><m:r><m:rPr><m:sty m:val="p" /></m:rPr><m:t>(</m:t></m:r><m:sSubSup><m:e><m:r><m:rPr><m:sty m:val="p" /></m:rPr><m:t>Σ</m:t></m:r></m:e><m:sub><m:r><m:t>i</m:t></m:r></m:sub><m:sup><m:r><m:rPr><m:sty m:val="p" /></m:rPr><m:t>⋆</m:t></m:r></m:sup></m:sSubSup><m:sSup><m:e><m:r><m:rPr><m:sty m:val="p" /></m:rPr><m:t>)</m:t></m:r></m:e><m:sup><m:r><m:rPr><m:sty m:val="p" /></m:rPr><m:t>−</m:t></m:r><m:r><m:t>1</m:t></m:r></m:sup></m:sSup><m:r><m:rPr><m:sty m:val="p" /></m:rPr><m:t>−</m:t></m:r><m:sSubSup><m:e><m:r><m:rPr><m:sty m:val="p" /></m:rPr><m:t>Σ</m:t></m:r></m:e><m:sub><m:r><m:t>x</m:t></m:r></m:sub><m:sup><m:r><m:rPr><m:sty m:val="p" /></m:rPr><m:t>−</m:t></m:r><m:r><m:t>1</m:t></m:r></m:sup></m:sSubSup><m:r><m:rPr><m:sty m:val="p" /></m:rPr><m:t>≽</m:t></m:r><m:r><m:t>0</m:t></m:r></m:oMath><w:r><w:t xml:space="preserve">, nesting</w:t></w:r><w:r><w:t xml:space="preserve"> </w:t></w:r><w:r><w:t xml:space="preserve">is exactly</w:t></w:r><w:r><w:t xml:space="preserve"> </w:t></w:r><m:oMath><m:sSub><m:e><m:r><m:rPr><m:sty m:val="p" /></m:rPr><m:t>Λ</m:t></m:r></m:e><m:sub><m:r><m:t>1</m:t></m:r></m:sub></m:sSub><m:r><m:rPr><m:sty m:val="p" /></m:rPr><m:t>≼</m:t></m:r><m:sSub><m:e><m:r><m:rPr><m:sty m:val="p" /></m:rPr><m:t>Λ</m:t></m:r></m:e><m:sub><m:r><m:t>2</m:t></m:r></m:sub></m:sSub></m:oMath><w:r><w:t xml:space="preserve">; the jointly Gaussian chain</w:t></w:r><w:r><w:t xml:space="preserve"> </w:t></w:r><m:oMath><m:sSub><m:e><m:r><m:t>Y</m:t></m:r></m:e><m:sub><m:r><m:t>2</m:t></m:r></m:sub></m:sSub><m:r><m:rPr><m:sty m:val="p" /></m:rPr><m:t>=</m:t></m:r><m:sSubSup><m:e><m:r><m:rPr><m:sty m:val="p" /></m:rPr><m:t>Λ</m:t></m:r></m:e><m:sub><m:r><m:t>2</m:t></m:r></m:sub><m:sup><m:r><m:t>1</m:t></m:r><m:r><m:rPr><m:sty m:val="p" /></m:rPr><m:t>/</m:t></m:r><m:r><m:t>2</m:t></m:r></m:sup></m:sSubSup><m:r><m:t>X</m:t></m:r><m:r><m:rPr><m:sty m:val="p" /></m:rPr><m:t>+</m:t></m:r><m:r><m:t>N</m:t></m:r></m:oMath><w:r><w:t xml:space="preserve">,</w:t></w:r><w:r><w:t xml:space="preserve"> </w:t></w:r><m:oMath><m:sSub><m:e><m:r><m:t>Y</m:t></m:r></m:e><m:sub><m:r><m:t>1</m:t></m:r></m:sub></m:sSub><m:r><m:rPr><m:sty m:val="p" /></m:rPr><m:t>=</m:t></m:r><m:sSup><m:e><m:r><m:t>K</m:t></m:r></m:e><m:sup><m:r><m:t>1</m:t></m:r><m:r><m:rPr><m:sty m:val="p" /></m:rPr><m:t>/</m:t></m:r><m:r><m:t>2</m:t></m:r></m:sup></m:sSup><m:sSub><m:e><m:r><m:t>Y</m:t></m:r></m:e><m:sub><m:r><m:t>2</m:t></m:r></m:sub></m:sSub><m:r><m:rPr><m:sty m:val="p" /></m:rPr><m:t>+</m:t></m:r><m:r><m:rPr><m:sty m:val="p" /></m:rPr><m:t>(</m:t></m:r><m:r><m:t>I</m:t></m:r><m:r><m:rPr><m:sty m:val="p" /></m:rPr><m:t>−</m:t></m:r><m:r><m:t>K</m:t></m:r><m:sSup><m:e><m:r><m:rPr><m:sty m:val="p" /></m:rPr><m:t>)</m:t></m:r></m:e><m:sup><m:r><m:t>1</m:t></m:r><m:r><m:rPr><m:sty m:val="p" /></m:rPr><m:t>/</m:t></m:r><m:r><m:t>2</m:t></m:r></m:sup></m:sSup><m:sSup><m:e><m:r><m:t>N</m:t></m:r></m:e><m:sup><m:r><m:rPr><m:sty m:val="p" /></m:rPr><m:t>′</m:t></m:r></m:sup></m:sSup></m:oMath><w:r><w:t xml:space="preserve"> </w:t></w:r><w:r><w:t xml:space="preserve">with</w:t></w:r><w:r><w:t xml:space="preserve"> </w:t></w:r><m:oMath><m:r><m:t>K</m:t></m:r><m:r><m:rPr><m:sty m:val="p" /></m:rPr><m:t>=</m:t></m:r><m:sSubSup><m:e><m:r><m:rPr><m:sty m:val="p" /></m:rPr><m:t>Λ</m:t></m:r></m:e><m:sub><m:r><m:t>2</m:t></m:r></m:sub><m:sup><m:r><m:rPr><m:sty m:val="p" /></m:rPr><m:t>+</m:t></m:r><m:r><m:t>1</m:t></m:r><m:r><m:rPr><m:sty m:val="p" /></m:rPr><m:t>/</m:t></m:r><m:r><m:t>2</m:t></m:r></m:sup></m:sSubSup><m:sSub><m:e><m:r><m:rPr><m:sty m:val="p" /></m:rPr><m:t>Λ</m:t></m:r></m:e><m:sub><m:r><m:t>1</m:t></m:r></m:sub></m:sSub><m:sSubSup><m:e><m:r><m:rPr><m:sty m:val="p" /></m:rPr><m:t>Λ</m:t></m:r></m:e><m:sub><m:r><m:t>2</m:t></m:r></m:sub><m:sup><m:r><m:rPr><m:sty m:val="p" /></m:rPr><m:t>+</m:t></m:r><m:r><m:t>1</m:t></m:r><m:r><m:rPr><m:sty m:val="p" /></m:rPr><m:t>/</m:t></m:r><m:r><m:t>2</m:t></m:r></m:sup></m:sSubSup></m:oMath><w:r><w:t xml:space="preserve"> </w:t></w:r><w:r><w:t xml:space="preserve">realizes</w:t></w:r><w:r><w:t xml:space="preserve"> </w:t></w:r><m:oMath><m:r><m:rPr><m:sty m:val="p" /></m:rPr><m:t>C</m:t></m:r><m:r><m:rPr><m:sty m:val="p" /></m:rPr><m:t>o</m:t></m:r><m:r><m:rPr><m:sty m:val="p" /></m:rPr><m:t>v</m:t></m:r><m:r><m:rPr><m:sty m:val="p" /></m:rPr><m:t>(</m:t></m:r><m:r><m:t>X</m:t></m:r><m:r><m:rPr><m:sty m:val="p" /></m:rPr><m:t>∣</m:t></m:r><m:sSub><m:e><m:r><m:t>Y</m:t></m:r></m:e><m:sub><m:r><m:t>i</m:t></m:r></m:sub></m:sSub><m:r><m:rPr><m:sty m:val="p" /></m:rPr><m:t>)</m:t></m:r><m:r><m:rPr><m:sty m:val="p" /></m:rPr><m:t>=</m:t></m:r><m:sSubSup><m:e><m:r><m:rPr><m:sty m:val="p" /></m:rPr><m:t>Σ</m:t></m:r></m:e><m:sub><m:r><m:t>i</m:t></m:r></m:sub><m:sup><m:r><m:rPr><m:sty m:val="p" /></m:rPr><m:t>⋆</m:t></m:r></m:sup></m:sSubSup></m:oMath><w:r><w:t xml:space="preserve">, so the general-source successive-refinement region</w:t></w:r><w:r><w:t xml:space="preserve"> </w:t></w:r><w:r><w:t xml:space="preserve">[28], [29] makes the corner achievable (reference letter</w:t></w:r><w:r><w:t xml:space="preserve"> </w:t></w:r><m:oMath><m:sSub><m:e><m:acc><m:accPr><m:chr m:val="̂" /></m:accPr><m:e><m:r><m:t>x</m:t></m:r></m:e></m:acc></m:e><m:sub><m:r><m:t>0</m:t></m:r></m:sub></m:sSub><m:r><m:rPr><m:sty m:val="p" /></m:rPr><m:t>=</m:t></m:r><m:r><m:t>0</m:t></m:r></m:oMath><w:r><w:t xml:space="preserve">). ◻</w:t></w:r></w:p>
    <w:p><w:pPr><w:pStyle w:val="BodyText" /></w:pPr><w:r><w:t xml:space="preserve">When nesting fails the exact price is a second max-det program:</w:t></w:r></w:p>
    <w:bookmarkStart w:id="58" w:name="thm:multiobs-loss" />
    <w:p><w:pPr><w:pStyle w:val="BodyText" /></w:pPr><w:r><w:rPr><w:b /><w:bCs /></w:rPr><w:t xml:space="preserve">Theorem 6</w:t></w:r><w:r><w:t xml:space="preserve"> </w:t></w:r><w:r><w:t xml:space="preserve">(Exact rate loss).</w:t></w:r><w:r><w:t xml:space="preserve"> </w:t></w:r><w:r><w:t xml:space="preserve"> </w:t></w:r><w:r><w:rPr><w:i /><w:iCs /></w:rPr><w:t xml:space="preserve">Among two-stage codes whose base layer is stage-1-optimal, the minimal excess total</w:t></w:r><w:r><w:rPr><w:i /><w:iCs /></w:rPr><w:t xml:space="preserve"> </w:t></w:r><w:r><w:rPr><w:i /><w:iCs /></w:rPr><w:t xml:space="preserve">rate is</w:t></w:r><w:r><w:rPr><w:i /><w:iCs /></w:rPr><w:t xml:space="preserve"> </w:t></w:r><m:oMath><m:r><m:t>L</m:t></m:r><m:r><m:rPr><m:sty m:val="p" /></m:rPr><m:t>(</m:t></m:r><m:sSub><m:e><m:r><m:t>D</m:t></m:r></m:e><m:sub><m:r><m:t>1</m:t></m:r></m:sub></m:sSub><m:r><m:rPr><m:sty m:val="p" /></m:rPr><m:t>,</m:t></m:r><m:sSub><m:e><m:r><m:t>D</m:t></m:r></m:e><m:sub><m:r><m:t>2</m:t></m:r></m:sub></m:sSub><m:r><m:rPr><m:sty m:val="p" /></m:rPr><m:t>)</m:t></m:r><m:r><m:rPr><m:sty m:val="p" /></m:rPr><m:t>=</m:t></m:r><m:f><m:fPr><m:type m:val="lin" /></m:fPr><m:num><m:r><m:t>1</m:t></m:r></m:num><m:den><m:r><m:t>2</m:t></m:r></m:den></m:f><m:r><m:rPr><m:sty m:val="p" /></m:rPr><m:t>log</m:t></m:r><m:r><m:t>​</m:t></m:r><m:d><m:dPr><m:begChr m:val="(" /><m:sepChr m:val="" /><m:endChr m:val=")" /><m:grow /></m:dPr><m:e><m:r><m:rPr><m:sty m:val="p" /></m:rPr><m:t>det</m:t></m:r><m:sSubSup><m:e><m:r><m:rPr><m:sty m:val="p" /></m:rPr><m:t>Σ</m:t></m:r></m:e><m:sub><m:r><m:t>2</m:t></m:r></m:sub><m:sup><m:r><m:rPr><m:sty m:val="p" /></m:rPr><m:t>⋆</m:t></m:r></m:sup></m:sSubSup><m:r><m:rPr><m:sty m:val="p" /></m:rPr><m:t>/</m:t></m:r><m:r><m:rPr><m:sty m:val="p" /></m:rPr><m:t>det</m:t></m:r><m:sSup><m:e><m:r><m:rPr><m:sty m:val="p" /></m:rPr><m:t>Σ</m:t></m:r></m:e><m:sup><m:r><m:rPr><m:sty m:val="p" /></m:rPr><m:t>∘</m:t></m:r></m:sup></m:sSup></m:e></m:d><m:r><m:rPr><m:sty m:val="p" /></m:rPr><m:t>≥</m:t></m:r><m:r><m:t>0</m:t></m:r></m:oMath><w:r><w:rPr><w:i /><w:iCs /></w:rPr><w:t xml:space="preserve">,</w:t></w:r><w:r><w:rPr><w:i /><w:iCs /></w:rPr><w:t xml:space="preserve"> </w:t></w:r><w:r><w:rPr><w:i /><w:iCs /></w:rPr><w:t xml:space="preserve">where</w:t></w:r><w:r><w:rPr><w:i /><w:iCs /></w:rPr><w:t xml:space="preserve"> </w:t></w:r><m:oMath><m:sSup><m:e><m:r><m:rPr><m:sty m:val="p" /></m:rPr><m:t>Σ</m:t></m:r></m:e><m:sup><m:r><m:rPr><m:sty m:val="p" /></m:rPr><m:t>∘</m:t></m:r></m:sup></m:sSup><m:r><m:rPr><m:sty m:val="p" /></m:rPr><m:t>=</m:t></m:r><m:r><m:rPr><m:sty m:val="p" /></m:rPr><m:t>arg</m:t></m:r><m:r><m:rPr><m:sty m:val="p" /></m:rPr><m:t>max</m:t></m:r><m:r><m:rPr><m:sty m:val="p" /></m:rPr><m:t>{</m:t></m:r><m:r><m:rPr><m:sty m:val="p" /></m:rPr><m:t>log</m:t></m:r><m:r><m:rPr><m:sty m:val="p" /></m:rPr><m:t>det</m:t></m:r><m:r><m:rPr><m:sty m:val="p" /></m:rPr><m:t>Σ</m:t></m:r><m:r><m:rPr><m:sty m:val="p" /></m:rPr><m:t>:</m:t></m:r><m:r><m:t> </m:t></m:r><m:r><m:rPr><m:sty m:val="p" /></m:rPr><m:t>Σ</m:t></m:r><m:r><m:rPr><m:sty m:val="p" /></m:rPr><m:t>≼</m:t></m:r><m:sSubSup><m:e><m:r><m:rPr><m:sty m:val="p" /></m:rPr><m:t>Σ</m:t></m:r></m:e><m:sub><m:r><m:t>1</m:t></m:r></m:sub><m:sup><m:r><m:rPr><m:sty m:val="p" /></m:rPr><m:t>⋆</m:t></m:r></m:sup></m:sSubSup><m:r><m:rPr><m:sty m:val="p" /></m:rPr><m:t>,</m:t></m:r><m:r><m:t> </m:t></m:r><m:r><m:rPr><m:sty m:val="p" /></m:rPr><m:t>tr</m:t></m:r><m:r><m:rPr><m:sty m:val="p" /></m:rPr><m:t>(</m:t></m:r><m:sSub><m:e><m:r><m:t>P</m:t></m:r></m:e><m:sub><m:r><m:t>2</m:t></m:r></m:sub></m:sSub><m:r><m:rPr><m:sty m:val="p" /></m:rPr><m:t>Σ</m:t></m:r><m:r><m:rPr><m:sty m:val="p" /></m:rPr><m:t>)</m:t></m:r><m:r><m:rPr><m:sty m:val="p" /></m:rPr><m:t>≤</m:t></m:r><m:sSub><m:e><m:r><m:t>D</m:t></m:r></m:e><m:sub><m:r><m:t>2</m:t></m:r></m:sub></m:sSub><m:r><m:rPr><m:sty m:val="p" /></m:rPr><m:t>}</m:t></m:r></m:oMath><w:r><w:rPr><w:i /><w:iCs /></w:rPr><w:t xml:space="preserve">; and</w:t></w:r><w:r><w:rPr><w:i /><w:iCs /></w:rPr><w:t xml:space="preserve"> </w:t></w:r><m:oMath><m:r><m:t>L</m:t></m:r><m:r><m:rPr><m:sty m:val="p" /></m:rPr><m:t>=</m:t></m:r><m:r><m:t>0</m:t></m:r></m:oMath><w:r><w:rPr><w:i /><w:iCs /></w:rPr><w:t xml:space="preserve"> </w:t></w:r><w:r><w:rPr><w:i /><w:iCs /></w:rPr><w:t xml:space="preserve">iff</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58" />
    <w:p><w:pPr><w:pStyle w:val="BodyText" /></w:pPr><w:r><w:t xml:space="preserve">Three consequences make the theorem legible.</w:t></w:r><w:r><w:t xml:space="preserve"> </w:t></w:r><w:r><w:rPr><w:i /><w:iCs /></w:rPr><w:t xml:space="preserve">(i) Commuting observers:</w:t></w:r><w:r><w:t xml:space="preserve"> </w:t></w:r><w:r><w:t xml:space="preserve">when</w:t></w:r><w:r><w:t xml:space="preserve"> </w:t></w:r><m:oMath><m:sSub><m:e><m:r><m:rPr><m:sty m:val="p" /></m:rPr><m:t>Σ</m:t></m:r></m:e><m:sub><m:r><m:t>x</m:t></m:r></m:sub></m:sSub><m:r><m:rPr><m:sty m:val="p" /></m:rPr><m:t>,</m:t></m:r><m:sSub><m:e><m:r><m:t>P</m:t></m:r></m:e><m:sub><m:r><m:t>1</m:t></m:r></m:sub></m:sSub><m:r><m:rPr><m:sty m:val="p" /></m:rPr><m:t>,</m:t></m:r><m:sSub><m:e><m:r><m:t>P</m:t></m:r></m:e><m:sub><m:r><m:t>2</m:t></m:r></m:sub></m:sSub></m:oMath><w:r><w:t xml:space="preserve"> </w:t></w:r><w:r><w:t xml:space="preserve">are simultaneously diagonalizable, both conditions become per-mode</w:t></w:r><w:r><w:t xml:space="preserve"> </w:t></w:r><w:r><w:t xml:space="preserve">reverse water-filling, and refinability is</w:t></w:r><w:r><w:t xml:space="preserve"> </w:t></w:r><m:oMath><m:sSubSup><m:e><m:r><m:t>e</m:t></m:r></m:e><m:sub><m:r><m:t>k</m:t></m:r></m:sub><m:sup><m:r><m:rPr><m:sty m:val="p" /></m:rPr><m:t>(</m:t></m:r><m:r><m:t>2</m:t></m:r><m:r><m:rPr><m:sty m:val="p" /></m:rPr><m:t>)</m:t></m:r></m:sup></m:sSubSup><m:r><m:rPr><m:sty m:val="p" /></m:rPr><m:t>≤</m:t></m:r><m:sSubSup><m:e><m:r><m:t>e</m:t></m:r></m:e><m:sub><m:r><m:t>k</m:t></m:r></m:sub><m:sup><m:r><m:rPr><m:sty m:val="p" /></m:rPr><m:t>(</m:t></m:r><m:r><m:t>1</m:t></m:r><m:r><m:rPr><m:sty m:val="p" /></m:rPr><m:t>)</m:t></m:r></m:sup></m:sSubSup></m:oMath><w:r><w:t xml:space="preserve"> </w:t></w:r><w:r><w:t xml:space="preserve">for every mode.</w:t></w:r><w:r><w:t xml:space="preserve"> </w:t></w:r><w:r><w:rPr><w:i /><w:iCs /></w:rPr><w:t xml:space="preserve">(ii) Equitz–Cover, recovered:</w:t></w:r><w:r><w:t xml:space="preserve"> </w:t></w:r><w:r><w:t xml:space="preserve">taking</w:t></w:r><w:r><w:t xml:space="preserve"> </w:t></w:r><m:oMath><m:sSub><m:e><m:r><m:t>P</m:t></m:r></m:e><m:sub><m:r><m:t>1</m:t></m:r></m:sub></m:sSub><m:r><m:rPr><m:sty m:val="p" /></m:rPr><m:t>=</m:t></m:r><m:sSub><m:e><m:r><m:t>P</m:t></m:r></m:e><m:sub><m:r><m:t>2</m:t></m:r></m:sub></m:sSub></m:oMath><w:r><w:t xml:space="preserve"> </w:t></w:r><w:r><w:t xml:space="preserve">and</w:t></w:r><w:r><w:t xml:space="preserve"> </w:t></w:r><m:oMath><m:sSub><m:e><m:r><m:t>D</m:t></m:r></m:e><m:sub><m:r><m:t>2</m:t></m:r></m:sub></m:sSub><m:r><m:rPr><m:sty m:val="p" /></m:rPr><m:t>≤</m:t></m:r><m:sSub><m:e><m:r><m:t>D</m:t></m:r></m:e><m:sub><m:r><m:t>1</m:t></m:r></m:sub></m:sSub></m:oMath><w:r><w:t xml:space="preserve"> </w:t></w:r><w:r><w:t xml:space="preserve">nests the</w:t></w:r><w:r><w:t xml:space="preserve"> </w:t></w:r><w:r><w:t xml:space="preserve">per-mode errors automatically, so any single weighted-quadratic Gaussian source is</w:t></w:r><w:r><w:t xml:space="preserve"> </w:t></w:r><w:r><w:t xml:space="preserve">successively refinable—the</w:t></w:r><w:r><w:t xml:space="preserve"> </w:t></w:r><m:oMath><m:r><m:t>P</m:t></m:r><m:r><m:rPr><m:sty m:val="p" /></m:rPr><m:t>=</m:t></m:r><m:r><m:t>I</m:t></m:r></m:oMath><w:r><w:t xml:space="preserve"> </w:t></w:r><w:r><w:t xml:space="preserve">case is Equitz–Cover [27]; conflict</w:t></w:r><w:r><w:t xml:space="preserve"> </w:t></w:r><w:r><w:t xml:space="preserve">requires genuinely distinct observers.</w:t></w:r><w:r><w:t xml:space="preserve"> </w:t></w:r><w:r><w:rPr><w:i /><w:iCs /></w:rPr><w:t xml:space="preserve">(iii) Kernel overhead:</w:t></w:r><w:r><w:t xml:space="preserve"> </w:t></w:r><w:r><w:t xml:space="preserve">if the base layer</w:t></w:r><w:r><w:t xml:space="preserve"> </w:t></w:r><w:r><w:t xml:space="preserve">codes a direction in</w:t></w:r><w:r><w:t xml:space="preserve"> </w:t></w:r><m:oMath><m:r><m:rPr><m:sty m:val="p" /></m:rPr><m:t>ker</m:t></m:r><m:sSub><m:e><m:r><m:t>P</m:t></m:r></m:e><m:sub><m:r><m:t>2</m:t></m:r></m:sub></m:sSub></m:oMath><w:r><w:t xml:space="preserve">—one consumer 2 cannot read—refinability fails</w:t></w:r><w:r><w:t xml:space="preserve"> </w:t></w:r><w:r><w:t xml:space="preserve">strictly, and rate spent there is unrecoverable. Concretely, for</w:t></w:r><w:r><w:t xml:space="preserve"> </w:t></w:r><m:oMath><m:sSub><m:e><m:r><m:rPr><m:sty m:val="p" /></m:rPr><m:t>Σ</m:t></m:r></m:e><m:sub><m:r><m:t>x</m:t></m:r></m:sub></m:sSub><m:r><m:rPr><m:sty m:val="p" /></m:rPr><m:t>=</m:t></m:r><m:sSub><m:e><m:r><m:t>I</m:t></m:r></m:e><m:sub><m:r><m:t>2</m:t></m:r></m:sub></m:sSub></m:oMath><w:r><w:t xml:space="preserve">,</w:t></w:r><w:r><w:t xml:space="preserve"> </w:t></w:r><m:oMath><m:sSub><m:e><m:r><m:t>P</m:t></m:r></m:e><m:sub><m:r><m:t>1</m:t></m:r></m:sub></m:sSub><m:r><m:rPr><m:sty m:val="p" /></m:rPr><m:t>=</m:t></m:r><m:r><m:rPr><m:sty m:val="p" /></m:rPr><m:t>d</m:t></m:r><m:r><m:rPr><m:sty m:val="p" /></m:rPr><m:t>i</m:t></m:r><m:r><m:rPr><m:sty m:val="p" /></m:rPr><m:t>a</m:t></m:r><m:r><m:rPr><m:sty m:val="p" /></m:rPr><m:t>g</m:t></m:r><m:r><m:rPr><m:sty m:val="p" /></m:rPr><m:t>(</m:t></m:r><m:r><m:t>1</m:t></m:r><m:r><m:rPr><m:sty m:val="p" /></m:rPr><m:t>,</m:t></m:r><m:r><m:t>0</m:t></m:r><m:r><m:rPr><m:sty m:val="p" /></m:rPr><m:t>)</m:t></m:r></m:oMath><w:r><w:t xml:space="preserve">,</w:t></w:r><w:r><w:t xml:space="preserve"> </w:t></w:r><m:oMath><m:sSub><m:e><m:r><m:t>P</m:t></m:r></m:e><m:sub><m:r><m:t>2</m:t></m:r></m:sub></m:sSub><m:r><m:rPr><m:sty m:val="p" /></m:rPr><m:t>=</m:t></m:r><m:r><m:rPr><m:sty m:val="p" /></m:rPr><m:t>d</m:t></m:r><m:r><m:rPr><m:sty m:val="p" /></m:rPr><m:t>i</m:t></m:r><m:r><m:rPr><m:sty m:val="p" /></m:rPr><m:t>a</m:t></m:r><m:r><m:rPr><m:sty m:val="p" /></m:rPr><m:t>g</m:t></m:r><m:r><m:rPr><m:sty m:val="p" /></m:rPr><m:t>(</m:t></m:r><m:r><m:t>0</m:t></m:r><m:r><m:rPr><m:sty m:val="p" /></m:rPr><m:t>,</m:t></m:r><m:r><m:t>1</m:t></m:r><m:r><m:rPr><m:sty m:val="p" /></m:rPr><m:t>)</m:t></m:r></m:oMath><w:r><w:t xml:space="preserve">, the optima</w:t></w:r><w:r><w:t xml:space="preserve"> </w:t></w:r><m:oMath><m:sSubSup><m:e><m:r><m:rPr><m:sty m:val="p" /></m:rPr><m:t>Σ</m:t></m:r></m:e><m:sub><m:r><m:t>1</m:t></m:r></m:sub><m:sup><m:r><m:rPr><m:sty m:val="p" /></m:rPr><m:t>⋆</m:t></m:r></m:sup></m:sSubSup><m:r><m:rPr><m:sty m:val="p" /></m:rPr><m:t>=</m:t></m:r><m:r><m:rPr><m:sty m:val="p" /></m:rPr><m:t>d</m:t></m:r><m:r><m:rPr><m:sty m:val="p" /></m:rPr><m:t>i</m:t></m:r><m:r><m:rPr><m:sty m:val="p" /></m:rPr><m:t>a</m:t></m:r><m:r><m:rPr><m:sty m:val="p" /></m:rPr><m:t>g</m:t></m:r><m:r><m:rPr><m:sty m:val="p" /></m:rPr><m:t>(</m:t></m:r><m:sSub><m:e><m:r><m:t>D</m:t></m:r></m:e><m:sub><m:r><m:t>1</m:t></m:r></m:sub></m:sSub><m:r><m:rPr><m:sty m:val="p" /></m:rPr><m:t>,</m:t></m:r><m:r><m:t>1</m:t></m:r><m:r><m:rPr><m:sty m:val="p" /></m:rPr><m:t>)</m:t></m:r></m:oMath><w:r><w:t xml:space="preserve"> </w:t></w:r><w:r><w:t xml:space="preserve">and</w:t></w:r><w:r><w:t xml:space="preserve"> </w:t></w:r><m:oMath><m:sSubSup><m:e><m:r><m:rPr><m:sty m:val="p" /></m:rPr><m:t>Σ</m:t></m:r></m:e><m:sub><m:r><m:t>2</m:t></m:r></m:sub><m:sup><m:r><m:rPr><m:sty m:val="p" /></m:rPr><m:t>⋆</m:t></m:r></m:sup></m:sSubSup><m:r><m:rPr><m:sty m:val="p" /></m:rPr><m:t>=</m:t></m:r><m:r><m:rPr><m:sty m:val="p" /></m:rPr><m:t>d</m:t></m:r><m:r><m:rPr><m:sty m:val="p" /></m:rPr><m:t>i</m:t></m:r><m:r><m:rPr><m:sty m:val="p" /></m:rPr><m:t>a</m:t></m:r><m:r><m:rPr><m:sty m:val="p" /></m:rPr><m:t>g</m:t></m:r><m:r><m:rPr><m:sty m:val="p" /></m:rPr><m:t>(</m:t></m:r><m:r><m:t>1</m:t></m:r><m:r><m:rPr><m:sty m:val="p" /></m:rPr><m:t>,</m:t></m:r><m:sSub><m:e><m:r><m:t>D</m:t></m:r></m:e><m:sub><m:r><m:t>2</m:t></m:r></m:sub></m:sSub><m:r><m:rPr><m:sty m:val="p" /></m:rPr><m:t>)</m:t></m:r></m:oMath><w:r><w:t xml:space="preserve"> </w:t></w:r><w:r><w:t xml:space="preserve">never</w:t></w:r><w:r><w:t xml:space="preserve"> </w:t></w:r><w:r><w:t xml:space="preserve">nest and</w:t></w:r><w:r><w:t xml:space="preserve"> </w:t></w:r><m:oMath><m:r><m:t>L</m:t></m:r><m:r><m:rPr><m:sty m:val="p" /></m:rPr><m:t>=</m:t></m:r><m:f><m:fPr><m:type m:val="lin" /></m:fPr><m:num><m:r><m:t>1</m:t></m:r></m:num><m:den><m:r><m:t>2</m:t></m:r></m:den></m:f><m:r><m:rPr><m:sty m:val="p" /></m:rPr><m:t>log</m:t></m:r><m:r><m:rPr><m:sty m:val="p" /></m:rPr><m:t>(</m:t></m:r><m:r><m:t>1</m:t></m:r><m:r><m:rPr><m:sty m:val="p" /></m:rPr><m:t>/</m:t></m:r><m:sSub><m:e><m:r><m:t>D</m:t></m:r></m:e><m:sub><m:r><m:t>1</m:t></m:r></m:sub></m:sSub><m:r><m:rPr><m:sty m:val="p" /></m:rPr><m:t>)</m:t></m:r><m:r><m:rPr><m:sty m:val="p" /></m:rPr><m:t>=</m:t></m:r><m:sSub><m:e><m:r><m:t>R</m:t></m:r></m:e><m:sub><m:r><m:t>1</m:t></m:r></m:sub></m:sSub><m:r><m:rPr><m:sty m:val="p" /></m:rPr><m:t>(</m:t></m:r><m:sSub><m:e><m:r><m:t>D</m:t></m:r></m:e><m:sub><m:r><m:t>1</m:t></m:r></m:sub></m:sSub><m:r><m:rPr><m:sty m:val="p" /></m:rPr><m:t>)</m:t></m:r></m:oMath><w:r><w:t xml:space="preserve">: zero reuse, the total rate is</w:t></w:r><w:r><w:t xml:space="preserve"> </w:t></w:r><m:oMath><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oMath><w:r><w:t xml:space="preserve">. This is</w:t></w:r><w:r><w:t xml:space="preserve"> </w:t></w:r><w:r><w:t xml:space="preserve">“one observer’s noise is another’s signal”</w:t></w:r><w:r><w:t xml:space="preserve"> </w:t></w:r><w:r><w:t xml:space="preserve">(§</w:t></w:r><w:hyperlink w:anchor="sec:framework"><w:r><w:rPr><w:rStyle w:val="Hyperlink" /></w:rPr><w:t xml:space="preserve">2</w:t></w:r></w:hyperlink><w:r><w:t xml:space="preserve">) as an exact coding theorem.</w:t></w:r></w:p>
    <w:p><w:pPr><w:pStyle w:val="BodyText" /></w:pPr><w:r><w:t xml:space="preserve">We confirmed Theorems </w:t></w:r><w:hyperlink w:anchor="thm:multiobs"><w:r><w:rPr><w:rStyle w:val="Hyperlink" /></w:rPr><w:t xml:space="preserve">5</w:t></w:r></w:hyperlink><w:r><w:t xml:space="preserve">–</w:t></w:r><w:hyperlink w:anchor="thm:multiobs-loss"><w:r><w:rPr><w:rStyle w:val="Hyperlink" /></w:rPr><w:t xml:space="preserve">6</w:t></w:r></w:hyperlink><w:r><w:t xml:space="preserve"> </w:t></w:r><w:r><w:t xml:space="preserve">numerically (committed</w:t></w:r><w:r><w:t xml:space="preserve"> </w:t></w:r><w:r><w:t xml:space="preserve">with the ledger [22]): the nesting characterization, the Equitz–Cover</w:t></w:r><w:r><w:t xml:space="preserve"> </w:t></w:r><w:r><w:t xml:space="preserve">recovery, and the orthogonal-observer loss</w:t></w:r><w:r><w:t xml:space="preserve"> </w:t></w:r><m:oMath><m:r><m:t>L</m:t></m:r><m:r><m:rPr><m:sty m:val="p" /></m:rPr><m:t>=</m:t></m:r><m:sSub><m:e><m:r><m:t>R</m:t></m:r></m:e><m:sub><m:r><m:t>1</m:t></m:r></m:sub></m:sSub><m:r><m:rPr><m:sty m:val="p" /></m:rPr><m:t>(</m:t></m:r><m:sSub><m:e><m:r><m:t>D</m:t></m:r></m:e><m:sub><m:r><m:t>1</m:t></m:r></m:sub></m:sSub><m:r><m:rPr><m:sty m:val="p" /></m:rPr><m:t>)</m:t></m:r></m:oMath><w:r><w:t xml:space="preserve"> </w:t></w:r><w:r><w:t xml:space="preserve">all reproduce. Registered as</w:t></w:r><w:r><w:t xml:space="preserve"> </w:t></w:r><w:r><w:t xml:space="preserve">GO-P-2026-022. Open beyond this: the general</w:t></w:r><w:r><w:t xml:space="preserve"> </w:t></w:r><m:oMath><m:r><m:t>k</m:t></m:r></m:oMath><w:r><w:t xml:space="preserve">-observer region and non-Gaussian</w:t></w:r><w:r><w:t xml:space="preserve"> </w:t></w:r><w:r><w:t xml:space="preserve">sources.</w:t></w:r></w:p>
    <w:bookmarkEnd w:id="59" />
    <w:bookmarkStart w:id="60"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(Zenodo/OSF) accompanies the paper.</w:t></w:r></w:p>
    <w:bookmarkEnd w:id="60" />
    <w:bookmarkStart w:id="61"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p><w:pPr><w:numPr><w:ilvl w:val="0" /><w:numId w:val="1001" /></w:numPr></w:pPr><w:r><w:t xml:space="preserve">W. H. R. Equitz and T. M. Cover. Successive refinement of</w:t></w:r><w:r><w:t xml:space="preserve"> </w:t></w:r><w:r><w:t xml:space="preserve">information.</w:t></w:r><w:r><w:t xml:space="preserve"> </w:t></w:r><w:r><w:rPr><w:i /><w:iCs /></w:rPr><w:t xml:space="preserve">IEEE Trans. Inf. Theory</w:t></w:r><w:r><w:t xml:space="preserve">, 37(2):269–275, 1991.</w:t></w:r></w:p>
    <w:p><w:pPr><w:numPr><w:ilvl w:val="0" /><w:numId w:val="1001" /></w:numPr></w:pPr><w:r><w:t xml:space="preserve">B. Rimoldi. Successive refinement of information: characterization of</w:t></w:r><w:r><w:t xml:space="preserve"> </w:t></w:r><w:r><w:t xml:space="preserve">the achievable rates.</w:t></w:r><w:r><w:t xml:space="preserve"> </w:t></w:r><w:r><w:rPr><w:i /><w:iCs /></w:rPr><w:t xml:space="preserve">IEEE Trans. Inf. Theory</w:t></w:r><w:r><w:t xml:space="preserve">, 40(1):253–259, 1994.</w:t></w:r></w:p>
    <w:p><w:pPr><w:numPr><w:ilvl w:val="0" /><w:numId w:val="1001" /></w:numPr></w:pPr><w:r><w:t xml:space="preserve">V. Kostina and E. Tuncel. Successive refinement of abstract</w:t></w:r><w:r><w:t xml:space="preserve"> </w:t></w:r><w:r><w:t xml:space="preserve">sources.</w:t></w:r><w:r><w:t xml:space="preserve"> </w:t></w:r><w:r><w:rPr><w:i /><w:iCs /></w:rPr><w:t xml:space="preserve">IEEE Trans. Inf. Theory</w:t></w:r><w:r><w:t xml:space="preserve">, 65(10):6385–6398, 2019.</w:t></w:r></w:p>
    <w:bookmarkEnd w:id="61"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2026-07-18T05:05:05Z</dcterms:created>
  <dcterms:modified xsi:type="dcterms:W3CDTF">2026-07-18T05:05:05Z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Every empirical claim is governed by a sealed prior registration with a preset bar; four of five core predictions are confirmed, one refuted; a further trained-model test missed, then passed after correction.</vt:lpwstr>
  </property>
</Properties>
</file>