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geometric-ethics-v1.24-revision-notes"/>
    <w:p>
      <w:pPr>
        <w:pStyle w:val="Heading1"/>
      </w:pPr>
      <w:r>
        <w:t xml:space="preserve">Geometric Ethics v1.24 — Revision Notes</w:t>
      </w:r>
    </w:p>
    <w:bookmarkStart w:id="9" w:name="instructions-for-integration"/>
    <w:p>
      <w:pPr>
        <w:pStyle w:val="Heading2"/>
      </w:pPr>
      <w:r>
        <w:t xml:space="preserve">Instructions for Integration</w:t>
      </w:r>
    </w:p>
    <w:p>
      <w:pPr>
        <w:pStyle w:val="FirstParagraph"/>
      </w:pPr>
      <w:r>
        <w:t xml:space="preserve">These are surgical additions for v1.24. No existing text is modified or removed. Each addition is keyed to a specific location in the v1.23 manuscript.</w:t>
      </w:r>
    </w:p>
    <w:p>
      <w:r>
        <w:pict>
          <v:rect style="width:0;height:1.5pt" o:hralign="center" o:hrstd="t" o:hr="t"/>
        </w:pict>
      </w:r>
    </w:p>
    <w:bookmarkEnd w:id="9"/>
    <w:bookmarkStart w:id="11" w:name="preface-addition"/>
    <w:p>
      <w:pPr>
        <w:pStyle w:val="Heading2"/>
      </w:pPr>
      <w:r>
        <w:t xml:space="preserve">1. Preface Addition</w:t>
      </w:r>
    </w:p>
    <w:p>
      <w:pPr>
        <w:pStyle w:val="FirstParagraph"/>
      </w:pPr>
      <w:r>
        <w:rPr>
          <w:b/>
          <w:bCs/>
        </w:rPr>
        <w:t xml:space="preserve">Insert after the paragraph ending</w:t>
      </w:r>
      <w:r>
        <w:t xml:space="preserve"> </w:t>
      </w:r>
      <w:r>
        <w:t xml:space="preserve">“San Jose, California 2026”</w:t>
      </w:r>
      <w:r>
        <w:t xml:space="preserve"> </w:t>
      </w:r>
      <w:r>
        <w:rPr>
          <w:b/>
          <w:bCs/>
        </w:rPr>
        <w:t xml:space="preserve">(the sign-off), as a new section before the existing sign-off. Move the sign-off to follow this new section.</w:t>
      </w:r>
    </w:p>
    <w:bookmarkStart w:id="10" w:name="note-on-the-geometric-series-v1.24"/>
    <w:p>
      <w:pPr>
        <w:pStyle w:val="Heading3"/>
      </w:pPr>
      <w:r>
        <w:t xml:space="preserve">Note on the Geometric Series (v1.24)</w:t>
      </w:r>
    </w:p>
    <w:p>
      <w:pPr>
        <w:pStyle w:val="FirstParagraph"/>
      </w:pPr>
      <w:r>
        <w:t xml:space="preserve">Since this book was first drafted, the structures discovered here — the heuristic field, the gauge group, the stratified manifold, the search-theoretic interpretation of moral deliberation — have turned out to be instances of a more general architecture.</w:t>
      </w:r>
      <w:r>
        <w:t xml:space="preserve"> </w:t>
      </w:r>
      <w:r>
        <w:rPr>
          <w:i/>
          <w:iCs/>
        </w:rPr>
        <w:t xml:space="preserve">Geometric Reasoning: From Search to Manifolds</w:t>
      </w:r>
      <w:r>
        <w:t xml:space="preserve"> </w:t>
      </w:r>
      <w:r>
        <w:t xml:space="preserve">(Bond, 2026c) develops the general theory: reasoning, human and artificial, is informed search on a structured manifold, with quality determined by the geometry of the heuristic field and failures characterized as geometric pathologies. This book is the first domain instantiation of that general theory.</w:t>
      </w:r>
    </w:p>
    <w:p>
      <w:pPr>
        <w:pStyle w:val="BodyText"/>
      </w:pPr>
      <w:r>
        <w:t xml:space="preserve">The relationship is bidirectional, and the direction matters. The structures in this book were not derived from the general theory — they were discovered here, in the moral domain, and the general theory was built to accommodate them. The</w:t>
      </w:r>
      <w:r>
        <w:t xml:space="preserve"> </w:t>
      </w:r>
      <m:oMath>
        <m:sSub>
          <m:e>
            <m:r>
              <m:t>D</m:t>
            </m:r>
          </m:e>
          <m:sub>
            <m:r>
              <m:t>4</m:t>
            </m:r>
          </m:sub>
        </m:sSub>
      </m:oMath>
      <w:r>
        <w:t xml:space="preserve"> </w:t>
      </w:r>
      <w:r>
        <w:t xml:space="preserve">dihedral group was found by testing every transformation on thousands of moral scenarios. The conservation of harm was inferred from cross-lingual invariance patterns. The A* interpretation of moral reasoning emerged from the tensor hierarchy and then proved to generalize. The parent text,</w:t>
      </w:r>
      <w:r>
        <w:t xml:space="preserve"> </w:t>
      </w:r>
      <w:r>
        <w:rPr>
          <w:i/>
          <w:iCs/>
        </w:rPr>
        <w:t xml:space="preserve">Geometric Reasoning</w:t>
      </w:r>
      <w:r>
        <w:t xml:space="preserve">, owes its architecture to the patterns first identified in these pages.</w:t>
      </w:r>
    </w:p>
    <w:p>
      <w:pPr>
        <w:pStyle w:val="BodyText"/>
      </w:pPr>
      <w:r>
        <w:t xml:space="preserve">This book remains entirely self-contained. Nothing in it depends on the general theory, and readers who have no interest in the broader program will lose nothing by ignoring it. But for readers who find the moral-domain structures suggestive — who wonder whether heuristic fields, gauge invariance, and geodesic deviation have analogues in economics, law, cognition, or clinical reasoning — the companion volume develops those connections explicitly.</w:t>
      </w:r>
    </w:p>
    <w:p>
      <w:pPr>
        <w:pStyle w:val="BodyText"/>
      </w:pPr>
      <w:r>
        <w:t xml:space="preserve">A companion empirical program, the Measuring AGI benchmarks, has since confirmed several predictions of the framework across five cognitive domains (social cognition, learning, metacognition, attention, and executive functions) with significance levels from 4.6</w:t>
      </w:r>
      <m:oMath>
        <m:r>
          <m:t>σ</m:t>
        </m:r>
      </m:oMath>
      <w:r>
        <w:t xml:space="preserve"> </w:t>
      </w:r>
      <w:r>
        <w:t xml:space="preserve">to 13.3</w:t>
      </w:r>
      <m:oMath>
        <m:r>
          <m:t>σ</m:t>
        </m:r>
      </m:oMath>
      <w:r>
        <w:t xml:space="preserve">. The 8.9</w:t>
      </w:r>
      <m:oMath>
        <m:r>
          <m:t>σ</m:t>
        </m:r>
      </m:oMath>
      <w:r>
        <w:t xml:space="preserve"> </w:t>
      </w:r>
      <w:r>
        <w:t xml:space="preserve">framing effect — the finding that surface reformulation shifts moral judgment by 14-23% of the evaluation scale — is the empirical signature of heuristic corruption (Chapter 5 of</w:t>
      </w:r>
      <w:r>
        <w:t xml:space="preserve"> </w:t>
      </w:r>
      <w:r>
        <w:rPr>
          <w:i/>
          <w:iCs/>
        </w:rPr>
        <w:t xml:space="preserve">Geometric Reasoning</w:t>
      </w:r>
      <w:r>
        <w:t xml:space="preserve">) measured in the moral domain. The 13.3</w:t>
      </w:r>
      <m:oMath>
        <m:r>
          <m:t>σ</m:t>
        </m:r>
      </m:oMath>
      <w:r>
        <w:t xml:space="preserve"> </w:t>
      </w:r>
      <w:r>
        <w:t xml:space="preserve">sycophancy gradient — the finding that AI systems’ deference to social pressure varies continuously from 0% to 56% — is the empirical signature of objective function hijacking applied to a moral context. These results are reported in full in</w:t>
      </w:r>
      <w:r>
        <w:t xml:space="preserve"> </w:t>
      </w:r>
      <w:r>
        <w:rPr>
          <w:i/>
          <w:iCs/>
        </w:rPr>
        <w:t xml:space="preserve">Geometric Reasoning</w:t>
      </w:r>
      <w:r>
        <w:t xml:space="preserve"> </w:t>
      </w:r>
      <w:r>
        <w:t xml:space="preserve">Chapter 13, but they began as tests of predictions made by the framework in this book.</w:t>
      </w:r>
    </w:p>
    <w:p>
      <w:r>
        <w:pict>
          <v:rect style="width:0;height:1.5pt" o:hralign="center" o:hrstd="t" o:hr="t"/>
        </w:pict>
      </w:r>
    </w:p>
    <w:bookmarkEnd w:id="10"/>
    <w:bookmarkEnd w:id="11"/>
    <w:bookmarkStart w:id="20" w:name="footnotes-marginal-notes"/>
    <w:p>
      <w:pPr>
        <w:pStyle w:val="Heading2"/>
      </w:pPr>
      <w:r>
        <w:t xml:space="preserve">2. Footnotes / Marginal Notes</w:t>
      </w:r>
    </w:p>
    <w:p>
      <w:pPr>
        <w:pStyle w:val="FirstParagraph"/>
      </w:pPr>
      <w:r>
        <w:rPr>
          <w:b/>
          <w:bCs/>
        </w:rPr>
        <w:t xml:space="preserve">These are cross-references to be inserted at specific locations. Format as footnotes in the PDF.</w:t>
      </w:r>
    </w:p>
    <w:bookmarkStart w:id="12" w:name="X4b39d165158ad368d152cafe9f724ce6a6f9dac"/>
    <w:p>
      <w:pPr>
        <w:pStyle w:val="Heading3"/>
      </w:pPr>
      <w:r>
        <w:t xml:space="preserve">Chapter 5: The Moral Manifold (§5.5, Coordinates and Admissible Transformations)</w:t>
      </w:r>
    </w:p>
    <w:p>
      <w:pPr>
        <w:pStyle w:val="FirstParagraph"/>
      </w:pPr>
      <w:r>
        <w:rPr>
          <w:b/>
          <w:bCs/>
        </w:rPr>
        <w:t xml:space="preserve">Insert footnote at the paragraph introducing the Bond Invariance Principle:</w:t>
      </w:r>
    </w:p>
    <w:p>
      <w:pPr>
        <w:pStyle w:val="BlockText"/>
      </w:pPr>
      <w:r>
        <w:t xml:space="preserve">The Bond Invariance Principle, introduced here as a condition on moral evaluation, is in fact a general gauge symmetry condition that applies to any domain of structured reasoning.</w:t>
      </w:r>
      <w:r>
        <w:t xml:space="preserve"> </w:t>
      </w:r>
      <w:r>
        <w:rPr>
          <w:i/>
          <w:iCs/>
        </w:rPr>
        <w:t xml:space="preserve">Geometric Reasoning</w:t>
      </w:r>
      <w:r>
        <w:t xml:space="preserve"> </w:t>
      </w:r>
      <w:r>
        <w:t xml:space="preserve">(Bond, 2026c) develops the BIP as the central diagnostic for reasoning quality: a system whose outputs change under irrelevant reformulation is using surface features rather than deep structure, regardless of whether the domain is moral, economic, legal, or cognitive. The empirical evidence is striking — the BIP is violated at 8.9</w:t>
      </w:r>
      <m:oMath>
        <m:r>
          <m:t>σ</m:t>
        </m:r>
      </m:oMath>
      <w:r>
        <w:t xml:space="preserve"> </w:t>
      </w:r>
      <w:r>
        <w:t xml:space="preserve">for framing, 6.8</w:t>
      </w:r>
      <m:oMath>
        <m:r>
          <m:t>σ</m:t>
        </m:r>
      </m:oMath>
      <w:r>
        <w:t xml:space="preserve"> </w:t>
      </w:r>
      <w:r>
        <w:t xml:space="preserve">for emotional anchoring, and 4.6</w:t>
      </w:r>
      <m:oMath>
        <m:r>
          <m:t>σ</m:t>
        </m:r>
      </m:oMath>
      <w:r>
        <w:t xml:space="preserve"> </w:t>
      </w:r>
      <w:r>
        <w:t xml:space="preserve">for sensory distractors across five leading AI systems. See</w:t>
      </w:r>
      <w:r>
        <w:t xml:space="preserve"> </w:t>
      </w:r>
      <w:r>
        <w:rPr>
          <w:i/>
          <w:iCs/>
        </w:rPr>
        <w:t xml:space="preserve">GR</w:t>
      </w:r>
      <w:r>
        <w:t xml:space="preserve"> </w:t>
      </w:r>
      <w:r>
        <w:t xml:space="preserve">Chapter 8 for the general treatment and Chapter 13 for the empirical measurements.</w:t>
      </w:r>
    </w:p>
    <w:bookmarkEnd w:id="12"/>
    <w:bookmarkStart w:id="13" w:name="X90991f024f9f526fcc6d95bfd404af472b6fe35"/>
    <w:p>
      <w:pPr>
        <w:pStyle w:val="Heading3"/>
      </w:pPr>
      <w:r>
        <w:t xml:space="preserve">Chapter 8: Stratification (§8.4, The D₄ Group Structure of Hohfeldian Transitions)</w:t>
      </w:r>
    </w:p>
    <w:p>
      <w:pPr>
        <w:pStyle w:val="FirstParagraph"/>
      </w:pPr>
      <w:r>
        <w:rPr>
          <w:b/>
          <w:bCs/>
        </w:rPr>
        <w:t xml:space="preserve">Insert footnote at the D₄ group presentation:</w:t>
      </w:r>
    </w:p>
    <w:p>
      <w:pPr>
        <w:pStyle w:val="BlockText"/>
      </w:pPr>
      <w:r>
        <w:t xml:space="preserve">The</w:t>
      </w:r>
      <w:r>
        <w:t xml:space="preserve"> </w:t>
      </w:r>
      <m:oMath>
        <m:sSub>
          <m:e>
            <m:r>
              <m:t>D</m:t>
            </m:r>
          </m:e>
          <m:sub>
            <m:r>
              <m:t>4</m:t>
            </m:r>
          </m:sub>
        </m:sSub>
      </m:oMath>
      <w:r>
        <w:t xml:space="preserve"> </w:t>
      </w:r>
      <w:r>
        <w:t xml:space="preserve">dihedral symmetry of Hohfeldian jural relations, discovered here through systematic testing of every transformation against thousands of moral scenarios, proved to be a domain-specific instance of a general pattern.</w:t>
      </w:r>
      <w:r>
        <w:t xml:space="preserve"> </w:t>
      </w:r>
      <w:r>
        <w:rPr>
          <w:i/>
          <w:iCs/>
        </w:rPr>
        <w:t xml:space="preserve">Geometric Reasoning</w:t>
      </w:r>
      <w:r>
        <w:t xml:space="preserve"> </w:t>
      </w:r>
      <w:r>
        <w:t xml:space="preserve">(Bond, 2026c, Chapter 8) develops gauge invariance as the fundamental diagnostic for reasoning quality across all domains. The</w:t>
      </w:r>
      <w:r>
        <w:t xml:space="preserve"> </w:t>
      </w:r>
      <m:oMath>
        <m:sSub>
          <m:e>
            <m:r>
              <m:t>D</m:t>
            </m:r>
          </m:e>
          <m:sub>
            <m:r>
              <m:t>4</m:t>
            </m:r>
          </m:sub>
        </m:sSub>
      </m:oMath>
      <w:r>
        <w:t xml:space="preserve"> </w:t>
      </w:r>
      <w:r>
        <w:t xml:space="preserve">group reappears in</w:t>
      </w:r>
      <w:r>
        <w:t xml:space="preserve"> </w:t>
      </w:r>
      <w:r>
        <w:rPr>
          <w:i/>
          <w:iCs/>
        </w:rPr>
        <w:t xml:space="preserve">Geometric Law</w:t>
      </w:r>
      <w:r>
        <w:t xml:space="preserve"> </w:t>
      </w:r>
      <w:r>
        <w:t xml:space="preserve">as the natural symmetry of legal reasoning, and the broader framework predicts that every domain of structured reasoning possesses a gauge group whose violations are measurable and diagnostic. The moral domain’s contribution to this general program is the discovery that the gauge group is non-abelian (</w:t>
      </w:r>
      <m:oMath>
        <m:sSub>
          <m:e>
            <m:r>
              <m:t>D</m:t>
            </m:r>
          </m:e>
          <m:sub>
            <m:r>
              <m:t>4</m:t>
            </m:r>
          </m:sub>
        </m:sSub>
      </m:oMath>
      <w:r>
        <w:t xml:space="preserve"> </w:t>
      </w:r>
      <w:r>
        <w:t xml:space="preserve">is the smallest non-abelian dihedral group) and that the non-commutativity has substantive moral content: the order in which you apply correlative and negation operations matters. This is a feature of moral space that the general theory could not have predicted — it was discovered here and then accommodated by the general framework.</w:t>
      </w:r>
    </w:p>
    <w:bookmarkEnd w:id="13"/>
    <w:bookmarkStart w:id="14" w:name="X8bb1dfb936df05bb233280b9663d6c227647d87"/>
    <w:p>
      <w:pPr>
        <w:pStyle w:val="Heading3"/>
      </w:pPr>
      <w:r>
        <w:t xml:space="preserve">Chapter 9: The Origin of the Moral Metric (§9.7, Learning the Metric from Data)</w:t>
      </w:r>
    </w:p>
    <w:p>
      <w:pPr>
        <w:pStyle w:val="FirstParagraph"/>
      </w:pPr>
      <w:r>
        <w:rPr>
          <w:b/>
          <w:bCs/>
        </w:rPr>
        <w:t xml:space="preserve">Insert footnote at the Dear Abby corpus discussion:</w:t>
      </w:r>
    </w:p>
    <w:p>
      <w:pPr>
        <w:pStyle w:val="BlockText"/>
      </w:pPr>
      <w:r>
        <w:t xml:space="preserve">The Dear Abby corpus analysis reported here — 20,030 letters spanning 32 years — has since been extended in the Measuring AGI benchmark program. The Social Cognition track (Bond, 2026c,</w:t>
      </w:r>
      <w:r>
        <w:t xml:space="preserve"> </w:t>
      </w:r>
      <w:r>
        <w:rPr>
          <w:i/>
          <w:iCs/>
        </w:rPr>
        <w:t xml:space="preserve">GR</w:t>
      </w:r>
      <w:r>
        <w:t xml:space="preserve"> </w:t>
      </w:r>
      <w:r>
        <w:t xml:space="preserve">Chapter 13) tests five AI systems on moral judgment tasks derived from a corpus of 270,709 Reddit r/AmITheAsshole posts, using the same invariance testing methodology developed for the Dear Abby analysis but at substantially larger scale. The headline result — 8.9</w:t>
      </w:r>
      <m:oMath>
        <m:r>
          <m:t>σ</m:t>
        </m:r>
      </m:oMath>
      <w:r>
        <w:t xml:space="preserve"> </w:t>
      </w:r>
      <w:r>
        <w:t xml:space="preserve">framing displacement across five models — confirms the prediction made by this chapter’s analysis: moral evaluation has geometric structure that scalar measures destroy, and this structure is empirically detectable.</w:t>
      </w:r>
    </w:p>
    <w:bookmarkEnd w:id="14"/>
    <w:bookmarkStart w:id="15" w:name="X2157d90f00403f0bd1cc477e48451f56991063d"/>
    <w:p>
      <w:pPr>
        <w:pStyle w:val="Heading3"/>
      </w:pPr>
      <w:r>
        <w:t xml:space="preserve">Chapter 10: Moral Dynamics (§10.7, Geodesics: Paths of Least Moral Resistance)</w:t>
      </w:r>
    </w:p>
    <w:p>
      <w:pPr>
        <w:pStyle w:val="FirstParagraph"/>
      </w:pPr>
      <w:r>
        <w:rPr>
          <w:b/>
          <w:bCs/>
        </w:rPr>
        <w:t xml:space="preserve">Insert footnote at the geodesic discussion:</w:t>
      </w:r>
    </w:p>
    <w:p>
      <w:pPr>
        <w:pStyle w:val="BlockText"/>
      </w:pPr>
      <w:r>
        <w:t xml:space="preserve">The geodesic interpretation of moral reasoning developed here — the claim that optimal moral deliberation follows the shortest path on the moral manifold — is generalized in</w:t>
      </w:r>
      <w:r>
        <w:t xml:space="preserve"> </w:t>
      </w:r>
      <w:r>
        <w:rPr>
          <w:i/>
          <w:iCs/>
        </w:rPr>
        <w:t xml:space="preserve">Geometric Reasoning</w:t>
      </w:r>
      <w:r>
        <w:t xml:space="preserve"> </w:t>
      </w:r>
      <w:r>
        <w:t xml:space="preserve">(Bond, 2026c, Chapter 4) to all reasoning. The Bond Geodesic Formulation defines optimal reasoning as geodesic search on the reasoning manifold, with geodesic deviation as the primary measure of reasoning quality. The moral geodesic is a special case: the path of least moral resistance on the stratified moral manifold, where the stratification (Chapter 8) creates boundaries that the geodesic must navigate. The general theory adds a concrete computational interpretation: the geodesic is the trajectory traced by A* search with a perfect heuristic, and geodesic deviation measures the cost of heuristic imperfection. This computational framing, anticipated in this book’s Chapter 11, is developed fully in</w:t>
      </w:r>
      <w:r>
        <w:t xml:space="preserve"> </w:t>
      </w:r>
      <w:r>
        <w:rPr>
          <w:i/>
          <w:iCs/>
        </w:rPr>
        <w:t xml:space="preserve">GR</w:t>
      </w:r>
      <w:r>
        <w:t xml:space="preserve"> </w:t>
      </w:r>
      <w:r>
        <w:t xml:space="preserve">Chapters 1 and 3.</w:t>
      </w:r>
    </w:p>
    <w:bookmarkEnd w:id="15"/>
    <w:bookmarkStart w:id="16" w:name="Xbee36c84a05ce4cc05c3e13d7c0a367b029dd65"/>
    <w:p>
      <w:pPr>
        <w:pStyle w:val="Heading3"/>
      </w:pPr>
      <w:r>
        <w:t xml:space="preserve">Chapter 11: Moral Reasoning as Optimal Search (§11.2, A* Search on the Moral Manifold)</w:t>
      </w:r>
    </w:p>
    <w:p>
      <w:pPr>
        <w:pStyle w:val="FirstParagraph"/>
      </w:pPr>
      <w:r>
        <w:rPr>
          <w:b/>
          <w:bCs/>
        </w:rPr>
        <w:t xml:space="preserve">Insert footnote at the A* moral search presentation:</w:t>
      </w:r>
    </w:p>
    <w:p>
      <w:pPr>
        <w:pStyle w:val="BlockText"/>
      </w:pPr>
      <w:r>
        <w:t xml:space="preserve">This chapter’s central claim — that moral reasoning is formally A* search on the moral manifold, with obligation vectors as gradient vectors of heuristic functions — is the result that most directly motivated the general theory.</w:t>
      </w:r>
      <w:r>
        <w:t xml:space="preserve"> </w:t>
      </w:r>
      <w:r>
        <w:rPr>
          <w:i/>
          <w:iCs/>
        </w:rPr>
        <w:t xml:space="preserve">Geometric Reasoning</w:t>
      </w:r>
      <w:r>
        <w:t xml:space="preserve"> </w:t>
      </w:r>
      <w:r>
        <w:t xml:space="preserve">(Bond, 2026c) takes this insight and asks: if moral reasoning is heuristic-guided search on a manifold, is</w:t>
      </w:r>
      <w:r>
        <w:t xml:space="preserve"> </w:t>
      </w:r>
      <w:r>
        <w:rPr>
          <w:i/>
          <w:iCs/>
        </w:rPr>
        <w:t xml:space="preserve">all</w:t>
      </w:r>
      <w:r>
        <w:t xml:space="preserve"> </w:t>
      </w:r>
      <w:r>
        <w:t xml:space="preserve">reasoning? The answer, defended across sixteen chapters, is yes. The heuristic field formalism (</w:t>
      </w:r>
      <w:r>
        <w:rPr>
          <w:i/>
          <w:iCs/>
        </w:rPr>
        <w:t xml:space="preserve">GR</w:t>
      </w:r>
      <w:r>
        <w:t xml:space="preserve"> </w:t>
      </w:r>
      <w:r>
        <w:t xml:space="preserve">Ch. 3), the failure taxonomy (</w:t>
      </w:r>
      <w:r>
        <w:rPr>
          <w:i/>
          <w:iCs/>
        </w:rPr>
        <w:t xml:space="preserve">GR</w:t>
      </w:r>
      <w:r>
        <w:t xml:space="preserve"> </w:t>
      </w:r>
      <w:r>
        <w:t xml:space="preserve">Ch. 5-8), and the alignment framework (</w:t>
      </w:r>
      <w:r>
        <w:rPr>
          <w:i/>
          <w:iCs/>
        </w:rPr>
        <w:t xml:space="preserve">GR</w:t>
      </w:r>
      <w:r>
        <w:t xml:space="preserve"> </w:t>
      </w:r>
      <w:r>
        <w:t xml:space="preserve">Ch. 11) all generalize structures first identified in this chapter. The moral domain’s particular contribution is the admissibility result (Theorem 11.1): classical moral rules —</w:t>
      </w:r>
      <w:r>
        <w:t xml:space="preserve"> </w:t>
      </w:r>
      <w:r>
        <w:t xml:space="preserve">‘do not kill,’</w:t>
      </w:r>
      <w:r>
        <w:t xml:space="preserve"> </w:t>
      </w:r>
      <w:r>
        <w:t xml:space="preserve">‘keep your promises’</w:t>
      </w:r>
      <w:r>
        <w:t xml:space="preserve"> </w:t>
      </w:r>
      <w:r>
        <w:t xml:space="preserve">— are admissible heuristics because they never overestimate the true cost of reaching moral equilibrium. This explains why evolution pre-compiled these heuristics into our cognitive architecture: admissible heuristics guarantee that search reaches the optimum, and exact moral computation is intractable (Theorem 11.2). The general theory inherits this insight but cannot reproduce the domain-specific content —</w:t>
      </w:r>
      <w:r>
        <w:t xml:space="preserve"> </w:t>
      </w:r>
      <w:r>
        <w:rPr>
          <w:i/>
          <w:iCs/>
        </w:rPr>
        <w:t xml:space="preserve">which</w:t>
      </w:r>
      <w:r>
        <w:t xml:space="preserve"> </w:t>
      </w:r>
      <w:r>
        <w:t xml:space="preserve">heuristics are admissible depends on the domain.</w:t>
      </w:r>
    </w:p>
    <w:bookmarkEnd w:id="16"/>
    <w:bookmarkStart w:id="17" w:name="X889d63e5f3d8cea9b87cf47933b1607fb7f2937"/>
    <w:p>
      <w:pPr>
        <w:pStyle w:val="Heading3"/>
      </w:pPr>
      <w:r>
        <w:t xml:space="preserve">Chapter 12: Noether’s Theorem for Ethics (§12.3, The Moral Symmetry: The Bond Invariance Principle)</w:t>
      </w:r>
    </w:p>
    <w:p>
      <w:pPr>
        <w:pStyle w:val="FirstParagraph"/>
      </w:pPr>
      <w:r>
        <w:rPr>
          <w:b/>
          <w:bCs/>
        </w:rPr>
        <w:t xml:space="preserve">Insert footnote at the Noether derivation:</w:t>
      </w:r>
    </w:p>
    <w:p>
      <w:pPr>
        <w:pStyle w:val="BlockText"/>
      </w:pPr>
      <w:r>
        <w:t xml:space="preserve">The conservation of harm, derived here from the moral BIP via Noether’s theorem, is a domain-specific conservation law.</w:t>
      </w:r>
      <w:r>
        <w:t xml:space="preserve"> </w:t>
      </w:r>
      <w:r>
        <w:rPr>
          <w:i/>
          <w:iCs/>
        </w:rPr>
        <w:t xml:space="preserve">Geometric Reasoning</w:t>
      </w:r>
      <w:r>
        <w:t xml:space="preserve"> </w:t>
      </w:r>
      <w:r>
        <w:t xml:space="preserve">(Bond, 2026c, Chapter 8) develops the general gauge invariance framework from which domain-specific conservation laws can be derived. Each domain in the Geometric Series is predicted to have its own conservation law: harm in ethics, value in economics, precedential force in law. The derivation here is the template. The general theory provides the machinery (Noether’s theorem applied to the BIP); the domain text provides the specific Lagrangian and the specific conserved quantity. The moral domain’s conserved quantity — harm — is the first to be identified and empirically tested (§17.6).</w:t>
      </w:r>
    </w:p>
    <w:bookmarkEnd w:id="17"/>
    <w:bookmarkStart w:id="18" w:name="Xac298c08773f29ae3d03cb42a5006331c27c93b"/>
    <w:p>
      <w:pPr>
        <w:pStyle w:val="Heading3"/>
      </w:pPr>
      <w:r>
        <w:t xml:space="preserve">Chapter 17: Empirical Evidence (§17.1, From Theory to Data)</w:t>
      </w:r>
    </w:p>
    <w:p>
      <w:pPr>
        <w:pStyle w:val="FirstParagraph"/>
      </w:pPr>
      <w:r>
        <w:rPr>
          <w:b/>
          <w:bCs/>
        </w:rPr>
        <w:t xml:space="preserve">Insert footnote at the chapter opening:</w:t>
      </w:r>
    </w:p>
    <w:p>
      <w:pPr>
        <w:pStyle w:val="BlockText"/>
      </w:pPr>
      <w:r>
        <w:t xml:space="preserve">The empirical methodology developed in this chapter — fuzz testing, invariance experiments, corpus analysis — has since been systematized in</w:t>
      </w:r>
      <w:r>
        <w:t xml:space="preserve"> </w:t>
      </w:r>
      <w:r>
        <w:rPr>
          <w:i/>
          <w:iCs/>
        </w:rPr>
        <w:t xml:space="preserve">Geometric Reasoning</w:t>
      </w:r>
      <w:r>
        <w:t xml:space="preserve"> </w:t>
      </w:r>
      <w:r>
        <w:t xml:space="preserve">(Bond, 2026c, Chapter 12) as a general benchmark methodology for structured reasoning. The eight types of geometric probes (invariance, sensitivity, bottleneck, recovery, frontier management, meta-search, constraint, and path efficiency) were derived by abstracting the specific probes used here and in the Measuring AGI benchmark program. The Dear Abby corpus analysis is a combination of invariance testing (BIP experiments) and sensitivity testing (framing effects); the Bond Index is a constraint test; the quantum cognition predictions are bottleneck tests. This chapter’s contribution to the general program is the demonstration that geometric predictions are empirically testable at all — that the abstract mathematics of manifolds, gauge invariance, and conservation laws can be reduced to experiments on a corpus of advice-column letters.</w:t>
      </w:r>
    </w:p>
    <w:bookmarkEnd w:id="18"/>
    <w:bookmarkStart w:id="19" w:name="X09b7d65e8c421bfc869a948f7bbb2ada9d51887"/>
    <w:p>
      <w:pPr>
        <w:pStyle w:val="Heading3"/>
      </w:pPr>
      <w:r>
        <w:t xml:space="preserve">Chapter 18: Geometric Ethics for Artificial Agents (§18.4, Invariance as Alignment)</w:t>
      </w:r>
    </w:p>
    <w:p>
      <w:pPr>
        <w:pStyle w:val="FirstParagraph"/>
      </w:pPr>
      <w:r>
        <w:rPr>
          <w:b/>
          <w:bCs/>
        </w:rPr>
        <w:t xml:space="preserve">Insert footnote at the alignment-as-invariance discussion:</w:t>
      </w:r>
    </w:p>
    <w:p>
      <w:pPr>
        <w:pStyle w:val="BlockText"/>
      </w:pPr>
      <w:r>
        <w:t xml:space="preserve">The identification of alignment with invariance — the claim that a properly aligned AI system is one whose moral evaluations satisfy gauge invariance — is generalized in</w:t>
      </w:r>
      <w:r>
        <w:t xml:space="preserve"> </w:t>
      </w:r>
      <w:r>
        <w:rPr>
          <w:i/>
          <w:iCs/>
        </w:rPr>
        <w:t xml:space="preserve">Geometric Reasoning</w:t>
      </w:r>
      <w:r>
        <w:t xml:space="preserve"> </w:t>
      </w:r>
      <w:r>
        <w:t xml:space="preserve">(Bond, 2026c, Chapter 11) to a necessary condition for alignment in any domain. The general result: BIP violation implies misalignment. The argument is: if a system’s outputs change under irrelevant reformulation, the system is responding to surface features rather than deep structure, and no goal — including the intended one — can be reliably pursued by a system whose heuristic field is gauge-dependent. The empirical signature is the sycophancy gradient: models with the most BIP violations also have the highest sycophancy rates (0% to 56%, at 13.3</w:t>
      </w:r>
      <m:oMath>
        <m:r>
          <m:t>σ</m:t>
        </m:r>
      </m:oMath>
      <w:r>
        <w:t xml:space="preserve">). This chapter’s specific contribution — the No Escape Theorem, which proves that geometric constraints on AI evaluation cannot be circumvented by representational manipulation — is a theorem about the moral manifold’s specific geometry. The general theory inherits the alignment-as-invariance principle but not the No Escape result, which requires the domain-specific features of stratification, grounded evaluation, and canonicalization.</w:t>
      </w:r>
    </w:p>
    <w:p>
      <w:r>
        <w:pict>
          <v:rect style="width:0;height:1.5pt" o:hralign="center" o:hrstd="t" o:hr="t"/>
        </w:pict>
      </w:r>
    </w:p>
    <w:bookmarkEnd w:id="19"/>
    <w:bookmarkEnd w:id="20"/>
    <w:bookmarkStart w:id="21" w:name="new-appendix-g-the-geometric-series"/>
    <w:p>
      <w:pPr>
        <w:pStyle w:val="Heading2"/>
      </w:pPr>
      <w:r>
        <w:t xml:space="preserve">3. New Appendix G: The Geometric Series</w:t>
      </w:r>
    </w:p>
    <w:p>
      <w:pPr>
        <w:pStyle w:val="FirstParagraph"/>
      </w:pPr>
      <w:r>
        <w:rPr>
          <w:b/>
          <w:bCs/>
        </w:rPr>
        <w:t xml:space="preserve">Insert as a new appendix after the existing appendices.</w:t>
      </w:r>
    </w:p>
    <w:bookmarkEnd w:id="21"/>
    <w:bookmarkStart w:id="27" w:name="X43a642a961730d73a413dfda3e5cba0d3aef501"/>
    <w:p>
      <w:pPr>
        <w:pStyle w:val="Heading2"/>
      </w:pPr>
      <w:r>
        <w:t xml:space="preserve">Appendix G: Relationship to the Geometric Series</w:t>
      </w:r>
    </w:p>
    <w:p>
      <w:pPr>
        <w:pStyle w:val="FirstParagraph"/>
      </w:pPr>
      <w:r>
        <w:t xml:space="preserve">This book is the first domain instantiation of a general framework for structured reasoning. The framework is developed across a series of volumes, each applying the same mathematical architecture to a different domain. This appendix maps the relationship.</w:t>
      </w:r>
    </w:p>
    <w:bookmarkStart w:id="22" w:name="the-series"/>
    <w:p>
      <w:pPr>
        <w:pStyle w:val="Heading3"/>
      </w:pPr>
      <w:r>
        <w:t xml:space="preserve">The Series</w:t>
      </w:r>
    </w:p>
    <w:p>
      <w:pPr>
        <w:pStyle w:val="FirstParagraph"/>
      </w:pPr>
      <w:r>
        <w:rPr>
          <w:b/>
          <w:bCs/>
        </w:rPr>
        <w:t xml:space="preserve">Tier 1: The Toolkit.</w:t>
      </w:r>
      <w:r>
        <w:t xml:space="preserve"> </w:t>
      </w:r>
      <w:r>
        <w:rPr>
          <w:i/>
          <w:iCs/>
        </w:rPr>
        <w:t xml:space="preserve">Geometric Methods in Computational Modeling</w:t>
      </w:r>
      <w:r>
        <w:t xml:space="preserve"> </w:t>
      </w:r>
      <w:r>
        <w:t xml:space="preserve">(Bond, 2026a) develops the mathematical apparatus — manifolds, metrics, curvature, persistent homology, group-theoretic augmentation, SPD manifolds, topological data analysis, hyperbolic geometry — without committing it to any subject.</w:t>
      </w:r>
    </w:p>
    <w:p>
      <w:pPr>
        <w:pStyle w:val="BodyText"/>
      </w:pPr>
      <w:r>
        <w:rPr>
          <w:b/>
          <w:bCs/>
        </w:rPr>
        <w:t xml:space="preserve">Tier 2: The General Theory.</w:t>
      </w:r>
      <w:r>
        <w:t xml:space="preserve"> </w:t>
      </w:r>
      <w:r>
        <w:rPr>
          <w:i/>
          <w:iCs/>
        </w:rPr>
        <w:t xml:space="preserve">Geometric Reasoning: From Search to Manifolds</w:t>
      </w:r>
      <w:r>
        <w:t xml:space="preserve"> </w:t>
      </w:r>
      <w:r>
        <w:t xml:space="preserve">(Bond, 2026c) claims that reasoning is informed search on a structured manifold, develops a failure taxonomy (heuristic corruption, objective hijacking, local minima, gauge breaking), and grounds the theory in empirical data from the Measuring AGI benchmarks (5 tracks, 5 models, 20 tasks, headline significances from 4.6</w:t>
      </w:r>
      <m:oMath>
        <m:r>
          <m:t>σ</m:t>
        </m:r>
      </m:oMath>
      <w:r>
        <w:t xml:space="preserve"> </w:t>
      </w:r>
      <w:r>
        <w:t xml:space="preserve">to 13.3</w:t>
      </w:r>
      <m:oMath>
        <m:r>
          <m:t>σ</m:t>
        </m:r>
      </m:oMath>
      <w:r>
        <w:t xml:space="preserve">).</w:t>
      </w:r>
    </w:p>
    <w:p>
      <w:pPr>
        <w:pStyle w:val="BodyText"/>
      </w:pPr>
      <w:r>
        <w:rPr>
          <w:b/>
          <w:bCs/>
        </w:rPr>
        <w:t xml:space="preserve">Tier 3: Domain Instantiations.</w:t>
      </w:r>
      <w:r>
        <w:t xml:space="preserve"> </w:t>
      </w:r>
      <w:r>
        <w:t xml:space="preserve">Each domain text takes the general framework and instantiates it on a domain-specific manifold. This book —</w:t>
      </w:r>
      <w:r>
        <w:t xml:space="preserve"> </w:t>
      </w:r>
      <w:r>
        <w:rPr>
          <w:i/>
          <w:iCs/>
        </w:rPr>
        <w:t xml:space="preserve">Geometric Ethics</w:t>
      </w:r>
      <w:r>
        <w:t xml:space="preserve"> </w:t>
      </w:r>
      <w:r>
        <w:t xml:space="preserve">— is the first.</w:t>
      </w:r>
    </w:p>
    <w:bookmarkEnd w:id="22"/>
    <w:bookmarkStart w:id="23" w:name="how-this-book-maps-to-the-general-theory"/>
    <w:p>
      <w:pPr>
        <w:pStyle w:val="Heading3"/>
      </w:pPr>
      <w:r>
        <w:t xml:space="preserve">How This Book Maps to the General Theory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This Book</w:t>
            </w:r>
          </w:p>
        </w:tc>
        <w:tc>
          <w:tcPr/>
          <w:p>
            <w:pPr>
              <w:pStyle w:val="Compact"/>
            </w:pPr>
            <w:r>
              <w:t xml:space="preserve">General Theory (</w:t>
            </w:r>
            <w:r>
              <w:rPr>
                <w:i/>
                <w:iCs/>
              </w:rPr>
              <w:t xml:space="preserve">Geometric Reasoning</w:t>
            </w:r>
            <w:r>
              <w:t xml:space="preserve">)</w:t>
            </w:r>
          </w:p>
        </w:tc>
      </w:tr>
      <w:tr>
        <w:tc>
          <w:tcPr/>
          <w:p>
            <w:pPr>
              <w:pStyle w:val="Compact"/>
            </w:pPr>
            <w:r>
              <w:t xml:space="preserve">Moral manifold</w:t>
            </w:r>
            <w:r>
              <w:t xml:space="preserve"> </w:t>
            </w:r>
            <m:oMath>
              <m:r>
                <m:rPr>
                  <m:scr m:val="script"/>
                  <m:sty m:val="p"/>
                </m:rPr>
                <m:t>M</m:t>
              </m:r>
            </m:oMath>
            <w:r>
              <w:t xml:space="preserve">, 9D, stratified (Ch. 5)</w:t>
            </w:r>
          </w:p>
        </w:tc>
        <w:tc>
          <w:tcPr/>
          <w:p>
            <w:pPr>
              <w:pStyle w:val="Compact"/>
            </w:pPr>
            <w:r>
              <w:t xml:space="preserve">Reasoning manifold</w:t>
            </w:r>
            <w:r>
              <w:t xml:space="preserve"> </w:t>
            </w:r>
            <m:oMath>
              <m:r>
                <m:t>M</m:t>
              </m:r>
            </m:oMath>
            <w:r>
              <w:t xml:space="preserve"> </w:t>
            </w:r>
            <w:r>
              <w:t xml:space="preserve">(Ch. 2)</w:t>
            </w:r>
          </w:p>
        </w:tc>
      </w:tr>
      <w:tr>
        <w:tc>
          <w:tcPr/>
          <w:p>
            <w:pPr>
              <w:pStyle w:val="Compact"/>
            </w:pPr>
            <w:r>
              <w:t xml:space="preserve">Obligation vectors</w:t>
            </w:r>
            <w:r>
              <w:t xml:space="preserve"> </w:t>
            </w:r>
            <m:oMath>
              <m:sSup>
                <m:e>
                  <m:r>
                    <m:t>O</m:t>
                  </m:r>
                </m:e>
                <m:sup>
                  <m:r>
                    <m:t>μ</m:t>
                  </m:r>
                </m:sup>
              </m:sSup>
            </m:oMath>
            <w:r>
              <w:t xml:space="preserve"> </w:t>
            </w:r>
            <w:r>
              <w:t xml:space="preserve">(Ch. 6)</w:t>
            </w:r>
          </w:p>
        </w:tc>
        <w:tc>
          <w:tcPr/>
          <w:p>
            <w:pPr>
              <w:pStyle w:val="Compact"/>
            </w:pPr>
            <w:r>
              <w:t xml:space="preserve">Heuristic field</w:t>
            </w:r>
            <w:r>
              <w:t xml:space="preserve"> </w:t>
            </w:r>
            <m:oMath>
              <m:r>
                <m:t>h</m:t>
              </m:r>
              <m:r>
                <m:rPr>
                  <m:sty m:val="p"/>
                </m:rPr>
                <m:t>(</m:t>
              </m:r>
              <m:r>
                <m:t>x</m:t>
              </m:r>
              <m:r>
                <m:rPr>
                  <m:sty m:val="p"/>
                </m:rPr>
                <m:t>)</m:t>
              </m:r>
            </m:oMath>
            <w:r>
              <w:t xml:space="preserve"> </w:t>
            </w:r>
            <w:r>
              <w:t xml:space="preserve">(Ch. 3)</w:t>
            </w:r>
          </w:p>
        </w:tc>
      </w:tr>
      <w:tr>
        <w:tc>
          <w:tcPr/>
          <w:p>
            <w:pPr>
              <w:pStyle w:val="Compact"/>
            </w:pPr>
            <w:r>
              <w:t xml:space="preserve">Moral geodesic (Ch. 10.7)</w:t>
            </w:r>
          </w:p>
        </w:tc>
        <w:tc>
          <w:tcPr/>
          <w:p>
            <w:pPr>
              <w:pStyle w:val="Compact"/>
            </w:pPr>
            <w:r>
              <w:t xml:space="preserve">Geodesic</w:t>
            </w:r>
            <w:r>
              <w:t xml:space="preserve"> </w:t>
            </w:r>
            <m:oMath>
              <m:sSup>
                <m:e>
                  <m:r>
                    <m:t>γ</m:t>
                  </m:r>
                </m:e>
                <m:sup>
                  <m:r>
                    <m:rPr>
                      <m:sty m:val="p"/>
                    </m:rPr>
                    <m:t>*</m:t>
                  </m:r>
                </m:sup>
              </m:sSup>
            </m:oMath>
            <w:r>
              <w:t xml:space="preserve"> </w:t>
            </w:r>
            <w:r>
              <w:t xml:space="preserve">(Ch. 4)</w:t>
            </w:r>
          </w:p>
        </w:tc>
      </w:tr>
      <w:tr>
        <w:tc>
          <w:tcPr/>
          <w:p>
            <w:pPr>
              <w:pStyle w:val="Compact"/>
            </w:pPr>
            <w:r>
              <w:t xml:space="preserve">Framing effects (Ch. 17)</w:t>
            </w:r>
          </w:p>
        </w:tc>
        <w:tc>
          <w:tcPr/>
          <w:p>
            <w:pPr>
              <w:pStyle w:val="Compact"/>
            </w:pPr>
            <w:r>
              <w:t xml:space="preserve">Heuristic corruption (Ch. 5)</w:t>
            </w:r>
          </w:p>
        </w:tc>
      </w:tr>
      <w:tr>
        <w:tc>
          <w:tcPr/>
          <w:p>
            <w:pPr>
              <w:pStyle w:val="Compact"/>
            </w:pPr>
            <w:r>
              <w:t xml:space="preserve">—</w:t>
            </w:r>
          </w:p>
        </w:tc>
        <w:tc>
          <w:tcPr/>
          <w:p>
            <w:pPr>
              <w:pStyle w:val="Compact"/>
            </w:pPr>
            <w:r>
              <w:t xml:space="preserve">Sycophancy as objective hijacking (Ch. 6)</w:t>
            </w:r>
          </w:p>
        </w:tc>
      </w:tr>
      <w:tr>
        <w:tc>
          <w:tcPr/>
          <w:p>
            <w:pPr>
              <w:pStyle w:val="Compact"/>
            </w:pPr>
            <w:r>
              <w:t xml:space="preserve">—</w:t>
            </w:r>
          </w:p>
        </w:tc>
        <w:tc>
          <w:tcPr/>
          <w:p>
            <w:pPr>
              <w:pStyle w:val="Compact"/>
            </w:pPr>
            <w:r>
              <w:t xml:space="preserve">Local minima and dead zones (Ch. 7)</w:t>
            </w:r>
          </w:p>
        </w:tc>
      </w:tr>
      <w:tr>
        <w:tc>
          <w:tcPr/>
          <w:p>
            <w:pPr>
              <w:pStyle w:val="Compact"/>
            </w:pPr>
            <m:oMath>
              <m:sSub>
                <m:e>
                  <m:r>
                    <m:t>D</m:t>
                  </m:r>
                </m:e>
                <m:sub>
                  <m:r>
                    <m:t>4</m:t>
                  </m:r>
                </m:sub>
              </m:sSub>
              <m:r>
                <m:rPr>
                  <m:sty m:val="p"/>
                </m:rPr>
                <m:t>×</m:t>
              </m:r>
              <m:r>
                <m:t>U</m:t>
              </m:r>
              <m:r>
                <m:rPr>
                  <m:sty m:val="p"/>
                </m:rPr>
                <m:t>(</m:t>
              </m:r>
              <m:r>
                <m:t>1</m:t>
              </m:r>
              <m:sSub>
                <m:e>
                  <m:r>
                    <m:rPr>
                      <m:sty m:val="p"/>
                    </m:rPr>
                    <m:t>)</m:t>
                  </m:r>
                </m:e>
                <m:sub>
                  <m:r>
                    <m:t>H</m:t>
                  </m:r>
                </m:sub>
              </m:sSub>
            </m:oMath>
            <w:r>
              <w:t xml:space="preserve"> </w:t>
            </w:r>
            <w:r>
              <w:t xml:space="preserve">gauge group (Ch. 8, 12)</w:t>
            </w:r>
          </w:p>
        </w:tc>
        <w:tc>
          <w:tcPr/>
          <w:p>
            <w:pPr>
              <w:pStyle w:val="Compact"/>
            </w:pPr>
            <w:r>
              <w:t xml:space="preserve">General gauge invariance (Ch. 8)</w:t>
            </w:r>
          </w:p>
        </w:tc>
      </w:tr>
      <w:tr>
        <w:tc>
          <w:tcPr/>
          <w:p>
            <w:pPr>
              <w:pStyle w:val="Compact"/>
            </w:pPr>
            <w:r>
              <w:t xml:space="preserve">BIP (Axiom 5.1)</w:t>
            </w:r>
          </w:p>
        </w:tc>
        <w:tc>
          <w:tcPr/>
          <w:p>
            <w:pPr>
              <w:pStyle w:val="Compact"/>
            </w:pPr>
            <w:r>
              <w:t xml:space="preserve">BIP as general alignment criterion (Ch. 11)</w:t>
            </w:r>
          </w:p>
        </w:tc>
      </w:tr>
      <w:tr>
        <w:tc>
          <w:tcPr/>
          <w:p>
            <w:pPr>
              <w:pStyle w:val="Compact"/>
            </w:pPr>
            <w:r>
              <w:t xml:space="preserve">A* moral search (Ch. 11)</w:t>
            </w:r>
          </w:p>
        </w:tc>
        <w:tc>
          <w:tcPr/>
          <w:p>
            <w:pPr>
              <w:pStyle w:val="Compact"/>
            </w:pPr>
            <w:r>
              <w:t xml:space="preserve">A* on the reasoning manifold (Ch. 1, 3)</w:t>
            </w:r>
          </w:p>
        </w:tc>
      </w:tr>
      <w:tr>
        <w:tc>
          <w:tcPr/>
          <w:p>
            <w:pPr>
              <w:pStyle w:val="Compact"/>
            </w:pPr>
            <w:r>
              <w:t xml:space="preserve">Conservation of harm (Thm. 12.1)</w:t>
            </w:r>
          </w:p>
        </w:tc>
        <w:tc>
          <w:tcPr/>
          <w:p>
            <w:pPr>
              <w:pStyle w:val="Compact"/>
            </w:pPr>
            <w:r>
              <w:t xml:space="preserve">Domain-specific Noether conservation (Ch. 8)</w:t>
            </w:r>
          </w:p>
        </w:tc>
      </w:tr>
      <w:tr>
        <w:tc>
          <w:tcPr/>
          <w:p>
            <w:pPr>
              <w:pStyle w:val="Compact"/>
            </w:pPr>
            <w:r>
              <w:t xml:space="preserve">No Escape Theorem (Thm. 18.1)</w:t>
            </w:r>
          </w:p>
        </w:tc>
        <w:tc>
          <w:tcPr/>
          <w:p>
            <w:pPr>
              <w:pStyle w:val="Compact"/>
            </w:pPr>
            <w:r>
              <w:t xml:space="preserve">(domain-specific — no general analogue)</w:t>
            </w:r>
          </w:p>
        </w:tc>
      </w:tr>
      <w:tr>
        <w:tc>
          <w:tcPr/>
          <w:p>
            <w:pPr>
              <w:pStyle w:val="Compact"/>
            </w:pPr>
            <w:r>
              <w:t xml:space="preserve">Contraction and residue (Ch. 15)</w:t>
            </w:r>
          </w:p>
        </w:tc>
        <w:tc>
          <w:tcPr/>
          <w:p>
            <w:pPr>
              <w:pStyle w:val="Compact"/>
            </w:pPr>
            <w:r>
              <w:t xml:space="preserve">Scalar Irrecoverability Theorem (Ch. 10, 13)</w:t>
            </w:r>
          </w:p>
        </w:tc>
      </w:tr>
      <w:tr>
        <w:tc>
          <w:tcPr/>
          <w:p>
            <w:pPr>
              <w:pStyle w:val="Compact"/>
            </w:pPr>
            <w:r>
              <w:t xml:space="preserve">Dear Abby corpus (Ch. 17)</w:t>
            </w:r>
          </w:p>
        </w:tc>
        <w:tc>
          <w:tcPr/>
          <w:p>
            <w:pPr>
              <w:pStyle w:val="Compact"/>
            </w:pPr>
            <w:r>
              <w:t xml:space="preserve">Measuring AGI benchmarks (Ch. 12, 13)</w:t>
            </w:r>
          </w:p>
        </w:tc>
      </w:tr>
      <w:tr>
        <w:tc>
          <w:tcPr/>
          <w:p>
            <w:pPr>
              <w:pStyle w:val="Compact"/>
            </w:pPr>
            <w:r>
              <w:t xml:space="preserve">DEME architecture (Ch. 19)</w:t>
            </w:r>
          </w:p>
        </w:tc>
        <w:tc>
          <w:tcPr/>
          <w:p>
            <w:pPr>
              <w:pStyle w:val="Compact"/>
            </w:pPr>
            <w:r>
              <w:t xml:space="preserve">Engineering toolkit (Ch. 14)</w:t>
            </w:r>
          </w:p>
        </w:tc>
      </w:tr>
      <w:tr>
        <w:tc>
          <w:tcPr/>
          <w:p>
            <w:pPr>
              <w:pStyle w:val="Compact"/>
            </w:pPr>
            <w:r>
              <w:t xml:space="preserve">Quantum normative dynamics (Ch. 13)</w:t>
            </w:r>
          </w:p>
        </w:tc>
        <w:tc>
          <w:tcPr/>
          <w:p>
            <w:pPr>
              <w:pStyle w:val="Compact"/>
            </w:pPr>
            <w:r>
              <w:t xml:space="preserve">(domain-specific extension)</w:t>
            </w:r>
          </w:p>
        </w:tc>
      </w:tr>
    </w:tbl>
    <w:bookmarkEnd w:id="23"/>
    <w:bookmarkStart w:id="24" w:name="Xe33f5a4b984150009c532f0fe3e33e483dcc690"/>
    <w:p>
      <w:pPr>
        <w:pStyle w:val="Heading3"/>
      </w:pPr>
      <w:r>
        <w:t xml:space="preserve">What This Book Contributes to the General Theory</w:t>
      </w:r>
    </w:p>
    <w:p>
      <w:pPr>
        <w:pStyle w:val="FirstParagraph"/>
      </w:pPr>
      <w:r>
        <w:t xml:space="preserve">The relationship is not one-directional. Several structures discovered in this book — in the moral domain, from moral data — were subsequently recognized as instances of general patterns:</w:t>
      </w:r>
    </w:p>
    <w:p>
      <w:pPr>
        <w:numPr>
          <w:ilvl w:val="0"/>
          <w:numId w:val="1001"/>
        </w:numPr>
      </w:pPr>
      <w:r>
        <w:rPr>
          <w:b/>
          <w:bCs/>
        </w:rPr>
        <w:t xml:space="preserve">The A* interpretation</w:t>
      </w:r>
      <w:r>
        <w:t xml:space="preserve"> </w:t>
      </w:r>
      <w:r>
        <w:t xml:space="preserve">(Ch. 11). The discovery that moral reasoning is A* search on the moral manifold, with obligation vectors as gradient vectors of heuristic functions, directly motivated the general theory’s central claim that all reasoning has this structure.</w:t>
      </w:r>
    </w:p>
    <w:p>
      <w:pPr>
        <w:numPr>
          <w:ilvl w:val="0"/>
          <w:numId w:val="1001"/>
        </w:numPr>
      </w:pPr>
      <w:r>
        <w:rPr>
          <w:b/>
          <w:bCs/>
        </w:rPr>
        <w:t xml:space="preserve">The</w:t>
      </w:r>
      <w:r>
        <w:rPr>
          <w:b/>
          <w:bCs/>
        </w:rPr>
        <w:t xml:space="preserve"> </w:t>
      </w:r>
      <m:oMath>
        <m:sSub>
          <m:e>
            <m:r>
              <m:t>D</m:t>
            </m:r>
          </m:e>
          <m:sub>
            <m:r>
              <m:t>4</m:t>
            </m:r>
          </m:sub>
        </m:sSub>
      </m:oMath>
      <w:r>
        <w:rPr>
          <w:b/>
          <w:bCs/>
        </w:rPr>
        <w:t xml:space="preserve"> </w:t>
      </w:r>
      <w:r>
        <w:rPr>
          <w:b/>
          <w:bCs/>
        </w:rPr>
        <w:t xml:space="preserve">group</w:t>
      </w:r>
      <w:r>
        <w:t xml:space="preserve"> </w:t>
      </w:r>
      <w:r>
        <w:t xml:space="preserve">(Ch. 8). The discovery that Hohfeldian jural relations exhibit the symmetry of the dihedral group of a square was empirical — found by testing every transformation against thousands of scenarios. The general theory’s prediction that every reasoning domain has a gauge group was motivated by this specific discovery.</w:t>
      </w:r>
    </w:p>
    <w:p>
      <w:pPr>
        <w:numPr>
          <w:ilvl w:val="0"/>
          <w:numId w:val="1001"/>
        </w:numPr>
      </w:pPr>
      <w:r>
        <w:rPr>
          <w:b/>
          <w:bCs/>
        </w:rPr>
        <w:t xml:space="preserve">The conservation of harm</w:t>
      </w:r>
      <w:r>
        <w:t xml:space="preserve"> </w:t>
      </w:r>
      <w:r>
        <w:t xml:space="preserve">(Ch. 12). The derivation of a conserved quantity from the BIP via Noether’s theorem provided the template for domain-specific conservation laws. The general theory predicts that each domain has a conserved quantity; the moral domain’s harm conservation is the first to be derived and tested.</w:t>
      </w:r>
    </w:p>
    <w:p>
      <w:pPr>
        <w:numPr>
          <w:ilvl w:val="0"/>
          <w:numId w:val="1001"/>
        </w:numPr>
      </w:pPr>
      <w:r>
        <w:rPr>
          <w:b/>
          <w:bCs/>
        </w:rPr>
        <w:t xml:space="preserve">The stratification</w:t>
      </w:r>
      <w:r>
        <w:t xml:space="preserve"> </w:t>
      </w:r>
      <w:r>
        <w:t xml:space="preserve">(Ch. 8). The Whitney stratification of moral space, with its semantic gates and phase transitions, suggested that reasoning spaces in general may be stratified rather than smooth. The general theory’s treatment of gauge invariance benefits from this insight but does not require it — stratification is a domain-specific feature.</w:t>
      </w:r>
    </w:p>
    <w:p>
      <w:pPr>
        <w:numPr>
          <w:ilvl w:val="0"/>
          <w:numId w:val="1001"/>
        </w:numPr>
      </w:pPr>
      <w:r>
        <w:rPr>
          <w:b/>
          <w:bCs/>
        </w:rPr>
        <w:t xml:space="preserve">The No Escape Theorem</w:t>
      </w:r>
      <w:r>
        <w:t xml:space="preserve"> </w:t>
      </w:r>
      <w:r>
        <w:t xml:space="preserve">(Ch. 18). The proof that geometric constraints on AI moral evaluation cannot be circumvented by representational manipulation is the strongest result in the series. It is domain-specific (it requires the moral manifold’s particular features) and does not have a known general analogue. Whether domain-specific No Escape theorems exist for economics, law, or other domains is an open question.</w:t>
      </w:r>
    </w:p>
    <w:bookmarkEnd w:id="24"/>
    <w:bookmarkStart w:id="25" w:name="what-this-book-inherits"/>
    <w:p>
      <w:pPr>
        <w:pStyle w:val="Heading3"/>
      </w:pPr>
      <w:r>
        <w:t xml:space="preserve">What This Book Inherits</w:t>
      </w:r>
    </w:p>
    <w:p>
      <w:pPr>
        <w:pStyle w:val="FirstParagraph"/>
      </w:pPr>
      <w:r>
        <w:t xml:space="preserve">In return, the general theory provides this book with a broader context:</w:t>
      </w:r>
    </w:p>
    <w:p>
      <w:pPr>
        <w:numPr>
          <w:ilvl w:val="0"/>
          <w:numId w:val="1002"/>
        </w:numPr>
      </w:pPr>
      <w:r>
        <w:t xml:space="preserve">The</w:t>
      </w:r>
      <w:r>
        <w:t xml:space="preserve"> </w:t>
      </w:r>
      <w:r>
        <w:rPr>
          <w:b/>
          <w:bCs/>
        </w:rPr>
        <w:t xml:space="preserve">failure taxonomy</w:t>
      </w:r>
      <w:r>
        <w:t xml:space="preserve"> </w:t>
      </w:r>
      <w:r>
        <w:t xml:space="preserve">(corruption, hijacking, local minima, gauge breaking) was developed in</w:t>
      </w:r>
      <w:r>
        <w:t xml:space="preserve"> </w:t>
      </w:r>
      <w:r>
        <w:rPr>
          <w:i/>
          <w:iCs/>
        </w:rPr>
        <w:t xml:space="preserve">Geometric Reasoning</w:t>
      </w:r>
      <w:r>
        <w:t xml:space="preserve"> </w:t>
      </w:r>
      <w:r>
        <w:t xml:space="preserve">by abstracting from the moral domain’s specific failures. This book’s framing effects are an instance of heuristic corruption; its contraction analysis is related to the Scalar Irrecoverability Theorem; its alignment-as-invariance principle is an instance of BIP-as-necessary-condition.</w:t>
      </w:r>
    </w:p>
    <w:p>
      <w:pPr>
        <w:numPr>
          <w:ilvl w:val="0"/>
          <w:numId w:val="1002"/>
        </w:numPr>
      </w:pPr>
      <w:r>
        <w:t xml:space="preserve">The</w:t>
      </w:r>
      <w:r>
        <w:t xml:space="preserve"> </w:t>
      </w:r>
      <w:r>
        <w:rPr>
          <w:b/>
          <w:bCs/>
        </w:rPr>
        <w:t xml:space="preserve">empirical methodology</w:t>
      </w:r>
      <w:r>
        <w:t xml:space="preserve"> </w:t>
      </w:r>
      <w:r>
        <w:t xml:space="preserve">(eight types of geometric probes) was derived by systematizing the specific tests developed here and in the Measuring AGI program. The Dear Abby analysis is retrospectively recognized as a combination of invariance and sensitivity probes.</w:t>
      </w:r>
    </w:p>
    <w:p>
      <w:pPr>
        <w:numPr>
          <w:ilvl w:val="0"/>
          <w:numId w:val="1002"/>
        </w:numPr>
      </w:pPr>
      <w:r>
        <w:t xml:space="preserve">The</w:t>
      </w:r>
      <w:r>
        <w:t xml:space="preserve"> </w:t>
      </w:r>
      <w:r>
        <w:rPr>
          <w:b/>
          <w:bCs/>
        </w:rPr>
        <w:t xml:space="preserve">engineering toolkit</w:t>
      </w:r>
      <w:r>
        <w:t xml:space="preserve"> </w:t>
      </w:r>
      <w:r>
        <w:t xml:space="preserve">(group-theoretic augmentation, adversarial training, LoRA fine-tuning) provides implementation strategies for the DEME architecture that this book describes but does not fully develop.</w:t>
      </w:r>
    </w:p>
    <w:bookmarkEnd w:id="25"/>
    <w:bookmarkStart w:id="26" w:name="the-other-domain-books"/>
    <w:p>
      <w:pPr>
        <w:pStyle w:val="Heading3"/>
      </w:pPr>
      <w:r>
        <w:t xml:space="preserve">The Other Domain Books</w:t>
      </w:r>
    </w:p>
    <w:p>
      <w:pPr>
        <w:pStyle w:val="FirstParagraph"/>
      </w:pPr>
      <w:r>
        <w:t xml:space="preserve">The general theory predicts that the architecture discovered here — manifold, metric, tensors, gauge group, conservation law, stratification, search-theoretic deliberation — instantiates in other domains:</w:t>
      </w:r>
    </w:p>
    <w:p>
      <w:pPr>
        <w:pStyle w:val="Compact"/>
        <w:numPr>
          <w:ilvl w:val="0"/>
          <w:numId w:val="1003"/>
        </w:numPr>
      </w:pPr>
      <w:r>
        <w:rPr>
          <w:b/>
          <w:bCs/>
        </w:rPr>
        <w:t xml:space="preserve">Geometric Economics</w:t>
      </w:r>
      <w:r>
        <w:t xml:space="preserve"> </w:t>
      </w:r>
      <w:r>
        <w:t xml:space="preserve">(in preparation): The Bond Geodesic Equilibrium generalizes Nash equilibrium to manifold-valued decision spaces. GDP is a lossy contraction of the economic tensor.</w:t>
      </w:r>
    </w:p>
    <w:p>
      <w:pPr>
        <w:pStyle w:val="Compact"/>
        <w:numPr>
          <w:ilvl w:val="0"/>
          <w:numId w:val="1003"/>
        </w:numPr>
      </w:pPr>
      <w:r>
        <w:rPr>
          <w:b/>
          <w:bCs/>
        </w:rPr>
        <w:t xml:space="preserve">Geometric Law</w:t>
      </w:r>
      <w:r>
        <w:t xml:space="preserve"> </w:t>
      </w:r>
      <w:r>
        <w:t xml:space="preserve">(in preparation): The</w:t>
      </w:r>
      <w:r>
        <w:t xml:space="preserve"> </w:t>
      </w:r>
      <m:oMath>
        <m:sSub>
          <m:e>
            <m:r>
              <m:t>D</m:t>
            </m:r>
          </m:e>
          <m:sub>
            <m:r>
              <m:t>4</m:t>
            </m:r>
          </m:sub>
        </m:sSub>
      </m:oMath>
      <w:r>
        <w:t xml:space="preserve"> </w:t>
      </w:r>
      <w:r>
        <w:t xml:space="preserve">Hohfeldian group has its natural home in law. Equal protection is gauge invariance. Sentencing disparities are gauge violation tensors.</w:t>
      </w:r>
    </w:p>
    <w:p>
      <w:pPr>
        <w:pStyle w:val="Compact"/>
        <w:numPr>
          <w:ilvl w:val="0"/>
          <w:numId w:val="1003"/>
        </w:numPr>
      </w:pPr>
      <w:r>
        <w:rPr>
          <w:b/>
          <w:bCs/>
        </w:rPr>
        <w:t xml:space="preserve">Geometric Cognition</w:t>
      </w:r>
      <w:r>
        <w:t xml:space="preserve"> </w:t>
      </w:r>
      <w:r>
        <w:t xml:space="preserve">(in preparation): System 1/System 2 as heuristic-dominated vs. geodesic search regimes. The Measuring AGI benchmarks provide the empirical foundation.</w:t>
      </w:r>
    </w:p>
    <w:p>
      <w:pPr>
        <w:pStyle w:val="Compact"/>
        <w:numPr>
          <w:ilvl w:val="0"/>
          <w:numId w:val="1003"/>
        </w:numPr>
      </w:pPr>
      <w:r>
        <w:rPr>
          <w:b/>
          <w:bCs/>
        </w:rPr>
        <w:t xml:space="preserve">Geometric Communication</w:t>
      </w:r>
      <w:r>
        <w:t xml:space="preserve"> </w:t>
      </w:r>
      <w:r>
        <w:t xml:space="preserve">(in preparation): Translation as parallel transport. Cross-lingual invariance as the communication BIP.</w:t>
      </w:r>
    </w:p>
    <w:p>
      <w:pPr>
        <w:pStyle w:val="Compact"/>
        <w:numPr>
          <w:ilvl w:val="0"/>
          <w:numId w:val="1003"/>
        </w:numPr>
      </w:pPr>
      <w:r>
        <w:rPr>
          <w:b/>
          <w:bCs/>
        </w:rPr>
        <w:t xml:space="preserve">Geometric Medicine</w:t>
      </w:r>
      <w:r>
        <w:t xml:space="preserve"> </w:t>
      </w:r>
      <w:r>
        <w:t xml:space="preserve">(in preparation): The QALY as lossy contraction. Triage as forced tensor contraction.</w:t>
      </w:r>
    </w:p>
    <w:p>
      <w:pPr>
        <w:pStyle w:val="FirstParagraph"/>
      </w:pPr>
      <w:r>
        <w:t xml:space="preserve">Each domain book inherits the general framework and adds domain-specific structure that the general theory cannot anticipate. The accumulation of domain instantiations — each tested against its own data — is the empirical program of the series.</w:t>
      </w:r>
    </w:p>
    <w:p>
      <w:r>
        <w:pict>
          <v:rect style="width:0;height:1.5pt" o:hralign="center" o:hrstd="t" o:hr="t"/>
        </w:pict>
      </w:r>
    </w:p>
    <w:bookmarkEnd w:id="26"/>
    <w:bookmarkEnd w:id="27"/>
    <w:bookmarkStart w:id="28" w:name="updated-bibliography"/>
    <w:p>
      <w:pPr>
        <w:pStyle w:val="Heading2"/>
      </w:pPr>
      <w:r>
        <w:t xml:space="preserve">4. Updated Bibliography</w:t>
      </w:r>
    </w:p>
    <w:p>
      <w:pPr>
        <w:pStyle w:val="FirstParagraph"/>
      </w:pPr>
      <w:r>
        <w:rPr>
          <w:b/>
          <w:bCs/>
        </w:rPr>
        <w:t xml:space="preserve">Add to the bibliography:</w:t>
      </w:r>
    </w:p>
    <w:p>
      <w:pPr>
        <w:pStyle w:val="BodyText"/>
      </w:pPr>
      <w:r>
        <w:t xml:space="preserve">Bond, A. H. (2026a).</w:t>
      </w:r>
      <w:r>
        <w:t xml:space="preserve"> </w:t>
      </w:r>
      <w:r>
        <w:rPr>
          <w:i/>
          <w:iCs/>
        </w:rPr>
        <w:t xml:space="preserve">Geometric Methods in Computational Modeling</w:t>
      </w:r>
      <w:r>
        <w:t xml:space="preserve">. San Jose State University.</w:t>
      </w:r>
    </w:p>
    <w:p>
      <w:pPr>
        <w:pStyle w:val="BodyText"/>
      </w:pPr>
      <w:r>
        <w:t xml:space="preserve">Bond, A. H. (2026c).</w:t>
      </w:r>
      <w:r>
        <w:t xml:space="preserve"> </w:t>
      </w:r>
      <w:r>
        <w:rPr>
          <w:i/>
          <w:iCs/>
        </w:rPr>
        <w:t xml:space="preserve">Geometric Reasoning: From Search to Manifolds</w:t>
      </w:r>
      <w:r>
        <w:t xml:space="preserve">. San Jose State University.</w:t>
      </w:r>
    </w:p>
    <w:p>
      <w:pPr>
        <w:pStyle w:val="BodyText"/>
      </w:pPr>
      <w:r>
        <w:t xml:space="preserve">Bond, A. H. (2026d).</w:t>
      </w:r>
      <w:r>
        <w:t xml:space="preserve"> </w:t>
      </w:r>
      <w:r>
        <w:t xml:space="preserve">“qpatch: Automatic fixes for quantized model fine-tuning.”</w:t>
      </w:r>
      <w:r>
        <w:t xml:space="preserve"> </w:t>
      </w:r>
      <w:r>
        <w:t xml:space="preserve">Python Package Index. https://pypi.org/project/qpatch/</w:t>
      </w:r>
    </w:p>
    <w:p>
      <w:r>
        <w:pict>
          <v:rect style="width:0;height:1.5pt" o:hralign="center" o:hrstd="t" o:hr="t"/>
        </w:pict>
      </w:r>
    </w:p>
    <w:bookmarkEnd w:id="28"/>
    <w:bookmarkStart w:id="29" w:name="version-note"/>
    <w:p>
      <w:pPr>
        <w:pStyle w:val="Heading2"/>
      </w:pPr>
      <w:r>
        <w:t xml:space="preserve">5. Version Note</w:t>
      </w:r>
    </w:p>
    <w:p>
      <w:pPr>
        <w:pStyle w:val="FirstParagraph"/>
      </w:pPr>
      <w:r>
        <w:rPr>
          <w:b/>
          <w:bCs/>
        </w:rPr>
        <w:t xml:space="preserve">Update the version number on the title page from v1.23 to v1.24. Add to version history (if one exists):</w:t>
      </w:r>
    </w:p>
    <w:p>
      <w:pPr>
        <w:pStyle w:val="BodyText"/>
      </w:pPr>
      <w:r>
        <w:rPr>
          <w:b/>
          <w:bCs/>
        </w:rPr>
        <w:t xml:space="preserve">v1.24 (March 2026):</w:t>
      </w:r>
      <w:r>
        <w:t xml:space="preserve"> </w:t>
      </w:r>
      <w:r>
        <w:t xml:space="preserve">Added series context. New preface section on the Geometric Series. Cross-reference footnotes to</w:t>
      </w:r>
      <w:r>
        <w:t xml:space="preserve"> </w:t>
      </w:r>
      <w:r>
        <w:rPr>
          <w:i/>
          <w:iCs/>
        </w:rPr>
        <w:t xml:space="preserve">Geometric Reasoning</w:t>
      </w:r>
      <w:r>
        <w:t xml:space="preserve"> </w:t>
      </w:r>
      <w:r>
        <w:t xml:space="preserve">(Bond, 2026c) at Chapters 5, 8, 9, 10, 11, 12, 17, and 18. New Appendix G mapping this book’s structures to the general theory. Updated bibliography.</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2026-03-23T20:24:17Z</dcterms:created>
  <dcterms:modified xsi:type="dcterms:W3CDTF">2026-03-23T20:24:17Z</dcterms:modified>
</cp:coreProperties>
</file>

<file path=docProps/custom.xml><?xml version="1.0" encoding="utf-8"?>
<Properties xmlns="http://schemas.openxmlformats.org/officeDocument/2006/custom-properties" xmlns:vt="http://schemas.openxmlformats.org/officeDocument/2006/docPropsVTypes"/>
</file>