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How Stale Can an Optical Digital Twin Be?</w:t>
      </w:r>
      <w:r>
        <w:br/>
      </w:r>
      <w:r>
        <w:rPr>
          <w:b/>
          <w:bCs/>
        </w:rPr>
        <w:t xml:space="preserve">A Measured Freshness Budget for QoT Decisions</w:t>
      </w:r>
    </w:p>
    <w:p>
      <w:pPr>
        <w:pStyle w:val="Author"/>
      </w:pPr>
      <w:r>
        <w:t xml:space="preserve">Andrew H. Bond</w:t>
      </w:r>
      <w:r>
        <w:br/>
      </w:r>
      <w:r>
        <w:t xml:space="preserve">Department of Computer Engineering, San José State University, San José, CA 95192, USA</w:t>
      </w:r>
      <w:r>
        <w:br/>
      </w:r>
      <w:r>
        <w:t xml:space="preserve">andrew.bond@sjsu.edu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Digital twins of the optical physical layer are moving from research to</w:t>
      </w:r>
      <w:r>
        <w:t xml:space="preserve"> </w:t>
      </w:r>
      <w:r>
        <w:t xml:space="preserve">practice </w:t>
      </w:r>
      <w:r>
        <w:t xml:space="preserve">. A twin holds a QoT model of the deployed network, and</w:t>
      </w:r>
      <w:r>
        <w:t xml:space="preserve"> </w:t>
      </w:r>
      <w:r>
        <w:t xml:space="preserve">operators use it to answer provisioning questions: which format will this lightpath</w:t>
      </w:r>
      <w:r>
        <w:t xml:space="preserve"> </w:t>
      </w:r>
      <w:r>
        <w:t xml:space="preserve">sustain, how much margin does it need. The twin’s answer is only as good as its view</w:t>
      </w:r>
      <w:r>
        <w:t xml:space="preserve"> </w:t>
      </w:r>
      <w:r>
        <w:t xml:space="preserve">of the network, and the view goes stale. Between telemetry syncs, channels are added,</w:t>
      </w:r>
      <w:r>
        <w:t xml:space="preserve"> </w:t>
      </w:r>
      <w:r>
        <w:t xml:space="preserve">nonlinear interference grows, and the GSNR the twin believes is no longer the GSNR</w:t>
      </w:r>
      <w:r>
        <w:t xml:space="preserve"> </w:t>
      </w:r>
      <w:r>
        <w:t xml:space="preserve">the receiver sees. The question every deployment must answer is how often the twin</w:t>
      </w:r>
      <w:r>
        <w:t xml:space="preserve"> </w:t>
      </w:r>
      <w:r>
        <w:t xml:space="preserve">needs to sync. Today that answer is set by engineering judgment. This paper gives it</w:t>
      </w:r>
      <w:r>
        <w:t xml:space="preserve"> </w:t>
      </w:r>
      <w:r>
        <w:t xml:space="preserve">a measured number.</w:t>
      </w:r>
    </w:p>
    <w:p>
      <w:pPr>
        <w:pStyle w:val="BodyText"/>
      </w:pPr>
      <w:r>
        <w:t xml:space="preserve">We treat each twin decision as a certificate. The twin clears a format for a</w:t>
      </w:r>
      <w:r>
        <w:t xml:space="preserve"> </w:t>
      </w:r>
      <w:r>
        <w:t xml:space="preserve">lightpath, and the certificate fails when the deployed channel cannot support that</w:t>
      </w:r>
      <w:r>
        <w:t xml:space="preserve"> </w:t>
      </w:r>
      <w:r>
        <w:t xml:space="preserve">format. We call this failure a false-clear, and we measure its rate on the GN-model</w:t>
      </w:r>
      <w:r>
        <w:t xml:space="preserve"> </w:t>
      </w:r>
      <w:r>
        <w:t xml:space="preserve">physical layer of GNPy </w:t>
      </w:r>
      <w:r>
        <w:t xml:space="preserve"> </w:t>
      </w:r>
      <w:r>
        <w:t xml:space="preserve">over the CORONET-CONUS reference network, with</w:t>
      </w:r>
      <w:r>
        <w:t xml:space="preserve"> </w:t>
      </w:r>
      <w:r>
        <w:t xml:space="preserve">fill statistics drawn from a public demand matrix. Three results follow. The</w:t>
      </w:r>
      <w:r>
        <w:t xml:space="preserve"> </w:t>
      </w:r>
      <w:r>
        <w:t xml:space="preserve">false-clear rate of a stale twin is zero until a few channels have been added to</w:t>
      </w:r>
      <w:r>
        <w:t xml:space="preserve"> </w:t>
      </w:r>
      <w:r>
        <w:t xml:space="preserve">the band a service shares along its path, then climbs steeply, crossing a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risk target at about eight such adds: the twin’s freshness budget. Which services</w:t>
      </w:r>
      <w:r>
        <w:t xml:space="preserve"> </w:t>
      </w:r>
      <w:r>
        <w:t xml:space="preserve">are exposed when the twin is stale is set by spectral position and reach, so a</w:t>
      </w:r>
      <w:r>
        <w:t xml:space="preserve"> </w:t>
      </w:r>
      <w:r>
        <w:t xml:space="preserve">per-lightpath view recovers real capacity over a uniform margin. And when the</w:t>
      </w:r>
      <w:r>
        <w:t xml:space="preserve"> </w:t>
      </w:r>
      <w:r>
        <w:t xml:space="preserve">twin’s QoT model is a learned surrogate, training it on average error leaves it</w:t>
      </w:r>
      <w:r>
        <w:t xml:space="preserve"> </w:t>
      </w:r>
      <w:r>
        <w:t xml:space="preserve">blind exactly at the FEC threshold where its decisions are made.</w:t>
      </w:r>
    </w:p>
    <w:bookmarkEnd w:id="9"/>
    <w:bookmarkStart w:id="11" w:name="method"/>
    <w:p>
      <w:pPr>
        <w:pStyle w:val="Heading1"/>
      </w:pPr>
      <w:r>
        <w:t xml:space="preserve">Method</w:t>
      </w:r>
    </w:p>
    <w:p>
      <w:pPr>
        <w:pStyle w:val="FirstParagraph"/>
      </w:pPr>
      <w:r>
        <w:rPr>
          <w:b/>
          <w:bCs/>
        </w:rPr>
        <w:t xml:space="preserve">Substrate.</w:t>
      </w:r>
      <w:r>
        <w:t xml:space="preserve"> </w:t>
      </w:r>
      <w:r>
        <w:t xml:space="preserve">Lightpaths are transparent shortest-path routes of the</w:t>
      </w:r>
      <w:r>
        <w:t xml:space="preserve"> </w:t>
      </w:r>
      <w:r>
        <w:t xml:space="preserve">CORONET-CONUS reference topology; per-channel GSNR comes from the GN model in</w:t>
      </w:r>
      <w:r>
        <w:t xml:space="preserve"> </w:t>
      </w:r>
      <w:r>
        <w:t xml:space="preserve">GNPy </w:t>
      </w:r>
      <w:r>
        <w:t xml:space="preserve">. Table </w:t>
      </w:r>
      <w:hyperlink w:anchor="tab:subs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lists the parameters. The twin’s view is</w:t>
      </w:r>
      <w:r>
        <w:t xml:space="preserve"> </w:t>
      </w:r>
      <w:r>
        <w:t xml:space="preserve">the band as last synced. The staleness variable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channels</w:t>
      </w:r>
      <w:r>
        <w:t xml:space="preserve"> </w:t>
      </w:r>
      <w:r>
        <w:t xml:space="preserve">present in the C-band that co-propagates with the service along its own path (its</w:t>
      </w:r>
      <w:r>
        <w:t xml:space="preserve"> </w:t>
      </w:r>
      <w:r>
        <w:t xml:space="preserve">interference neighbourhood), and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 </w:t>
      </w:r>
      <w:r>
        <w:t xml:space="preserve">counts the channels added to that band</w:t>
      </w:r>
      <w:r>
        <w:t xml:space="preserve"> </w:t>
      </w:r>
      <w:r>
        <w:t xml:space="preserve">since the sync.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runs from a lightly filled provisioning band of 6 to a full</w:t>
      </w:r>
      <w:r>
        <w:t xml:space="preserve"> </w:t>
      </w:r>
      <w:r>
        <w:t xml:space="preserve">grid of 76. The filling protocol is fixed and disclosed: the band fills as a</w:t>
      </w:r>
      <w:r>
        <w:t xml:space="preserve"> </w:t>
      </w:r>
      <w:r>
        <w:t xml:space="preserve">contiguous comb of 32 GBd channels on the 50 GHz grid, from the low-frequency</w:t>
      </w:r>
      <w:r>
        <w:t xml:space="preserve"> </w:t>
      </w:r>
      <w:r>
        <w:t xml:space="preserve">edge of the C-band (</w:t>
      </w:r>
      <m:oMath>
        <m:r>
          <m:t>191.35</m:t>
        </m:r>
      </m:oMath>
      <w:r>
        <w:t xml:space="preserve"> THz) upward, so an add always lands at the top of</w:t>
      </w:r>
      <w:r>
        <w:t xml:space="preserve"> </w:t>
      </w:r>
      <w:r>
        <w:t xml:space="preserve">the comb. Each sweep point evaluates the certificate over 40 spectral positions</w:t>
      </w:r>
      <w:r>
        <w:t xml:space="preserve"> </w:t>
      </w:r>
      <w:r>
        <w:t xml:space="preserve">per fill level, across the route pool’s span-count classes weighted by route</w:t>
      </w:r>
      <w:r>
        <w:t xml:space="preserve"> </w:t>
      </w:r>
      <w:r>
        <w:t xml:space="preserve">multiplicity. A certificate selects the highest of five declared formats whose</w:t>
      </w:r>
      <w:r>
        <w:t xml:space="preserve"> </w:t>
      </w:r>
      <w:r>
        <w:t xml:space="preserve">required GSNR the twin’s estimate clears: QPSK, 8QAM, 16QAM, 32QAM and 64QAM at</w:t>
      </w:r>
      <w:r>
        <w:t xml:space="preserve"> </w:t>
      </w:r>
      <m:oMath>
        <m:r>
          <m:t>6.5</m:t>
        </m:r>
      </m:oMath>
      <w:r>
        <w:t xml:space="preserve">,</w:t>
      </w:r>
      <w:r>
        <w:t xml:space="preserve"> </w:t>
      </w:r>
      <m:oMath>
        <m:r>
          <m:t>9.0</m:t>
        </m:r>
      </m:oMath>
      <w:r>
        <w:t xml:space="preserve">,</w:t>
      </w:r>
      <w:r>
        <w:t xml:space="preserve"> </w:t>
      </w:r>
      <m:oMath>
        <m:r>
          <m:t>12.5</m:t>
        </m:r>
      </m:oMath>
      <w:r>
        <w:t xml:space="preserve">,</w:t>
      </w:r>
      <w:r>
        <w:t xml:space="preserve"> </w:t>
      </w:r>
      <m:oMath>
        <m:r>
          <m:t>16.0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19.0</m:t>
        </m:r>
      </m:oMath>
      <w:r>
        <w:t xml:space="preserve"> dB respectively (</w:t>
      </w:r>
      <m:oMath>
        <m:r>
          <m:t>32</m:t>
        </m:r>
      </m:oMath>
      <w:r>
        <w:t xml:space="preserve"> GBd, roughly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-overhead soft-decision FEC; declared values, no probabilistic shaping). The</w:t>
      </w:r>
      <w:r>
        <w:t xml:space="preserve"> </w:t>
      </w:r>
      <w:r>
        <w:t xml:space="preserve">capacity result of §</w:t>
      </w:r>
      <w:hyperlink w:anchor="sec:exposed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uses a rate-flexible transceiver instead:</w:t>
      </w:r>
      <w:r>
        <w:t xml:space="preserve"> </w:t>
      </w:r>
      <w:r>
        <w:t xml:space="preserve">spectral efficiency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/</m:t>
        </m:r>
        <m:r>
          <m:rPr>
            <m:sty m:val="p"/>
          </m:rPr>
          <m:t>Γ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per polarisation with a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r>
          <m:t>1</m:t>
        </m:r>
      </m:oMath>
      <w:r>
        <w:t xml:space="preserve"> dB gap for FEC and implementation.</w:t>
      </w:r>
    </w:p>
    <w:bookmarkStart w:id="10" w:name="tab:subst"/>
    <w:p>
      <w:pPr>
        <w:pStyle w:val="TableCaption"/>
      </w:pPr>
      <w:r>
        <w:t xml:space="preserve">Substrate parameters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Substrate parameters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CORONET-CONUS (75 nodes; routes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2500</m:t>
              </m:r>
            </m:oMath>
            <w:r>
              <w:t xml:space="preserve"> km, 2–31 spans)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SSMF, 0.2 dB/km,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t xml:space="preserve"> ps/nm/km, 80 km spans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EDFA, NF 6 dB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power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 dBm per channel, flat (not re-optimised per fill)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32 GBd on 50 GHz, C-band of 76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GNPy GN model (analytic NLI)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Deployed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sampled from SNDlib janos-us-ca per-link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Estimator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0.3 dB monitoring; 0.5 dB RMSE in §</w:t>
            </w:r>
            <w:hyperlink w:anchor="sec:exposed">
              <w:r>
                <w:rPr>
                  <w:rStyle w:val="Hyperlink"/>
                </w:rPr>
                <w:t xml:space="preserve">3.2</w:t>
              </w:r>
            </w:hyperlink>
          </w:p>
        </w:tc>
      </w:tr>
    </w:tbl>
    <w:bookmarkEnd w:id="10"/>
    <w:p>
      <w:pPr>
        <w:pStyle w:val="BodyText"/>
      </w:pPr>
      <w:r>
        <w:rPr>
          <w:b/>
          <w:bCs/>
        </w:rPr>
        <w:t xml:space="preserve">Certificate, consumer, witness.</w:t>
      </w:r>
      <w:r>
        <w:t xml:space="preserve"> </w:t>
      </w:r>
      <w:r>
        <w:t xml:space="preserve">A certificate selects the highest format</w:t>
      </w:r>
      <w:r>
        <w:t xml:space="preserve"> </w:t>
      </w:r>
      <w:r>
        <w:t xml:space="preserve">whose required GSNR the twin’s estimate clears. The consumer is that decision. The</w:t>
      </w:r>
      <w:r>
        <w:t xml:space="preserve"> </w:t>
      </w:r>
      <w:r>
        <w:t xml:space="preserve">witness is the true deployed GSNR, in practice the receiver’s pre-FEC BER. For the</w:t>
      </w:r>
      <w:r>
        <w:t xml:space="preserve"> </w:t>
      </w:r>
      <w:r>
        <w:t xml:space="preserve">surrogate study the features are the synced GSNR plus spectral position, reach and</w:t>
      </w:r>
      <w:r>
        <w:t xml:space="preserve"> </w:t>
      </w:r>
      <w:r>
        <w:t xml:space="preserve">fill, the label carries an irreducible term for unmeasured network state, and two</w:t>
      </w:r>
      <w:r>
        <w:t xml:space="preserve"> </w:t>
      </w:r>
      <w:r>
        <w:t xml:space="preserve">gradient-boosted objectives compete: average-error (squared loss) and</w:t>
      </w:r>
      <w:r>
        <w:t xml:space="preserve"> </w:t>
      </w:r>
      <w:r>
        <w:t xml:space="preserve">decision-aware (a conservative quantile loss). Bars and manipulation checks are</w:t>
      </w:r>
      <w:r>
        <w:t xml:space="preserve"> </w:t>
      </w:r>
      <w:r>
        <w:t xml:space="preserve">pre-registered. The sealed record is content-hashed and graded on seeds disjoint</w:t>
      </w:r>
      <w:r>
        <w:t xml:space="preserve"> </w:t>
      </w:r>
      <w:r>
        <w:t xml:space="preserve">from those used during design </w:t>
      </w:r>
      <w:r>
        <w:t xml:space="preserve">.</w:t>
      </w:r>
    </w:p>
    <w:bookmarkEnd w:id="11"/>
    <w:bookmarkStart w:id="23" w:name="results"/>
    <w:p>
      <w:pPr>
        <w:pStyle w:val="Heading1"/>
      </w:pPr>
      <w:r>
        <w:t xml:space="preserve">Results</w:t>
      </w:r>
    </w:p>
    <w:bookmarkStart w:id="12" w:name="the-freshness-budget"/>
    <w:p>
      <w:pPr>
        <w:pStyle w:val="Heading2"/>
      </w:pPr>
      <w:r>
        <w:t xml:space="preserve">The freshness budget</w:t>
      </w:r>
    </w:p>
    <w:p>
      <w:pPr>
        <w:pStyle w:val="FirstParagraph"/>
      </w:pPr>
      <w:r>
        <w:t xml:space="preserve">The risk of a stale twin is driven by the fill added since its last sync. Sweeping</w:t>
      </w:r>
      <w:r>
        <w:t xml:space="preserve"> </w:t>
      </w:r>
      <w:r>
        <w:t xml:space="preserve">the deployed band from 6 to 76 channels while the twin’s view stays at the sync</w:t>
      </w:r>
      <w:r>
        <w:t xml:space="preserve"> </w:t>
      </w:r>
      <w:r>
        <w:t xml:space="preserve">point gives the failure curve directly, and we report the curve rather than a fit.</w:t>
      </w:r>
      <w:r>
        <w:t xml:space="preserve"> </w:t>
      </w:r>
      <w:r>
        <w:t xml:space="preserve">The false-clear rate is zero through the first four added channels, crosses a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risk target at</w:t>
      </w:r>
      <w:r>
        <w:t xml:space="preserve"> </w:t>
      </w:r>
      <m:oMath>
        <m:r>
          <m:t>8.1</m:t>
        </m:r>
      </m:oMath>
      <w:r>
        <w:t xml:space="preserve"> </w:t>
      </w:r>
      <w:r>
        <w:t xml:space="preserve">adds (interpolated between measured points), reaches</w:t>
      </w:r>
      <w:r>
        <w:t xml:space="preserve"> </w:t>
      </w:r>
      <w:r>
        <w:t xml:space="preserve">about</w:t>
      </w:r>
      <w:r>
        <w:t xml:space="preserve"> </w:t>
      </w:r>
      <m:oMath>
        <m:r>
          <m:t>0.21</m:t>
        </m:r>
      </m:oMath>
      <w:r>
        <w:t xml:space="preserve"> </w:t>
      </w:r>
      <w:r>
        <w:t xml:space="preserve">by eighteen adds, and saturates near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as the band fills. An</w:t>
      </w:r>
      <w:r>
        <w:t xml:space="preserve"> </w:t>
      </w:r>
      <w:r>
        <w:t xml:space="preserve">earlier draft summarised this as a linear law; the curve’s flat onset and its</w:t>
      </w:r>
      <w:r>
        <w:t xml:space="preserve"> </w:t>
      </w:r>
      <w:r>
        <w:t xml:space="preserve">saturation make that the wrong summary, and review caught it. The measurement</w:t>
      </w:r>
      <w:r>
        <w:t xml:space="preserve"> </w:t>
      </w:r>
      <w:r>
        <w:t xml:space="preserve">stands as a curve, and the budget is its crossing: about eight added channels at</w:t>
      </w:r>
      <w:r>
        <w:t xml:space="preserve"> </w:t>
      </w:r>
      <w:r>
        <w:t xml:space="preserve">a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risk target. The rule is concrete. Re-sync the twin, or re-certify the</w:t>
      </w:r>
      <w:r>
        <w:t xml:space="preserve"> </w:t>
      </w:r>
      <w:r>
        <w:t xml:space="preserve">affected services, before the band around them grows by about eight channels,</w:t>
      </w:r>
      <w:r>
        <w:t xml:space="preserve"> </w:t>
      </w:r>
      <w:r>
        <w:t xml:space="preserve">rather than on a fixed calendar. Given an arrival rate the budget converts to</w:t>
      </w:r>
      <w:r>
        <w:t xml:space="preserve"> </w:t>
      </w:r>
      <w:r>
        <w:t xml:space="preserve">time. A band taking one add per week can hold a sync for about two months. A busy</w:t>
      </w:r>
      <w:r>
        <w:t xml:space="preserve"> </w:t>
      </w:r>
      <w:r>
        <w:t xml:space="preserve">one taking one add per day must sync roughly weekly.</w:t>
      </w:r>
    </w:p>
    <w:bookmarkEnd w:id="12"/>
    <w:bookmarkStart w:id="17" w:name="sec:exposed"/>
    <w:p>
      <w:pPr>
        <w:pStyle w:val="Heading2"/>
      </w:pPr>
      <w:r>
        <w:t xml:space="preserve">Who is exposed when the twin is stale</w:t>
      </w:r>
    </w:p>
    <w:p>
      <w:pPr>
        <w:pStyle w:val="FirstParagraph"/>
      </w:pPr>
      <w:r>
        <w:t xml:space="preserve">Staleness does not spread its damage evenly. A lightpath’s GSNR drops as neighbours</w:t>
      </w:r>
      <w:r>
        <w:t xml:space="preserve"> </w:t>
      </w:r>
      <w:r>
        <w:t xml:space="preserve">arrive, and whether it crosses a format threshold depends on where it sits:</w:t>
      </w:r>
      <w:r>
        <w:t xml:space="preserve"> </w:t>
      </w:r>
      <w:r>
        <w:t xml:space="preserve">false-clears concentrate on services whose spectral position and reach leave their</w:t>
      </w:r>
      <w:r>
        <w:t xml:space="preserve"> </w:t>
      </w:r>
      <w:r>
        <w:t xml:space="preserve">GSNR near a boundary, and are absent elsewhere (Fig. </w:t>
      </w:r>
      <w:hyperlink w:anchor="fig:fc">
        <w:r>
          <w:rPr>
            <w:rStyle w:val="Hyperlink"/>
          </w:rPr>
          <w:t xml:space="preserve">1</w:t>
        </w:r>
      </w:hyperlink>
      <w:r>
        <w:t xml:space="preserve">). So a single</w:t>
      </w:r>
      <w:r>
        <w:t xml:space="preserve"> </w:t>
      </w:r>
      <w:r>
        <w:t xml:space="preserve">blanket margin cannot protect the fleet efficiently. We price this against today’s</w:t>
      </w:r>
      <w:r>
        <w:t xml:space="preserve"> </w:t>
      </w:r>
      <w:r>
        <w:t xml:space="preserve">practice of one uniform system margin, with fill statistics grounded on public</w:t>
      </w:r>
      <w:r>
        <w:t xml:space="preserve"> </w:t>
      </w:r>
      <w:r>
        <w:t xml:space="preserve">demand data. Routing the 1482 demands of the SNDlib janos-us-ca reference</w:t>
      </w:r>
      <w:r>
        <w:t xml:space="preserve"> </w:t>
      </w:r>
      <w:r>
        <w:t xml:space="preserve">matrix </w:t>
      </w:r>
      <w:r>
        <w:t xml:space="preserve"> </w:t>
      </w:r>
      <w:r>
        <w:t xml:space="preserve">(39 nodes, 61 undirected links) gives a per-link</w:t>
      </w:r>
      <w:r>
        <w:t xml:space="preserve"> </w:t>
      </w:r>
      <w:r>
        <w:t xml:space="preserve">channel-fill distribution with median 10 and 90th percentile 35 of 76; each</w:t>
      </w:r>
      <w:r>
        <w:t xml:space="preserve"> </w:t>
      </w:r>
      <w:r>
        <w:t xml:space="preserve">CORONET lightpath’s deployed fill is then sampled independently from that</w:t>
      </w:r>
      <w:r>
        <w:t xml:space="preserve"> </w:t>
      </w:r>
      <w:r>
        <w:t xml:space="preserve">marginal distribution. The demand data grounds the fill statistics, not a routed</w:t>
      </w:r>
      <w:r>
        <w:t xml:space="preserve"> </w:t>
      </w:r>
      <w:r>
        <w:t xml:space="preserve">traffic snapshot: correlations between links along a route are not carried over.</w:t>
      </w:r>
      <w:r>
        <w:t xml:space="preserve"> </w:t>
      </w:r>
      <w:r>
        <w:t xml:space="preserve">What matters for the comparison is the heavy tail, which is exactly what a</w:t>
      </w:r>
      <w:r>
        <w:t xml:space="preserve"> </w:t>
      </w:r>
      <w:r>
        <w:t xml:space="preserve">marginal preserves: a uniform margin sized for the few near-full links</w:t>
      </w:r>
      <w:r>
        <w:t xml:space="preserve"> </w:t>
      </w:r>
      <w:r>
        <w:t xml:space="preserve">over-provisions the lightly filled majority. Giving both</w:t>
      </w:r>
      <w:r>
        <w:t xml:space="preserve"> </w:t>
      </w:r>
      <w:r>
        <w:t xml:space="preserve">policies the same estimator uncertainty of</w:t>
      </w:r>
      <w:r>
        <w:t xml:space="preserve"> </w:t>
      </w:r>
      <m:oMath>
        <m:r>
          <m:t>0.5</m:t>
        </m:r>
      </m:oMath>
      <w:r>
        <w:t xml:space="preserve"> dB RMSE, a twin that sizes each</w:t>
      </w:r>
      <w:r>
        <w:t xml:space="preserve"> </w:t>
      </w:r>
      <w:r>
        <w:t xml:space="preserve">margin to the lightpath’s own fill recovers about</w:t>
      </w:r>
      <w:r>
        <w:t xml:space="preserve"> </w:t>
      </w:r>
      <m:oMath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t xml:space="preserve">of spectral efficiency, near</w:t>
      </w:r>
      <w:r>
        <w:t xml:space="preserve"> </w:t>
      </w:r>
      <m:oMath>
        <m:r>
          <m:t>0.33</m:t>
        </m:r>
      </m:oMath>
      <w:r>
        <w:t xml:space="preserve"> b/sym or</w:t>
      </w:r>
      <w:r>
        <w:t xml:space="preserve"> </w:t>
      </w:r>
      <m:oMath>
        <m:r>
          <m:t>21</m:t>
        </m:r>
      </m:oMath>
      <w:r>
        <w:t xml:space="preserve"> Gb/s per channel, at matched safety (false-clear at most</w:t>
      </w:r>
      <w:r>
        <w:t xml:space="preserve"> </w:t>
      </w:r>
      <m:oMath>
        <m:r>
          <m:t>0.01</m:t>
        </m:r>
      </m:oMath>
      <w:r>
        <w:t xml:space="preserve">) on a rate-flexible transceiver model. The gain is capacity the uniform</w:t>
      </w:r>
      <w:r>
        <w:t xml:space="preserve"> </w:t>
      </w:r>
      <w:r>
        <w:t xml:space="preserve">margin strands on links that never fill.</w:t>
      </w:r>
    </w:p>
    <w:bookmarkStart w:id="16" w:name="fig:fc"/>
    <w:p>
      <w:pPr>
        <w:pStyle w:val="CaptionedFigure"/>
      </w:pPr>
      <w:r>
        <w:drawing>
          <wp:inline>
            <wp:extent cx="5334000" cy="22098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c_footprin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Where a stale twin fails (GNPy over CORONET-CONUS). Per-service</w:t>
      </w:r>
      <w:r>
        <w:t xml:space="preserve"> </w:t>
      </w:r>
      <w:r>
        <w:t xml:space="preserve">false-clear over spectral position and reach concentrates on threshold-adjacent</w:t>
      </w:r>
      <w:r>
        <w:t xml:space="preserve"> </w:t>
      </w:r>
      <w:r>
        <w:t xml:space="preserve">services. A per-lightpath view removes it. Marker shape distinguishes classes.</w:t>
      </w:r>
    </w:p>
    <w:bookmarkEnd w:id="16"/>
    <w:bookmarkEnd w:id="17"/>
    <w:bookmarkStart w:id="22" w:name="Xf6dbd67ee9b92e53630c304575267b6f0cc00c0"/>
    <w:p>
      <w:pPr>
        <w:pStyle w:val="Heading2"/>
      </w:pPr>
      <w:r>
        <w:t xml:space="preserve">The learned surrogate fails at the threshold</w:t>
      </w:r>
    </w:p>
    <w:p>
      <w:pPr>
        <w:pStyle w:val="FirstParagraph"/>
      </w:pPr>
      <w:r>
        <w:t xml:space="preserve">Many twins replace the physics model with a learned surrogate for speed. How that</w:t>
      </w:r>
      <w:r>
        <w:t xml:space="preserve"> </w:t>
      </w:r>
      <w:r>
        <w:t xml:space="preserve">surrogate is trained matters more than how accurate it is on average.</w:t>
      </w:r>
      <w:r>
        <w:t xml:space="preserve"> </w:t>
      </w:r>
      <w:r>
        <w:t xml:space="preserve">Uncertainty-aware and quantile QoT models are established </w:t>
      </w:r>
      <w:r>
        <w:t xml:space="preserve">; what</w:t>
      </w:r>
      <w:r>
        <w:t xml:space="preserve"> </w:t>
      </w:r>
      <w:r>
        <w:t xml:space="preserve">has not been measured is the price of ignoring them at the decision boundary. Under</w:t>
      </w:r>
      <w:r>
        <w:t xml:space="preserve"> </w:t>
      </w:r>
      <w:r>
        <w:t xml:space="preserve">irreducible prediction uncertainty the average-error surrogate wins the metric it</w:t>
      </w:r>
      <w:r>
        <w:t xml:space="preserve"> </w:t>
      </w:r>
      <w:r>
        <w:t xml:space="preserve">was trained on and loses the one the twin exists for. Its MAE is</w:t>
      </w:r>
      <w:r>
        <w:t xml:space="preserve"> </w:t>
      </w:r>
      <m:oMath>
        <m:r>
          <m:t>0.65</m:t>
        </m:r>
      </m:oMath>
      <w:r>
        <w:t xml:space="preserve"> dB against</w:t>
      </w:r>
      <w:r>
        <w:t xml:space="preserve"> </w:t>
      </w:r>
      <m:oMath>
        <m:r>
          <m:t>0.95</m:t>
        </m:r>
      </m:oMath>
      <w:r>
        <w:t xml:space="preserve"> dB for the quantile objective, yet its false-clear rate is about</w:t>
      </w:r>
      <w:r>
        <w:t xml:space="preserve"> </w:t>
      </w:r>
      <m:oMath>
        <m:r>
          <m:t>0.041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0.008</m:t>
        </m:r>
      </m:oMath>
      <w:r>
        <w:t xml:space="preserve">, five times higher, at comparable delivered spectral efficiency near</w:t>
      </w:r>
      <w:r>
        <w:t xml:space="preserve"> </w:t>
      </w:r>
      <m:oMath>
        <m:r>
          <m:t>3.9</m:t>
        </m:r>
      </m:oMath>
      <w:r>
        <w:t xml:space="preserve"> bits/symbol (Fig. </w:t>
      </w:r>
      <w:hyperlink w:anchor="fig:ml">
        <w:r>
          <w:rPr>
            <w:rStyle w:val="Hyperlink"/>
          </w:rPr>
          <w:t xml:space="preserve">2</w:t>
        </w:r>
      </w:hyperlink>
      <w:r>
        <w:t xml:space="preserve">a). The failures sit where the true GSNR lies</w:t>
      </w:r>
      <w:r>
        <w:t xml:space="preserve"> </w:t>
      </w:r>
      <w:r>
        <w:t xml:space="preserve">within about a decibel below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format’s threshold</w:t>
      </w:r>
      <w:r>
        <w:t xml:space="preserve"> </w:t>
      </w:r>
      <w:r>
        <w:t xml:space="preserve">(Fig. </w:t>
      </w:r>
      <w:hyperlink w:anchor="fig:ml">
        <w:r>
          <w:rPr>
            <w:rStyle w:val="Hyperlink"/>
          </w:rPr>
          <w:t xml:space="preserve">2</w:t>
        </w:r>
      </w:hyperlink>
      <w:r>
        <w:t xml:space="preserve">b): there a small upward prediction error clears one format too</w:t>
      </w:r>
      <w:r>
        <w:t xml:space="preserve"> </w:t>
      </w:r>
      <w:r>
        <w:t xml:space="preserve">high, and nowhere else can it. That is the cliff, and a symmetric error metric is</w:t>
      </w:r>
      <w:r>
        <w:t xml:space="preserve"> </w:t>
      </w:r>
      <w:r>
        <w:t xml:space="preserve">blind there. A uniform backoff is the fair baseline and we report it: on the sealed</w:t>
      </w:r>
      <w:r>
        <w:t xml:space="preserve"> </w:t>
      </w:r>
      <w:r>
        <w:t xml:space="preserve">per-prediction records, backing the average-error surrogate off by a further</w:t>
      </w:r>
      <w:r>
        <w:t xml:space="preserve"> </w:t>
      </w:r>
      <m:oMath>
        <m:r>
          <m:t>0.85</m:t>
        </m:r>
      </m:oMath>
      <w:r>
        <w:t xml:space="preserve"> dB matches the quantile model’s false-clear at the same delivered bits. But</w:t>
      </w:r>
      <w:r>
        <w:t xml:space="preserve"> </w:t>
      </w:r>
      <w:r>
        <w:t xml:space="preserve">that</w:t>
      </w:r>
      <w:r>
        <w:t xml:space="preserve"> </w:t>
      </w:r>
      <m:oMath>
        <m:r>
          <m:t>0.85</m:t>
        </m:r>
      </m:oMath>
      <w:r>
        <w:t xml:space="preserve"> dB is found by tuning against witnessed outcomes after the fact; the</w:t>
      </w:r>
      <w:r>
        <w:t xml:space="preserve"> </w:t>
      </w:r>
      <w:r>
        <w:t xml:space="preserve">quantile objective reaches the same operating point from its training loss alone,</w:t>
      </w:r>
      <w:r>
        <w:t xml:space="preserve"> </w:t>
      </w:r>
      <w:r>
        <w:t xml:space="preserve">with no post-hoc knob, and the machinery to do so already</w:t>
      </w:r>
      <w:r>
        <w:t xml:space="preserve"> </w:t>
      </w:r>
      <w:r>
        <w:t xml:space="preserve">exists </w:t>
      </w:r>
      <w:r>
        <w:t xml:space="preserve">.</w:t>
      </w:r>
    </w:p>
    <w:bookmarkStart w:id="21" w:name="fig:ml"/>
    <w:p>
      <w:pPr>
        <w:pStyle w:val="CaptionedFigure"/>
      </w:pPr>
      <w:r>
        <w:drawing>
          <wp:inline>
            <wp:extent cx="5334000" cy="2209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l_cliff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surrogate objectives, two metrics (GNPy, gradient-boosted</w:t>
      </w:r>
      <w:r>
        <w:t xml:space="preserve"> </w:t>
      </w:r>
      <w:r>
        <w:t xml:space="preserve">regressors). (a) The average-error objective has lower MAE and higher false-clear</w:t>
      </w:r>
      <w:r>
        <w:t xml:space="preserve"> </w:t>
      </w:r>
      <w:r>
        <w:t xml:space="preserve">than the quantile objective. (b) Its false-clears concentrate where the true GSNR</w:t>
      </w:r>
      <w:r>
        <w:t xml:space="preserve"> </w:t>
      </w:r>
      <w:r>
        <w:t xml:space="preserve">sits within a decibel below the next format threshold; services already clearing</w:t>
      </w:r>
      <w:r>
        <w:t xml:space="preserve"> </w:t>
      </w:r>
      <w:r>
        <w:t xml:space="preserve">the top format cannot false-clear and are excluded. Marker shape distinguishes</w:t>
      </w:r>
      <w:r>
        <w:t xml:space="preserve"> </w:t>
      </w:r>
      <w:r>
        <w:t xml:space="preserve">objectives.</w:t>
      </w:r>
    </w:p>
    <w:bookmarkEnd w:id="21"/>
    <w:bookmarkEnd w:id="22"/>
    <w:bookmarkEnd w:id="23"/>
    <w:bookmarkStart w:id="24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Optical digital twins are an active area, from GNPy-based twins fed by network</w:t>
      </w:r>
      <w:r>
        <w:t xml:space="preserve"> </w:t>
      </w:r>
      <w:r>
        <w:t xml:space="preserve">telemetry </w:t>
      </w:r>
      <w:r>
        <w:t xml:space="preserve"> </w:t>
      </w:r>
      <w:r>
        <w:t xml:space="preserve">to calibration against field data; that work builds and</w:t>
      </w:r>
      <w:r>
        <w:t xml:space="preserve"> </w:t>
      </w:r>
      <w:r>
        <w:t xml:space="preserve">tunes the twin, and does not quantify how stale it can afford to be. Margin erosion</w:t>
      </w:r>
      <w:r>
        <w:t xml:space="preserve"> </w:t>
      </w:r>
      <w:r>
        <w:t xml:space="preserve">under channel add is known qualitatively, and impairment-aware provisioning</w:t>
      </w:r>
      <w:r>
        <w:t xml:space="preserve"> </w:t>
      </w:r>
      <w:r>
        <w:t xml:space="preserve">accounts for it at setup time </w:t>
      </w:r>
      <w:r>
        <w:t xml:space="preserve">; our contribution is the measured</w:t>
      </w:r>
      <w:r>
        <w:t xml:space="preserve"> </w:t>
      </w:r>
      <w:r>
        <w:t xml:space="preserve">staleness law and the budget it implies for the twin that persists after setup.</w:t>
      </w:r>
      <w:r>
        <w:t xml:space="preserve"> </w:t>
      </w:r>
      <w:r>
        <w:t xml:space="preserve">Uncertainty-aware ML-QoT, including quantile models, is</w:t>
      </w:r>
      <w:r>
        <w:t xml:space="preserve"> </w:t>
      </w:r>
      <w:r>
        <w:t xml:space="preserve">established </w:t>
      </w:r>
      <w:r>
        <w:t xml:space="preserve">; we credit it as the correction for the</w:t>
      </w:r>
      <w:r>
        <w:t xml:space="preserve"> </w:t>
      </w:r>
      <w:r>
        <w:t xml:space="preserve">surrogate result and add the measured cliff dissociation that motivates it. We do</w:t>
      </w:r>
      <w:r>
        <w:t xml:space="preserve"> </w:t>
      </w:r>
      <w:r>
        <w:t xml:space="preserve">not offer a better twin, estimator or allocator. We offer the freshness budget, the</w:t>
      </w:r>
      <w:r>
        <w:t xml:space="preserve"> </w:t>
      </w:r>
      <w:r>
        <w:t xml:space="preserve">exposure map, and the price of the wrong training objective.</w:t>
      </w:r>
    </w:p>
    <w:bookmarkEnd w:id="24"/>
    <w:bookmarkStart w:id="2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A digital twin is a certificate factory, and certificates age. The freshness budget</w:t>
      </w:r>
      <w:r>
        <w:t xml:space="preserve"> </w:t>
      </w:r>
      <w:r>
        <w:t xml:space="preserve">turns twin synchronization from a judgment call into a provisioned quantity:</w:t>
      </w:r>
      <w:r>
        <w:t xml:space="preserve"> </w:t>
      </w:r>
      <w:r>
        <w:t xml:space="preserve">re-sync within eight adds to a service’s band at a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risk target, protect the</w:t>
      </w:r>
      <w:r>
        <w:t xml:space="preserve"> </w:t>
      </w:r>
      <w:r>
        <w:t xml:space="preserve">threshold-adjacent services first, and train surrogates on the decision rather than</w:t>
      </w:r>
      <w:r>
        <w:t xml:space="preserve"> </w:t>
      </w:r>
      <w:r>
        <w:t xml:space="preserve">the average. The evidence stands on the GN model with public demand data, and its</w:t>
      </w:r>
      <w:r>
        <w:t xml:space="preserve"> </w:t>
      </w:r>
      <w:r>
        <w:t xml:space="preserve">limits are worth stating. Launch power is flat at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 dBm and not re-optimised as</w:t>
      </w:r>
      <w:r>
        <w:t xml:space="preserve"> </w:t>
      </w:r>
      <w:r>
        <w:t xml:space="preserve">the band fills, ROADM filtering penalties are not modelled, and the witness is the</w:t>
      </w:r>
      <w:r>
        <w:t xml:space="preserve"> </w:t>
      </w:r>
      <w:r>
        <w:t xml:space="preserve">GN-model GSNR rather than a receiver’s pre-FEC BER. These effects do not all push</w:t>
      </w:r>
      <w:r>
        <w:t xml:space="preserve"> </w:t>
      </w:r>
      <w:r>
        <w:t xml:space="preserve">the budget the same way: re-optimising launch power as the band fills would offset</w:t>
      </w:r>
      <w:r>
        <w:t xml:space="preserve"> </w:t>
      </w:r>
      <w:r>
        <w:t xml:space="preserve">part of the drop the twin misses, while filtering penalties would add to it. The</w:t>
      </w:r>
      <w:r>
        <w:t xml:space="preserve"> </w:t>
      </w:r>
      <w:r>
        <w:t xml:space="preserve">budget should be re-measured, not extrapolated, and a coherent-receiver witness on</w:t>
      </w:r>
      <w:r>
        <w:t xml:space="preserve"> </w:t>
      </w:r>
      <w:r>
        <w:t xml:space="preserve">a testbed twin is the natural next step. In companion sealed experiments, two</w:t>
      </w:r>
      <w:r>
        <w:t xml:space="preserve"> </w:t>
      </w:r>
      <w:r>
        <w:t xml:space="preserve">margin policies with equal fleet budgets received opposite verdicts from two</w:t>
      </w:r>
      <w:r>
        <w:t xml:space="preserve"> </w:t>
      </w:r>
      <w:r>
        <w:t xml:space="preserve">service classes whose failures ride different axes of the network state (cells</w:t>
      </w:r>
      <w:r>
        <w:t xml:space="preserve"> </w:t>
      </w:r>
      <w:r>
        <w:t xml:space="preserve">XPROTO-QOT-FLIP and XPROTO-CSI-FLIP in the sealed</w:t>
      </w:r>
      <w:r>
        <w:t xml:space="preserve"> </w:t>
      </w:r>
      <w:r>
        <w:t xml:space="preserve">repository </w:t>
      </w:r>
      <w:r>
        <w:t xml:space="preserve">); a full treatment of that inversion is beyond this</w:t>
      </w:r>
      <w:r>
        <w:t xml:space="preserve"> </w:t>
      </w:r>
      <w:r>
        <w:t xml:space="preserve">paper’s scope and is reported separately. The same consumer-relative failure</w:t>
      </w:r>
      <w:r>
        <w:t xml:space="preserve"> </w:t>
      </w:r>
      <w:r>
        <w:t xml:space="preserve">appears in radio link adaptation and in database</w:t>
      </w:r>
      <w:r>
        <w:t xml:space="preserve"> </w:t>
      </w:r>
      <w:r>
        <w:t xml:space="preserve">replication </w:t>
      </w:r>
      <w:r>
        <w:t xml:space="preserve">. The results here stand on the optical QoT</w:t>
      </w:r>
      <w:r>
        <w:t xml:space="preserve"> </w:t>
      </w:r>
      <w:r>
        <w:t xml:space="preserve">certificate alone.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A. Ferrari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“GNPy: an open source application for</w:t>
      </w:r>
      <w:r>
        <w:t xml:space="preserve"> </w:t>
      </w:r>
      <w:r>
        <w:t xml:space="preserve">physical layer aware open optical networks,”</w:t>
      </w:r>
      <w:r>
        <w:t xml:space="preserve"> </w:t>
      </w:r>
      <w:r>
        <w:t xml:space="preserve">J. Opt. Commun. Netw. </w:t>
      </w:r>
      <w:r>
        <w:rPr>
          <w:b/>
          <w:bCs/>
        </w:rPr>
        <w:t xml:space="preserve">12</w:t>
      </w:r>
      <w:r>
        <w:t xml:space="preserve">,</w:t>
      </w:r>
      <w:r>
        <w:t xml:space="preserve"> </w:t>
      </w:r>
      <w:r>
        <w:t xml:space="preserve">C31–C40 (2020).</w:t>
      </w:r>
      <w:r>
        <w:t xml:space="preserve"> </w:t>
      </w:r>
      <w:r>
        <w:t xml:space="preserve">S. Shen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“End-to-end QoT predictions enhanced by</w:t>
      </w:r>
      <w:r>
        <w:t xml:space="preserve"> </w:t>
      </w:r>
      <w:r>
        <w:t xml:space="preserve">GNPy-based digital twin with network telemetry,”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OFC</w:t>
      </w:r>
      <w:r>
        <w:t xml:space="preserve">, Th2A.16</w:t>
      </w:r>
      <w:r>
        <w:t xml:space="preserve"> </w:t>
      </w:r>
      <w:r>
        <w:t xml:space="preserve">(2024).</w:t>
      </w:r>
      <w:r>
        <w:t xml:space="preserve"> </w:t>
      </w:r>
      <w:r>
        <w:t xml:space="preserve">H. Maryam, T. Panayiotou, and G. Ellinas,</w:t>
      </w:r>
      <w:r>
        <w:t xml:space="preserve"> </w:t>
      </w:r>
      <w:r>
        <w:t xml:space="preserve">“Learning</w:t>
      </w:r>
      <w:r>
        <w:t xml:space="preserve"> </w:t>
      </w:r>
      <w:r>
        <w:t xml:space="preserve">quantile QoT models to address uncertainty over unseen lightpaths,”</w:t>
      </w:r>
      <w:r>
        <w:t xml:space="preserve"> </w:t>
      </w:r>
      <w:r>
        <w:t xml:space="preserve">Comput. Netw. </w:t>
      </w:r>
      <w:r>
        <w:rPr>
          <w:b/>
          <w:bCs/>
        </w:rPr>
        <w:t xml:space="preserve">212</w:t>
      </w:r>
      <w:r>
        <w:t xml:space="preserve">, art. 108992 (2022).</w:t>
      </w:r>
      <w:r>
        <w:t xml:space="preserve"> </w:t>
      </w:r>
      <w:r>
        <w:t xml:space="preserve">C. Rottondi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“Machine-learning method for quality of</w:t>
      </w:r>
      <w:r>
        <w:t xml:space="preserve"> </w:t>
      </w:r>
      <w:r>
        <w:t xml:space="preserve">transmission prediction of unestablished lightpaths,”</w:t>
      </w:r>
      <w:r>
        <w:t xml:space="preserve"> </w:t>
      </w:r>
      <w:r>
        <w:t xml:space="preserve">J. Opt. Commun. Netw. </w:t>
      </w:r>
      <w:r>
        <w:rPr>
          <w:b/>
          <w:bCs/>
        </w:rPr>
        <w:t xml:space="preserve">10</w:t>
      </w:r>
      <w:r>
        <w:t xml:space="preserve">, A286–A297 (2018).</w:t>
      </w:r>
      <w:r>
        <w:t xml:space="preserve"> </w:t>
      </w:r>
      <w:r>
        <w:t xml:space="preserve">Y. Pointurier,</w:t>
      </w:r>
      <w:r>
        <w:t xml:space="preserve"> </w:t>
      </w:r>
      <w:r>
        <w:t xml:space="preserve">“Design of low-margin optical networks,”</w:t>
      </w:r>
      <w:r>
        <w:t xml:space="preserve"> </w:t>
      </w:r>
      <w:r>
        <w:t xml:space="preserve">J. Opt. Commun. Netw. </w:t>
      </w:r>
      <w:r>
        <w:rPr>
          <w:b/>
          <w:bCs/>
        </w:rPr>
        <w:t xml:space="preserve">9</w:t>
      </w:r>
      <w:r>
        <w:t xml:space="preserve">, A9–A17 (2017).</w:t>
      </w:r>
      <w:r>
        <w:t xml:space="preserve"> </w:t>
      </w:r>
      <w:r>
        <w:t xml:space="preserve">S. Orlowski, R. Wessäly, M. Pióro, and A. Tomaszewski,</w:t>
      </w:r>
      <w:r>
        <w:t xml:space="preserve"> </w:t>
      </w:r>
      <w:r>
        <w:t xml:space="preserve">“SNDlib 1.0—Survivable Network Design Library,”</w:t>
      </w:r>
      <w:r>
        <w:t xml:space="preserve"> </w:t>
      </w:r>
      <w:r>
        <w:t xml:space="preserve">Networks</w:t>
      </w:r>
      <w:r>
        <w:t xml:space="preserve"> </w:t>
      </w:r>
      <w:r>
        <w:rPr>
          <w:b/>
          <w:bCs/>
        </w:rPr>
        <w:t xml:space="preserve">55</w:t>
      </w:r>
      <w:r>
        <w:t xml:space="preserve">, 276–286</w:t>
      </w:r>
      <w:r>
        <w:t xml:space="preserve"> </w:t>
      </w:r>
      <w:r>
        <w:t xml:space="preserve">(2010).</w:t>
      </w:r>
      <w:r>
        <w:t xml:space="preserve"> </w:t>
      </w:r>
      <w:r>
        <w:t xml:space="preserve">A. H. Bond,</w:t>
      </w:r>
      <w:r>
        <w:t xml:space="preserve"> </w:t>
      </w:r>
      <w:r>
        <w:t xml:space="preserve">“Observation Theory: consumer-relative witnessed</w:t>
      </w:r>
      <w:r>
        <w:t xml:space="preserve"> </w:t>
      </w:r>
      <w:r>
        <w:t xml:space="preserve">certificates,”</w:t>
      </w:r>
      <w:r>
        <w:t xml:space="preserve"> </w:t>
      </w:r>
      <w:r>
        <w:t xml:space="preserve">sealed pre-registrations and code,</w:t>
      </w:r>
      <w:r>
        <w:t xml:space="preserve"> </w:t>
      </w:r>
      <w:hyperlink r:id="rId25">
        <w:r>
          <w:rPr>
            <w:rStyle w:val="Hyperlink"/>
          </w:rPr>
          <w:t xml:space="preserve">https://github.com/ahb-sjsu/observation-theory-campaigns</w:t>
        </w:r>
      </w:hyperlink>
      <w:r>
        <w:t xml:space="preserve"> </w:t>
      </w:r>
      <w:r>
        <w:t xml:space="preserve">(2026).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hyperlink" Id="rId25" Target="https://github.com/ahb-sjsu/observation-theory-campaig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hb-sjsu/observation-theory-campaig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Stale Can an Optical Digital Twin Be? A Measured Freshness Budget for QoT Decisions</dc:title>
  <dc:creator>Andrew H. Bond Department of Computer Engineering, San José State University, San José, CA 95192, USA andrew.bond@sjsu.edu</dc:creator>
  <cp:keywords/>
  <dcterms:created xsi:type="dcterms:W3CDTF">2026-08-26T20:56:21Z</dcterms:created>
  <dcterms:modified xsi:type="dcterms:W3CDTF">2026-08-26T20:56:21Z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