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How Stale Can an Optical Digital Twin Be?</w:t>
      </w:r>
      <w:r>
        <w:br/>
      </w:r>
      <w:r>
        <w:rPr>
          <w:b/>
          <w:bCs/>
        </w:rPr>
        <w:t xml:space="preserve">A Measured Freshness Budget for QoT Decisions</w:t>
      </w:r>
    </w:p>
    <w:p>
      <w:pPr>
        <w:pStyle w:val="Author"/>
      </w:pPr>
      <w:r>
        <w:t xml:space="preserve">Andrew H. Bond</w:t>
      </w:r>
      <w:r>
        <w:br/>
      </w:r>
      <w:r>
        <w:t xml:space="preserve">Department of Computer Engineering, San José State University, San José, CA 95192, USA</w:t>
      </w:r>
      <w:r>
        <w:br/>
      </w:r>
      <w:r>
        <w:t xml:space="preserve">andrew.bond@sjsu.edu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Digital twins of the optical physical layer are moving from research to</w:t>
      </w:r>
      <w:r>
        <w:t xml:space="preserve"> </w:t>
      </w:r>
      <w:r>
        <w:t xml:space="preserve">practice </w:t>
      </w:r>
      <w:r>
        <w:t xml:space="preserve">. A twin holds a QoT model of the deployed network, and</w:t>
      </w:r>
      <w:r>
        <w:t xml:space="preserve"> </w:t>
      </w:r>
      <w:r>
        <w:t xml:space="preserve">operators use it to answer provisioning questions: which format will this lightpath</w:t>
      </w:r>
      <w:r>
        <w:t xml:space="preserve"> </w:t>
      </w:r>
      <w:r>
        <w:t xml:space="preserve">sustain, how much margin does it need. The twin’s answer is only as good as its view</w:t>
      </w:r>
      <w:r>
        <w:t xml:space="preserve"> </w:t>
      </w:r>
      <w:r>
        <w:t xml:space="preserve">of the network, and the view goes stale. Between telemetry syncs, channels are added,</w:t>
      </w:r>
      <w:r>
        <w:t xml:space="preserve"> </w:t>
      </w:r>
      <w:r>
        <w:t xml:space="preserve">nonlinear interference grows, and the GSNR the twin believes is no longer the GSNR</w:t>
      </w:r>
      <w:r>
        <w:t xml:space="preserve"> </w:t>
      </w:r>
      <w:r>
        <w:t xml:space="preserve">the receiver sees. The question every deployment must answer is how often the twin</w:t>
      </w:r>
      <w:r>
        <w:t xml:space="preserve"> </w:t>
      </w:r>
      <w:r>
        <w:t xml:space="preserve">needs to sync. Today that answer is set by engineering judgment. This paper gives it</w:t>
      </w:r>
      <w:r>
        <w:t xml:space="preserve"> </w:t>
      </w:r>
      <w:r>
        <w:t xml:space="preserve">a measured number.</w:t>
      </w:r>
    </w:p>
    <w:p>
      <w:pPr>
        <w:pStyle w:val="BodyText"/>
      </w:pPr>
      <w:r>
        <w:t xml:space="preserve">We treat each twin decision as a certificate. The twin clears a format for a</w:t>
      </w:r>
      <w:r>
        <w:t xml:space="preserve"> </w:t>
      </w:r>
      <w:r>
        <w:t xml:space="preserve">lightpath, and the certificate fails when the deployed channel cannot support that</w:t>
      </w:r>
      <w:r>
        <w:t xml:space="preserve"> </w:t>
      </w:r>
      <w:r>
        <w:t xml:space="preserve">format. We call this failure a false-clear, and we measure its rate on the GN-model</w:t>
      </w:r>
      <w:r>
        <w:t xml:space="preserve"> </w:t>
      </w:r>
      <w:r>
        <w:t xml:space="preserve">physical layer of GNPy </w:t>
      </w:r>
      <w:r>
        <w:t xml:space="preserve"> </w:t>
      </w:r>
      <w:r>
        <w:t xml:space="preserve">over the CORONET-CONUS reference network, with</w:t>
      </w:r>
      <w:r>
        <w:t xml:space="preserve"> </w:t>
      </w:r>
      <w:r>
        <w:t xml:space="preserve">fill statistics drawn from a public demand matrix. Three results follow. The</w:t>
      </w:r>
      <w:r>
        <w:t xml:space="preserve"> </w:t>
      </w:r>
      <w:r>
        <w:t xml:space="preserve">freshness budget is a property of the band’s maturity, not a constant: a twin</w:t>
      </w:r>
      <w:r>
        <w:t xml:space="preserve"> </w:t>
      </w:r>
      <w:r>
        <w:t xml:space="preserve">synced on a sparse provisioning band shows no false-clears through four added</w:t>
      </w:r>
      <w:r>
        <w:t xml:space="preserve"> </w:t>
      </w:r>
      <w:r>
        <w:t xml:space="preserve">channels, stays within a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risk target through nine, and fails from the</w:t>
      </w:r>
      <w:r>
        <w:t xml:space="preserve"> </w:t>
      </w:r>
      <w:r>
        <w:t xml:space="preserve">tenth add onward, while a twin synced on a band of twenty or more channels</w:t>
      </w:r>
      <w:r>
        <w:t xml:space="preserve"> </w:t>
      </w:r>
      <w:r>
        <w:t xml:space="preserve">tolerates tens of adds, and at forty, the full C-band, without a single</w:t>
      </w:r>
      <w:r>
        <w:t xml:space="preserve"> </w:t>
      </w:r>
      <w:r>
        <w:t xml:space="preserve">false-clear. Which services are exposed when the twin is stale is set by</w:t>
      </w:r>
      <w:r>
        <w:t xml:space="preserve"> </w:t>
      </w:r>
      <w:r>
        <w:t xml:space="preserve">spectral position and reach, so a per-lightpath view recovers real capacity</w:t>
      </w:r>
      <w:r>
        <w:t xml:space="preserve"> </w:t>
      </w:r>
      <w:r>
        <w:t xml:space="preserve">over a uniform margin. And when the twin’s QoT model is a learned surrogate,</w:t>
      </w:r>
      <w:r>
        <w:t xml:space="preserve"> </w:t>
      </w:r>
      <w:r>
        <w:t xml:space="preserve">training it on average error leaves it blind exactly at the FEC threshold where</w:t>
      </w:r>
      <w:r>
        <w:t xml:space="preserve"> </w:t>
      </w:r>
      <w:r>
        <w:t xml:space="preserve">its decisions are made.</w:t>
      </w:r>
    </w:p>
    <w:bookmarkEnd w:id="9"/>
    <w:bookmarkStart w:id="11" w:name="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Substrate.</w:t>
      </w:r>
      <w:r>
        <w:t xml:space="preserve"> </w:t>
      </w:r>
      <w:r>
        <w:t xml:space="preserve">Lightpaths are transparent shortest-path routes of the</w:t>
      </w:r>
      <w:r>
        <w:t xml:space="preserve"> </w:t>
      </w:r>
      <w:r>
        <w:t xml:space="preserve">CORONET-CONUS reference topology; per-channel GSNR comes from the GN model in</w:t>
      </w:r>
      <w:r>
        <w:t xml:space="preserve"> </w:t>
      </w:r>
      <w:r>
        <w:t xml:space="preserve">GNPy </w:t>
      </w:r>
      <w:r>
        <w:t xml:space="preserve">. Table </w:t>
      </w:r>
      <w:hyperlink w:anchor="tab:subs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the parameters. The twin’s view is</w:t>
      </w:r>
      <w:r>
        <w:t xml:space="preserve"> </w:t>
      </w:r>
      <w:r>
        <w:t xml:space="preserve">the band as last synced. The staleness variable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channels</w:t>
      </w:r>
      <w:r>
        <w:t xml:space="preserve"> </w:t>
      </w:r>
      <w:r>
        <w:t xml:space="preserve">present in the C-band that co-propagates with the service along its own path (its</w:t>
      </w:r>
      <w:r>
        <w:t xml:space="preserve"> </w:t>
      </w:r>
      <w:r>
        <w:t xml:space="preserve">interference neighbourhood), and</w:t>
      </w:r>
      <w:r>
        <w:t xml:space="preserve"> </w:t>
      </w:r>
      <m:oMath>
        <m:r>
          <m:rPr>
            <m:sty m:val="p"/>
          </m:rPr>
          <m:t>Δ</m:t>
        </m:r>
        <m:r>
          <m:t>N</m:t>
        </m:r>
      </m:oMath>
      <w:r>
        <w:t xml:space="preserve"> </w:t>
      </w:r>
      <w:r>
        <w:t xml:space="preserve">counts the channels added to that band</w:t>
      </w:r>
      <w:r>
        <w:t xml:space="preserve"> </w:t>
      </w:r>
      <w:r>
        <w:t xml:space="preserve">since the sync.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runs from a lightly filled provisioning band of 6 to a full</w:t>
      </w:r>
      <w:r>
        <w:t xml:space="preserve"> </w:t>
      </w:r>
      <w:r>
        <w:t xml:space="preserve">grid of 76. The filling protocol is fixed and disclosed: the band fills as a</w:t>
      </w:r>
      <w:r>
        <w:t xml:space="preserve"> </w:t>
      </w:r>
      <w:r>
        <w:t xml:space="preserve">contiguous comb of 32 GBd channels on the 50 GHz grid, from the low-frequency</w:t>
      </w:r>
      <w:r>
        <w:t xml:space="preserve"> </w:t>
      </w:r>
      <w:r>
        <w:t xml:space="preserve">edge of the C-band (</w:t>
      </w:r>
      <m:oMath>
        <m:r>
          <m:t>191.35</m:t>
        </m:r>
      </m:oMath>
      <w:r>
        <w:t xml:space="preserve"> THz) upward, so an add always lands at the top of</w:t>
      </w:r>
      <w:r>
        <w:t xml:space="preserve"> </w:t>
      </w:r>
      <w:r>
        <w:t xml:space="preserve">the comb. Each sweep point evaluates the certificate over 40 spectral positions</w:t>
      </w:r>
      <w:r>
        <w:t xml:space="preserve"> </w:t>
      </w:r>
      <w:r>
        <w:t xml:space="preserve">per fill level, across the route pool’s span-count classes weighted by route</w:t>
      </w:r>
      <w:r>
        <w:t xml:space="preserve"> </w:t>
      </w:r>
      <w:r>
        <w:t xml:space="preserve">multiplicity; the sweep advances one channel at a time through the crossing</w:t>
      </w:r>
      <w:r>
        <w:t xml:space="preserve"> </w:t>
      </w:r>
      <w:r>
        <w:t xml:space="preserve">region and repeats with the twin synced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}</m:t>
        </m:r>
      </m:oMath>
      <w:r>
        <w:t xml:space="preserve"> </w:t>
      </w:r>
      <w:r>
        <w:t xml:space="preserve">channels. A</w:t>
      </w:r>
      <w:r>
        <w:t xml:space="preserve"> </w:t>
      </w:r>
      <w:r>
        <w:t xml:space="preserve">certificate selects the highest of five declared formats whose</w:t>
      </w:r>
      <w:r>
        <w:t xml:space="preserve"> </w:t>
      </w:r>
      <w:r>
        <w:t xml:space="preserve">required GSNR the twin’s estimate clears: QPSK, 8QAM, 16QAM, 32QAM and 64QAM at</w:t>
      </w:r>
      <w:r>
        <w:t xml:space="preserve"> </w:t>
      </w:r>
      <m:oMath>
        <m:r>
          <m:t>6.5</m:t>
        </m:r>
      </m:oMath>
      <w:r>
        <w:t xml:space="preserve">,</w:t>
      </w:r>
      <w:r>
        <w:t xml:space="preserve"> </w:t>
      </w:r>
      <m:oMath>
        <m:r>
          <m:t>9.0</m:t>
        </m:r>
      </m:oMath>
      <w:r>
        <w:t xml:space="preserve">,</w:t>
      </w:r>
      <w:r>
        <w:t xml:space="preserve"> </w:t>
      </w:r>
      <m:oMath>
        <m:r>
          <m:t>12.5</m:t>
        </m:r>
      </m:oMath>
      <w:r>
        <w:t xml:space="preserve">,</w:t>
      </w:r>
      <w:r>
        <w:t xml:space="preserve"> </w:t>
      </w:r>
      <m:oMath>
        <m:r>
          <m:t>16.0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19.0</m:t>
        </m:r>
      </m:oMath>
      <w:r>
        <w:t xml:space="preserve"> dB respectively (</w:t>
      </w:r>
      <m:oMath>
        <m:r>
          <m:t>32</m:t>
        </m:r>
      </m:oMath>
      <w:r>
        <w:t xml:space="preserve"> GBd, roughly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-overhead soft-decision FEC; declared values, no probabilistic shaping). The</w:t>
      </w:r>
      <w:r>
        <w:t xml:space="preserve"> </w:t>
      </w:r>
      <w:r>
        <w:t xml:space="preserve">capacity result of §</w:t>
      </w:r>
      <w:hyperlink w:anchor="sec:exposed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uses a rate-flexible transceiver instead:</w:t>
      </w:r>
      <w:r>
        <w:t xml:space="preserve"> </w:t>
      </w:r>
      <w:r>
        <w:t xml:space="preserve">spectral efficiency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R</m:t>
        </m:r>
        <m:r>
          <m:rPr>
            <m:sty m:val="p"/>
          </m:rPr>
          <m:t>/</m:t>
        </m:r>
        <m:r>
          <m:rPr>
            <m:sty m:val="p"/>
          </m:rPr>
          <m:t>Γ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per polarisation with a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=</m:t>
        </m:r>
        <m:r>
          <m:t>1</m:t>
        </m:r>
      </m:oMath>
      <w:r>
        <w:t xml:space="preserve"> dB gap for FEC and implementation.</w:t>
      </w:r>
    </w:p>
    <w:bookmarkStart w:id="10" w:name="tab:subst"/>
    <w:p>
      <w:pPr>
        <w:pStyle w:val="TableCaption"/>
      </w:pPr>
      <w:r>
        <w:t xml:space="preserve">Substrate parameters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Substrate parameters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CORONET-CONUS (75 nodes; routes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2500</m:t>
              </m:r>
            </m:oMath>
            <w:r>
              <w:t xml:space="preserve"> km, 2–31 spans)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SSMF, 0.2 dB/km,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 ps/nm/km, 80 km spans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EDFA, NF 6 dB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power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 dBm per channel, flat (not re-optimised per fill)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32 GBd on 50 GHz, C-band of 76 channels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QoT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GNPy GN model (analytic NLI)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Deployed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from SNDlib janos-us-ca per-link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0.3 dB monitoring; 0.5 dB RMSE in §</w:t>
            </w:r>
            <w:hyperlink w:anchor="sec:exposed">
              <w:r>
                <w:rPr>
                  <w:rStyle w:val="Hyperlink"/>
                </w:rPr>
                <w:t xml:space="preserve">3.2</w:t>
              </w:r>
            </w:hyperlink>
          </w:p>
        </w:tc>
      </w:tr>
    </w:tbl>
    <w:bookmarkEnd w:id="10"/>
    <w:p>
      <w:pPr>
        <w:pStyle w:val="BodyText"/>
      </w:pPr>
      <w:r>
        <w:rPr>
          <w:b/>
          <w:bCs/>
        </w:rPr>
        <w:t xml:space="preserve">Certificate, consumer, witness.</w:t>
      </w:r>
      <w:r>
        <w:t xml:space="preserve"> </w:t>
      </w:r>
      <w:r>
        <w:t xml:space="preserve">A certificate selects the highest format</w:t>
      </w:r>
      <w:r>
        <w:t xml:space="preserve"> </w:t>
      </w:r>
      <w:r>
        <w:t xml:space="preserve">whose required GSNR the twin’s estimate clears. The consumer is that decision. The</w:t>
      </w:r>
      <w:r>
        <w:t xml:space="preserve"> </w:t>
      </w:r>
      <w:r>
        <w:t xml:space="preserve">witness is the true deployed GSNR, in practice the receiver’s pre-FEC BER. For the</w:t>
      </w:r>
      <w:r>
        <w:t xml:space="preserve"> </w:t>
      </w:r>
      <w:r>
        <w:t xml:space="preserve">surrogate study the features are the synced GSNR plus spectral position, reach and</w:t>
      </w:r>
      <w:r>
        <w:t xml:space="preserve"> </w:t>
      </w:r>
      <w:r>
        <w:t xml:space="preserve">fill, the label carries an irreducible term for unmeasured network state, and two</w:t>
      </w:r>
      <w:r>
        <w:t xml:space="preserve"> </w:t>
      </w:r>
      <w:r>
        <w:t xml:space="preserve">gradient-boosted objectives compete: average-error (squared loss) and</w:t>
      </w:r>
      <w:r>
        <w:t xml:space="preserve"> </w:t>
      </w:r>
      <w:r>
        <w:t xml:space="preserve">decision-aware (a conservative quantile loss). Bars and manipulation checks are</w:t>
      </w:r>
      <w:r>
        <w:t xml:space="preserve"> </w:t>
      </w:r>
      <w:r>
        <w:t xml:space="preserve">pre-registered. The sealed record is content-hashed and graded on seeds disjoint</w:t>
      </w:r>
      <w:r>
        <w:t xml:space="preserve"> </w:t>
      </w:r>
      <w:r>
        <w:t xml:space="preserve">from those used during design </w:t>
      </w:r>
      <w:r>
        <w:t xml:space="preserve">.</w:t>
      </w:r>
    </w:p>
    <w:bookmarkEnd w:id="11"/>
    <w:bookmarkStart w:id="27" w:name="results"/>
    <w:p>
      <w:pPr>
        <w:pStyle w:val="Heading1"/>
      </w:pPr>
      <w:r>
        <w:t xml:space="preserve">Results</w:t>
      </w:r>
    </w:p>
    <w:bookmarkStart w:id="16" w:name="the-freshness-budget"/>
    <w:p>
      <w:pPr>
        <w:pStyle w:val="Heading2"/>
      </w:pPr>
      <w:r>
        <w:t xml:space="preserve">The freshness budget</w:t>
      </w:r>
    </w:p>
    <w:p>
      <w:pPr>
        <w:pStyle w:val="FirstParagraph"/>
      </w:pPr>
      <w:r>
        <w:t xml:space="preserve">The risk of a stale twin is driven by the fill added since its last sync, and,</w:t>
      </w:r>
      <w:r>
        <w:t xml:space="preserve"> </w:t>
      </w:r>
      <w:r>
        <w:t xml:space="preserve">it turns out, even more by how full the band already was at the sync. Advancing</w:t>
      </w:r>
      <w:r>
        <w:t xml:space="preserve"> </w:t>
      </w:r>
      <w:r>
        <w:t xml:space="preserve">the deployed band one channel at a time while the twin’s view stays at the sync</w:t>
      </w:r>
      <w:r>
        <w:t xml:space="preserve"> </w:t>
      </w:r>
      <w:r>
        <w:t xml:space="preserve">point gives the failure curve directly (Fig. </w:t>
      </w:r>
      <w:hyperlink w:anchor="fig:fresh">
        <w:r>
          <w:rPr>
            <w:rStyle w:val="Hyperlink"/>
          </w:rPr>
          <w:t xml:space="preserve">1</w:t>
        </w:r>
      </w:hyperlink>
      <w:r>
        <w:t xml:space="preserve">), and we report</w:t>
      </w:r>
      <w:r>
        <w:t xml:space="preserve"> </w:t>
      </w:r>
      <w:r>
        <w:t xml:space="preserve">the curve rather than a fit. Synced at the sparse provisioning fill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channels, the certificate produced no false-clears through the first four adds</w:t>
      </w:r>
      <w:r>
        <w:t xml:space="preserve"> </w:t>
      </w:r>
      <w:r>
        <w:t xml:space="preserve">in this evaluation, stays within a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risk target through nine adds, exceeds</w:t>
      </w:r>
      <w:r>
        <w:t xml:space="preserve"> </w:t>
      </w:r>
      <w:r>
        <w:t xml:space="preserve">it from the tenth (</w:t>
      </w:r>
      <m:oMath>
        <m:r>
          <m:t>7.3</m:t>
        </m:r>
        <m:r>
          <m:rPr>
            <m:sty m:val="p"/>
          </m:rPr>
          <m:t>%</m:t>
        </m:r>
      </m:oMath>
      <w:r>
        <w:t xml:space="preserve">), and saturates near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as the band fills. (An</w:t>
      </w:r>
      <w:r>
        <w:t xml:space="preserve"> </w:t>
      </w:r>
      <w:r>
        <w:t xml:space="preserve">earlier draft quoted an interpolated</w:t>
      </w:r>
      <w:r>
        <w:t xml:space="preserve"> </w:t>
      </w:r>
      <m:oMath>
        <m:r>
          <m:t>8.1</m:t>
        </m:r>
      </m:oMath>
      <w:r>
        <w:t xml:space="preserve">-add crossing from a coarser grid and,</w:t>
      </w:r>
      <w:r>
        <w:t xml:space="preserve"> </w:t>
      </w:r>
      <w:r>
        <w:t xml:space="preserve">before that, a linear law; the single-add sweep supersedes both.) The budget is</w:t>
      </w:r>
      <w:r>
        <w:t xml:space="preserve"> </w:t>
      </w:r>
      <w:r>
        <w:t xml:space="preserve">strongly baseline-dependent, in the reassuring direction. Re-synced at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channels, the same certificate shows no false-clears through</w:t>
      </w:r>
      <w:r>
        <w:t xml:space="preserve"> </w:t>
      </w:r>
      <m:oMath>
        <m:r>
          <m:t>26</m:t>
        </m:r>
      </m:oMath>
      <w:r>
        <w:t xml:space="preserve"> </w:t>
      </w:r>
      <w:r>
        <w:t xml:space="preserve">further adds</w:t>
      </w:r>
      <w:r>
        <w:t xml:space="preserve"> </w:t>
      </w:r>
      <w:r>
        <w:t xml:space="preserve">and crosses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only around fifty; synced at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channels it produces</w:t>
      </w:r>
      <w:r>
        <w:t xml:space="preserve"> </w:t>
      </w:r>
      <w:r>
        <w:t xml:space="preserve">none at all, out to the full band. The mechanism is the shape of nonlinear</w:t>
      </w:r>
      <w:r>
        <w:t xml:space="preserve"> </w:t>
      </w:r>
      <w:r>
        <w:t xml:space="preserve">interference growth: the first neighbours cost the most GSNR, so a twin synced</w:t>
      </w:r>
      <w:r>
        <w:t xml:space="preserve"> </w:t>
      </w:r>
      <w:r>
        <w:t xml:space="preserve">on a sparse band certifies against a nearly best-case view and its decisions</w:t>
      </w:r>
      <w:r>
        <w:t xml:space="preserve"> </w:t>
      </w:r>
      <w:r>
        <w:t xml:space="preserve">sit close to format thresholds, while a twin synced on a mature band has</w:t>
      </w:r>
      <w:r>
        <w:t xml:space="preserve"> </w:t>
      </w:r>
      <w:r>
        <w:t xml:space="preserve">already absorbed most of the interference it will ever see. The operational</w:t>
      </w:r>
      <w:r>
        <w:t xml:space="preserve"> </w:t>
      </w:r>
      <w:r>
        <w:t xml:space="preserve">rule follows, and it is not a calendar. The dangerous window is the young band:</w:t>
      </w:r>
      <w:r>
        <w:t xml:space="preserve"> </w:t>
      </w:r>
      <w:r>
        <w:t xml:space="preserve">after provisioning at sparse fill, re-sync or re-certify within about nine</w:t>
      </w:r>
      <w:r>
        <w:t xml:space="preserve"> </w:t>
      </w:r>
      <w:r>
        <w:t xml:space="preserve">adds. Once the band carries twenty or more channels, ordinary fill no longer</w:t>
      </w:r>
      <w:r>
        <w:t xml:space="preserve"> </w:t>
      </w:r>
      <w:r>
        <w:t xml:space="preserve">breaks the certificate, and frequent re-syncs buy nothing.</w:t>
      </w:r>
    </w:p>
    <w:bookmarkStart w:id="15" w:name="fig:fresh"/>
    <w:p>
      <w:pPr>
        <w:pStyle w:val="CaptionedFigure"/>
      </w:pPr>
      <w:r>
        <w:drawing>
          <wp:inline>
            <wp:extent cx="4800600" cy="25781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reshness_curv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7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freshness curve (GNPy over CORONET-CONUS, single-add sweep,</w:t>
      </w:r>
      <w:r>
        <w:t xml:space="preserve"> </w:t>
      </w:r>
      <w:r>
        <w:t xml:space="preserve">deterministic). False-clear against channels added since sync, for four sync</w:t>
      </w:r>
      <w:r>
        <w:t xml:space="preserve"> </w:t>
      </w:r>
      <w:r>
        <w:t xml:space="preserve">baselines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 Sparse-synced certificates fail from the tenth add;</w:t>
      </w:r>
      <w:r>
        <w:t xml:space="preserve"> </w:t>
      </w:r>
      <w:r>
        <w:t xml:space="preserve">mature-band syncs tolerate tens of adds (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) or the full band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40</m:t>
        </m:r>
      </m:oMath>
      <w:r>
        <w:t xml:space="preserve">) without a false-clear. Marker shape distinguishes baselines.</w:t>
      </w:r>
    </w:p>
    <w:bookmarkEnd w:id="15"/>
    <w:bookmarkEnd w:id="16"/>
    <w:bookmarkStart w:id="21" w:name="sec:exposed"/>
    <w:p>
      <w:pPr>
        <w:pStyle w:val="Heading2"/>
      </w:pPr>
      <w:r>
        <w:t xml:space="preserve">Who is exposed when the twin is stale</w:t>
      </w:r>
    </w:p>
    <w:p>
      <w:pPr>
        <w:pStyle w:val="FirstParagraph"/>
      </w:pPr>
      <w:r>
        <w:t xml:space="preserve">Staleness does not spread its damage evenly. A lightpath’s GSNR drops as neighbours</w:t>
      </w:r>
      <w:r>
        <w:t xml:space="preserve"> </w:t>
      </w:r>
      <w:r>
        <w:t xml:space="preserve">arrive, and whether it crosses a format threshold depends on where it sits:</w:t>
      </w:r>
      <w:r>
        <w:t xml:space="preserve"> </w:t>
      </w:r>
      <w:r>
        <w:t xml:space="preserve">false-clears concentrate on services whose spectral position and reach leave their</w:t>
      </w:r>
      <w:r>
        <w:t xml:space="preserve"> </w:t>
      </w:r>
      <w:r>
        <w:t xml:space="preserve">GSNR near a boundary, and are absent elsewhere (Fig. </w:t>
      </w:r>
      <w:hyperlink w:anchor="fig:fc">
        <w:r>
          <w:rPr>
            <w:rStyle w:val="Hyperlink"/>
          </w:rPr>
          <w:t xml:space="preserve">2</w:t>
        </w:r>
      </w:hyperlink>
      <w:r>
        <w:t xml:space="preserve">). So a single</w:t>
      </w:r>
      <w:r>
        <w:t xml:space="preserve"> </w:t>
      </w:r>
      <w:r>
        <w:t xml:space="preserve">blanket margin cannot protect the fleet efficiently. We price this against today’s</w:t>
      </w:r>
      <w:r>
        <w:t xml:space="preserve"> </w:t>
      </w:r>
      <w:r>
        <w:t xml:space="preserve">practice of one uniform system margin, with fill statistics grounded on public</w:t>
      </w:r>
      <w:r>
        <w:t xml:space="preserve"> </w:t>
      </w:r>
      <w:r>
        <w:t xml:space="preserve">demand data. Routing the 1482 demands of the SNDlib janos-us-ca reference</w:t>
      </w:r>
      <w:r>
        <w:t xml:space="preserve"> </w:t>
      </w:r>
      <w:r>
        <w:t xml:space="preserve">matrix </w:t>
      </w:r>
      <w:r>
        <w:t xml:space="preserve"> </w:t>
      </w:r>
      <w:r>
        <w:t xml:space="preserve">(39 nodes, 61 undirected links) gives a per-link</w:t>
      </w:r>
      <w:r>
        <w:t xml:space="preserve"> </w:t>
      </w:r>
      <w:r>
        <w:t xml:space="preserve">channel-fill distribution with median 10 and 90th percentile 35 of 76; each</w:t>
      </w:r>
      <w:r>
        <w:t xml:space="preserve"> </w:t>
      </w:r>
      <w:r>
        <w:t xml:space="preserve">CORONET lightpath’s deployed fill is then sampled independently from that</w:t>
      </w:r>
      <w:r>
        <w:t xml:space="preserve"> </w:t>
      </w:r>
      <w:r>
        <w:t xml:space="preserve">marginal distribution. The demand data grounds the fill statistics, not a routed</w:t>
      </w:r>
      <w:r>
        <w:t xml:space="preserve"> </w:t>
      </w:r>
      <w:r>
        <w:t xml:space="preserve">traffic snapshot: correlations between links along a route are not carried over.</w:t>
      </w:r>
      <w:r>
        <w:t xml:space="preserve"> </w:t>
      </w:r>
      <w:r>
        <w:t xml:space="preserve">What matters for the comparison is the heavy tail, which is exactly what a</w:t>
      </w:r>
      <w:r>
        <w:t xml:space="preserve"> </w:t>
      </w:r>
      <w:r>
        <w:t xml:space="preserve">marginal preserves: a uniform margin sized for the few near-full links</w:t>
      </w:r>
      <w:r>
        <w:t xml:space="preserve"> </w:t>
      </w:r>
      <w:r>
        <w:t xml:space="preserve">over-provisions the lightly filled majority. The two policies are specified</w:t>
      </w:r>
      <w:r>
        <w:t xml:space="preserve"> </w:t>
      </w:r>
      <w:r>
        <w:t xml:space="preserve">fully. Each chooses the smallest margin on a</w:t>
      </w:r>
      <w:r>
        <w:t xml:space="preserve"> </w:t>
      </w:r>
      <m:oMath>
        <m:r>
          <m:t>0.25</m:t>
        </m:r>
      </m:oMath>
      <w:r>
        <w:t xml:space="preserve"> dB grid that holds the</w:t>
      </w:r>
      <w:r>
        <w:t xml:space="preserve"> </w:t>
      </w:r>
      <w:r>
        <w:t xml:space="preserve">fleet false-clear at or below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 the same</w:t>
      </w:r>
      <w:r>
        <w:t xml:space="preserve"> </w:t>
      </w:r>
      <m:oMath>
        <m:r>
          <m:t>0.5</m:t>
        </m:r>
      </m:oMath>
      <w:r>
        <w:t xml:space="preserve"> dB Gaussian</w:t>
      </w:r>
      <w:r>
        <w:t xml:space="preserve"> </w:t>
      </w:r>
      <w:r>
        <w:t xml:space="preserve">estimator error. The uniform policy provisions every lightpath at its</w:t>
      </w:r>
      <w:r>
        <w:t xml:space="preserve"> </w:t>
      </w:r>
      <w:r>
        <w:t xml:space="preserve">provisioning-time GSNR minus one blanket margin, and the fleet constraint</w:t>
      </w:r>
      <w:r>
        <w:t xml:space="preserve"> </w:t>
      </w:r>
      <w:r>
        <w:t xml:space="preserve">forces</w:t>
      </w:r>
      <w:r>
        <w:t xml:space="preserve"> </w:t>
      </w:r>
      <m:oMath>
        <m:r>
          <m:t>2.75</m:t>
        </m:r>
      </m:oMath>
      <w:r>
        <w:t xml:space="preserve"> dB. The footprint-aware policy evaluates each lightpath’s GSNR</w:t>
      </w:r>
      <w:r>
        <w:t xml:space="preserve"> </w:t>
      </w:r>
      <w:r>
        <w:t xml:space="preserve">at its own deployed fill, interpolated between the provisioning and full-band</w:t>
      </w:r>
      <w:r>
        <w:t xml:space="preserve"> </w:t>
      </w:r>
      <w:r>
        <w:t xml:space="preserve">GN anchors, and then needs only</w:t>
      </w:r>
      <w:r>
        <w:t xml:space="preserve"> </w:t>
      </w:r>
      <m:oMath>
        <m:r>
          <m:t>1.25</m:t>
        </m:r>
      </m:oMath>
      <w:r>
        <w:t xml:space="preserve"> dB. At that matched safety the aware</w:t>
      </w:r>
      <w:r>
        <w:t xml:space="preserve"> </w:t>
      </w:r>
      <w:r>
        <w:t xml:space="preserve">policy recovers about</w:t>
      </w:r>
      <w:r>
        <w:t xml:space="preserve"> </w:t>
      </w:r>
      <m:oMath>
        <m:r>
          <m:t>8</m:t>
        </m:r>
        <m:r>
          <m:rPr>
            <m:sty m:val="p"/>
          </m:rPr>
          <m:t>%</m:t>
        </m:r>
      </m:oMath>
      <w:r>
        <w:t xml:space="preserve"> </w:t>
      </w:r>
      <w:r>
        <w:t xml:space="preserve">of spectral efficiency, near</w:t>
      </w:r>
      <w:r>
        <w:t xml:space="preserve"> </w:t>
      </w:r>
      <m:oMath>
        <m:r>
          <m:t>0.33</m:t>
        </m:r>
      </m:oMath>
      <w:r>
        <w:t xml:space="preserve"> b/sym or</w:t>
      </w:r>
      <w:r>
        <w:t xml:space="preserve"> </w:t>
      </w:r>
      <m:oMath>
        <m:r>
          <m:t>21</m:t>
        </m:r>
      </m:oMath>
      <w:r>
        <w:t xml:space="preserve"> Gb/s per channel, on a rate-flexible transceiver model. The gain is</w:t>
      </w:r>
      <w:r>
        <w:t xml:space="preserve"> </w:t>
      </w:r>
      <w:r>
        <w:t xml:space="preserve">capacity the uniform margin strands on links that never fill.</w:t>
      </w:r>
    </w:p>
    <w:bookmarkStart w:id="20" w:name="fig:fc"/>
    <w:p>
      <w:pPr>
        <w:pStyle w:val="CaptionedFigure"/>
      </w:pPr>
      <w:r>
        <w:drawing>
          <wp:inline>
            <wp:extent cx="5334000" cy="2209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c_footprin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a stale twin fails (GNPy over CORONET-CONUS). Per-service</w:t>
      </w:r>
      <w:r>
        <w:t xml:space="preserve"> </w:t>
      </w:r>
      <w:r>
        <w:t xml:space="preserve">false-clear over spectral position and reach concentrates on threshold-adjacent</w:t>
      </w:r>
      <w:r>
        <w:t xml:space="preserve"> </w:t>
      </w:r>
      <w:r>
        <w:t xml:space="preserve">services. A per-lightpath view removes it. Marker shape distinguishes classes.</w:t>
      </w:r>
    </w:p>
    <w:bookmarkEnd w:id="20"/>
    <w:bookmarkEnd w:id="21"/>
    <w:bookmarkStart w:id="26" w:name="Xf6dbd67ee9b92e53630c304575267b6f0cc00c0"/>
    <w:p>
      <w:pPr>
        <w:pStyle w:val="Heading2"/>
      </w:pPr>
      <w:r>
        <w:t xml:space="preserve">The learned surrogate fails at the threshold</w:t>
      </w:r>
    </w:p>
    <w:p>
      <w:pPr>
        <w:pStyle w:val="FirstParagraph"/>
      </w:pPr>
      <w:r>
        <w:t xml:space="preserve">Many twins replace the physics model with a learned surrogate for speed. How that</w:t>
      </w:r>
      <w:r>
        <w:t xml:space="preserve"> </w:t>
      </w:r>
      <w:r>
        <w:t xml:space="preserve">surrogate is trained matters more than how accurate it is on average.</w:t>
      </w:r>
      <w:r>
        <w:t xml:space="preserve"> </w:t>
      </w:r>
      <w:r>
        <w:t xml:space="preserve">Uncertainty-aware and quantile QoT models are established </w:t>
      </w:r>
      <w:r>
        <w:t xml:space="preserve">; what</w:t>
      </w:r>
      <w:r>
        <w:t xml:space="preserve"> </w:t>
      </w:r>
      <w:r>
        <w:t xml:space="preserve">has not been measured is the price of ignoring them at the decision boundary. Under</w:t>
      </w:r>
      <w:r>
        <w:t xml:space="preserve"> </w:t>
      </w:r>
      <w:r>
        <w:t xml:space="preserve">irreducible prediction uncertainty the average-error surrogate wins the metric it</w:t>
      </w:r>
      <w:r>
        <w:t xml:space="preserve"> </w:t>
      </w:r>
      <w:r>
        <w:t xml:space="preserve">was trained on and loses the one the twin exists for. Its MAE is</w:t>
      </w:r>
      <w:r>
        <w:t xml:space="preserve"> </w:t>
      </w:r>
      <m:oMath>
        <m:r>
          <m:t>0.65</m:t>
        </m:r>
      </m:oMath>
      <w:r>
        <w:t xml:space="preserve"> dB against</w:t>
      </w:r>
      <w:r>
        <w:t xml:space="preserve"> </w:t>
      </w:r>
      <m:oMath>
        <m:r>
          <m:t>0.95</m:t>
        </m:r>
      </m:oMath>
      <w:r>
        <w:t xml:space="preserve"> dB for the quantile objective, yet its false-clear rate is about</w:t>
      </w:r>
      <w:r>
        <w:t xml:space="preserve"> </w:t>
      </w:r>
      <m:oMath>
        <m:r>
          <m:t>0.041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0.008</m:t>
        </m:r>
      </m:oMath>
      <w:r>
        <w:t xml:space="preserve">, five times higher, at comparable delivered spectral efficiency near</w:t>
      </w:r>
      <w:r>
        <w:t xml:space="preserve"> </w:t>
      </w:r>
      <m:oMath>
        <m:r>
          <m:t>3.9</m:t>
        </m:r>
      </m:oMath>
      <w:r>
        <w:t xml:space="preserve"> bits/symbol (Fig. </w:t>
      </w:r>
      <w:hyperlink w:anchor="fig:ml">
        <w:r>
          <w:rPr>
            <w:rStyle w:val="Hyperlink"/>
          </w:rPr>
          <w:t xml:space="preserve">3</w:t>
        </w:r>
      </w:hyperlink>
      <w:r>
        <w:t xml:space="preserve">a). The failures sit where the true GSNR lies</w:t>
      </w:r>
      <w:r>
        <w:t xml:space="preserve"> </w:t>
      </w:r>
      <w:r>
        <w:t xml:space="preserve">within about a decibel below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format’s threshold</w:t>
      </w:r>
      <w:r>
        <w:t xml:space="preserve"> </w:t>
      </w:r>
      <w:r>
        <w:t xml:space="preserve">(Fig. </w:t>
      </w:r>
      <w:hyperlink w:anchor="fig:ml">
        <w:r>
          <w:rPr>
            <w:rStyle w:val="Hyperlink"/>
          </w:rPr>
          <w:t xml:space="preserve">3</w:t>
        </w:r>
      </w:hyperlink>
      <w:r>
        <w:t xml:space="preserve">b): there a small upward prediction error clears one format too</w:t>
      </w:r>
      <w:r>
        <w:t xml:space="preserve"> </w:t>
      </w:r>
      <w:r>
        <w:t xml:space="preserve">high, and nowhere else can it. That is the cliff, and a symmetric error metric is</w:t>
      </w:r>
      <w:r>
        <w:t xml:space="preserve"> </w:t>
      </w:r>
      <w:r>
        <w:t xml:space="preserve">blind there. A uniform backoff is the fair baseline and we report it without</w:t>
      </w:r>
      <w:r>
        <w:t xml:space="preserve"> </w:t>
      </w:r>
      <w:r>
        <w:t xml:space="preserve">leakage: a backoff calibrated on a designated validation half of the sealed</w:t>
      </w:r>
      <w:r>
        <w:t xml:space="preserve"> </w:t>
      </w:r>
      <w:r>
        <w:t xml:space="preserve">per-prediction records (</w:t>
      </w:r>
      <m:oMath>
        <m:r>
          <m:t>0.90</m:t>
        </m:r>
      </m:oMath>
      <w:r>
        <w:t xml:space="preserve"> dB, then frozen) matches the quantile model on</w:t>
      </w:r>
      <w:r>
        <w:t xml:space="preserve"> </w:t>
      </w:r>
      <w:r>
        <w:t xml:space="preserve">the held-out half, false-clear</w:t>
      </w:r>
      <w:r>
        <w:t xml:space="preserve"> </w:t>
      </w:r>
      <m:oMath>
        <m:r>
          <m:t>0.006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0.007</m:t>
        </m:r>
      </m:oMath>
      <w:r>
        <w:t xml:space="preserve"> </w:t>
      </w:r>
      <w:r>
        <w:t xml:space="preserve">at equal delivered bits.</w:t>
      </w:r>
      <w:r>
        <w:t xml:space="preserve"> </w:t>
      </w:r>
      <w:r>
        <w:t xml:space="preserve">So the dissociation does not require quantile training to fix; it requires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decision-aware calibration. The quantile objective (here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0.15</m:t>
        </m:r>
      </m:oMath>
      <w:r>
        <w:t xml:space="preserve">) reaches that operating point from its training loss alone, with no</w:t>
      </w:r>
      <w:r>
        <w:t xml:space="preserve"> </w:t>
      </w:r>
      <w:r>
        <w:t xml:space="preserve">separate calibration set, and the machinery already exists </w:t>
      </w:r>
      <w:r>
        <w:t xml:space="preserve">.</w:t>
      </w:r>
    </w:p>
    <w:bookmarkStart w:id="25" w:name="fig:ml"/>
    <w:p>
      <w:pPr>
        <w:pStyle w:val="CaptionedFigure"/>
      </w:pPr>
      <w:r>
        <w:drawing>
          <wp:inline>
            <wp:extent cx="5334000" cy="22098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l_clif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surrogate objectives, two metrics (GNPy, gradient-boosted</w:t>
      </w:r>
      <w:r>
        <w:t xml:space="preserve"> </w:t>
      </w:r>
      <w:r>
        <w:t xml:space="preserve">regressors). (a) The average-error objective has lower MAE and higher false-clear</w:t>
      </w:r>
      <w:r>
        <w:t xml:space="preserve"> </w:t>
      </w:r>
      <w:r>
        <w:t xml:space="preserve">than the quantile objective. (b) Its false-clears concentrate where the true GSNR</w:t>
      </w:r>
      <w:r>
        <w:t xml:space="preserve"> </w:t>
      </w:r>
      <w:r>
        <w:t xml:space="preserve">sits within a decibel below the next format threshold; services already clearing</w:t>
      </w:r>
      <w:r>
        <w:t xml:space="preserve"> </w:t>
      </w:r>
      <w:r>
        <w:t xml:space="preserve">the top format cannot false-clear and are excluded. Marker shape distinguishes</w:t>
      </w:r>
      <w:r>
        <w:t xml:space="preserve"> </w:t>
      </w:r>
      <w:r>
        <w:t xml:space="preserve">objectives.</w:t>
      </w:r>
    </w:p>
    <w:bookmarkEnd w:id="25"/>
    <w:bookmarkEnd w:id="26"/>
    <w:bookmarkEnd w:id="27"/>
    <w:bookmarkStart w:id="28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Optical digital twins are an active area, from GNPy-based twins fed by network</w:t>
      </w:r>
      <w:r>
        <w:t xml:space="preserve"> </w:t>
      </w:r>
      <w:r>
        <w:t xml:space="preserve">telemetry </w:t>
      </w:r>
      <w:r>
        <w:t xml:space="preserve"> </w:t>
      </w:r>
      <w:r>
        <w:t xml:space="preserve">to calibration against field data; that work builds and</w:t>
      </w:r>
      <w:r>
        <w:t xml:space="preserve"> </w:t>
      </w:r>
      <w:r>
        <w:t xml:space="preserve">tunes the twin, and does not quantify how stale it can afford to be. Margin erosion</w:t>
      </w:r>
      <w:r>
        <w:t xml:space="preserve"> </w:t>
      </w:r>
      <w:r>
        <w:t xml:space="preserve">under channel add is known qualitatively, and impairment-aware provisioning</w:t>
      </w:r>
      <w:r>
        <w:t xml:space="preserve"> </w:t>
      </w:r>
      <w:r>
        <w:t xml:space="preserve">accounts for it at setup time </w:t>
      </w:r>
      <w:r>
        <w:t xml:space="preserve">; our contribution is the measured</w:t>
      </w:r>
      <w:r>
        <w:t xml:space="preserve"> </w:t>
      </w:r>
      <w:r>
        <w:t xml:space="preserve">staleness law and the budget it implies for the twin that persists after setup.</w:t>
      </w:r>
      <w:r>
        <w:t xml:space="preserve"> </w:t>
      </w:r>
      <w:r>
        <w:t xml:space="preserve">Uncertainty-aware ML-QoT, including quantile models, is</w:t>
      </w:r>
      <w:r>
        <w:t xml:space="preserve"> </w:t>
      </w:r>
      <w:r>
        <w:t xml:space="preserve">established </w:t>
      </w:r>
      <w:r>
        <w:t xml:space="preserve">; we credit it as the correction for the</w:t>
      </w:r>
      <w:r>
        <w:t xml:space="preserve"> </w:t>
      </w:r>
      <w:r>
        <w:t xml:space="preserve">surrogate result and add the measured cliff dissociation that motivates it. We do</w:t>
      </w:r>
      <w:r>
        <w:t xml:space="preserve"> </w:t>
      </w:r>
      <w:r>
        <w:t xml:space="preserve">not offer a better twin, estimator or allocator. We offer the freshness budget, the</w:t>
      </w:r>
      <w:r>
        <w:t xml:space="preserve"> </w:t>
      </w:r>
      <w:r>
        <w:t xml:space="preserve">exposure map, and the price of the wrong training objective.</w:t>
      </w:r>
    </w:p>
    <w:bookmarkEnd w:id="28"/>
    <w:bookmarkStart w:id="3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A digital twin is a certificate factory, and certificates age. The freshness</w:t>
      </w:r>
      <w:r>
        <w:t xml:space="preserve"> </w:t>
      </w:r>
      <w:r>
        <w:t xml:space="preserve">measurement turns twin synchronization from a judgment call into a provisioned</w:t>
      </w:r>
      <w:r>
        <w:t xml:space="preserve"> </w:t>
      </w:r>
      <w:r>
        <w:t xml:space="preserve">quantity, and the quantity is a property of band maturity: re-sync a</w:t>
      </w:r>
      <w:r>
        <w:t xml:space="preserve"> </w:t>
      </w:r>
      <w:r>
        <w:t xml:space="preserve">sparse-synced band within about nine adds at a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risk target, spend no</w:t>
      </w:r>
      <w:r>
        <w:t xml:space="preserve"> </w:t>
      </w:r>
      <w:r>
        <w:t xml:space="preserve">sync effort on mature bands, protect the threshold-adjacent services first, and</w:t>
      </w:r>
      <w:r>
        <w:t xml:space="preserve"> </w:t>
      </w:r>
      <w:r>
        <w:t xml:space="preserve">calibrate surrogates on the decision rather than the average. The evidence stands on the GN model with public demand data, and its</w:t>
      </w:r>
      <w:r>
        <w:t xml:space="preserve"> </w:t>
      </w:r>
      <w:r>
        <w:t xml:space="preserve">limits are worth stating. Launch power is flat at</w:t>
      </w:r>
      <w: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t xml:space="preserve"> dBm and not re-optimised as</w:t>
      </w:r>
      <w:r>
        <w:t xml:space="preserve"> </w:t>
      </w:r>
      <w:r>
        <w:t xml:space="preserve">the band fills, ROADM filtering penalties are not modelled, and the witness is the</w:t>
      </w:r>
      <w:r>
        <w:t xml:space="preserve"> </w:t>
      </w:r>
      <w:r>
        <w:t xml:space="preserve">GN-model GSNR rather than a receiver’s pre-FEC BER. These effects do not all push</w:t>
      </w:r>
      <w:r>
        <w:t xml:space="preserve"> </w:t>
      </w:r>
      <w:r>
        <w:t xml:space="preserve">the budget the same way: re-optimising launch power as the band fills would offset</w:t>
      </w:r>
      <w:r>
        <w:t xml:space="preserve"> </w:t>
      </w:r>
      <w:r>
        <w:t xml:space="preserve">part of the drop the twin misses, while filtering penalties would add to it. The</w:t>
      </w:r>
      <w:r>
        <w:t xml:space="preserve"> </w:t>
      </w:r>
      <w:r>
        <w:t xml:space="preserve">budget should be re-measured, not extrapolated, and a coherent-receiver witness on</w:t>
      </w:r>
      <w:r>
        <w:t xml:space="preserve"> </w:t>
      </w:r>
      <w:r>
        <w:t xml:space="preserve">a testbed twin is the natural next step. In companion sealed experiments, two</w:t>
      </w:r>
      <w:r>
        <w:t xml:space="preserve"> </w:t>
      </w:r>
      <w:r>
        <w:t xml:space="preserve">margin policies with equal fleet budgets received opposite verdicts from two</w:t>
      </w:r>
      <w:r>
        <w:t xml:space="preserve"> </w:t>
      </w:r>
      <w:r>
        <w:t xml:space="preserve">service classes whose failures ride different axes of the network state (cells</w:t>
      </w:r>
      <w:r>
        <w:t xml:space="preserve"> </w:t>
      </w:r>
      <w:r>
        <w:t xml:space="preserve">XPROTO-QOT-FLIP and XPROTO-CSI-FLIP in the sealed</w:t>
      </w:r>
      <w:r>
        <w:t xml:space="preserve"> </w:t>
      </w:r>
      <w:r>
        <w:t xml:space="preserve">repository </w:t>
      </w:r>
      <w:r>
        <w:t xml:space="preserve">); a full treatment of that inversion is beyond this</w:t>
      </w:r>
      <w:r>
        <w:t xml:space="preserve"> </w:t>
      </w:r>
      <w:r>
        <w:t xml:space="preserve">paper’s scope and is reported separately. The same consumer-relative failure</w:t>
      </w:r>
      <w:r>
        <w:t xml:space="preserve"> </w:t>
      </w:r>
      <w:r>
        <w:t xml:space="preserve">appears in radio link adaptation and in database</w:t>
      </w:r>
      <w:r>
        <w:t xml:space="preserve"> </w:t>
      </w:r>
      <w:r>
        <w:t xml:space="preserve">replication </w:t>
      </w:r>
      <w:r>
        <w:t xml:space="preserve">. The results here stand on the optical QoT</w:t>
      </w:r>
      <w:r>
        <w:t xml:space="preserve"> </w:t>
      </w:r>
      <w:r>
        <w:t xml:space="preserve">certificate alone.</w:t>
      </w:r>
    </w:p>
    <w:p>
      <w:pPr>
        <w:pStyle w:val="BodyText"/>
      </w:pPr>
      <w:r>
        <w:t xml:space="preserve">9</w:t>
      </w:r>
      <w:r>
        <w:t xml:space="preserve"> </w:t>
      </w:r>
      <w:r>
        <w:t xml:space="preserve">A. Ferrari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“GNPy: an open source application for</w:t>
      </w:r>
      <w:r>
        <w:t xml:space="preserve"> </w:t>
      </w:r>
      <w:r>
        <w:t xml:space="preserve">physical layer aware open optical networks,”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12</w:t>
      </w:r>
      <w:r>
        <w:t xml:space="preserve">,</w:t>
      </w:r>
      <w:r>
        <w:t xml:space="preserve"> </w:t>
      </w:r>
      <w:r>
        <w:t xml:space="preserve">C31–C40 (2020).</w:t>
      </w:r>
      <w:r>
        <w:t xml:space="preserve"> </w:t>
      </w:r>
      <w:r>
        <w:t xml:space="preserve">S. Shen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“End-to-end QoT predictions enhanced by</w:t>
      </w:r>
      <w:r>
        <w:t xml:space="preserve"> </w:t>
      </w:r>
      <w:r>
        <w:t xml:space="preserve">GNPy-based digital twin with network telemetry,”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OFC</w:t>
      </w:r>
      <w:r>
        <w:t xml:space="preserve">, Th2A.16</w:t>
      </w:r>
      <w:r>
        <w:t xml:space="preserve"> </w:t>
      </w:r>
      <w:r>
        <w:t xml:space="preserve">(2024).</w:t>
      </w:r>
      <w:r>
        <w:t xml:space="preserve"> </w:t>
      </w:r>
      <w:r>
        <w:t xml:space="preserve">H. Maryam, T. Panayiotou, and G. Ellinas,</w:t>
      </w:r>
      <w:r>
        <w:t xml:space="preserve"> </w:t>
      </w:r>
      <w:r>
        <w:t xml:space="preserve">“Learning</w:t>
      </w:r>
      <w:r>
        <w:t xml:space="preserve"> </w:t>
      </w:r>
      <w:r>
        <w:t xml:space="preserve">quantile QoT models to address uncertainty over unseen lightpaths,”</w:t>
      </w:r>
      <w:r>
        <w:t xml:space="preserve"> </w:t>
      </w:r>
      <w:r>
        <w:t xml:space="preserve">Comput. Netw. </w:t>
      </w:r>
      <w:r>
        <w:rPr>
          <w:b/>
          <w:bCs/>
        </w:rPr>
        <w:t xml:space="preserve">212</w:t>
      </w:r>
      <w:r>
        <w:t xml:space="preserve">, art. 108992 (2022).</w:t>
      </w:r>
      <w:r>
        <w:t xml:space="preserve"> </w:t>
      </w:r>
      <w:r>
        <w:t xml:space="preserve">C. Rottondi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“Machine-learning method for quality of</w:t>
      </w:r>
      <w:r>
        <w:t xml:space="preserve"> </w:t>
      </w:r>
      <w:r>
        <w:t xml:space="preserve">transmission prediction of unestablished lightpaths,”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10</w:t>
      </w:r>
      <w:r>
        <w:t xml:space="preserve">, A286–A297 (2018).</w:t>
      </w:r>
      <w:r>
        <w:t xml:space="preserve"> </w:t>
      </w:r>
      <w:r>
        <w:t xml:space="preserve">Y. Pointurier,</w:t>
      </w:r>
      <w:r>
        <w:t xml:space="preserve"> </w:t>
      </w:r>
      <w:r>
        <w:t xml:space="preserve">“Design of low-margin optical networks,”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9</w:t>
      </w:r>
      <w:r>
        <w:t xml:space="preserve">, A9–A17 (2017).</w:t>
      </w:r>
      <w:r>
        <w:t xml:space="preserve"> </w:t>
      </w:r>
      <w:r>
        <w:t xml:space="preserve">S. Orlowski, R. Wessäly, M. Pióro, and A. Tomaszewski,</w:t>
      </w:r>
      <w:r>
        <w:t xml:space="preserve"> </w:t>
      </w:r>
      <w:r>
        <w:t xml:space="preserve">“SNDlib 1.0—Survivable Network Design Library,”</w:t>
      </w:r>
      <w:r>
        <w:t xml:space="preserve"> </w:t>
      </w:r>
      <w:r>
        <w:t xml:space="preserve">Networks</w:t>
      </w:r>
      <w:r>
        <w:t xml:space="preserve"> </w:t>
      </w:r>
      <w:r>
        <w:rPr>
          <w:b/>
          <w:bCs/>
        </w:rPr>
        <w:t xml:space="preserve">55</w:t>
      </w:r>
      <w:r>
        <w:t xml:space="preserve">, 276–286</w:t>
      </w:r>
      <w:r>
        <w:t xml:space="preserve"> </w:t>
      </w:r>
      <w:r>
        <w:t xml:space="preserve">(2010).</w:t>
      </w:r>
      <w:r>
        <w:t xml:space="preserve"> </w:t>
      </w:r>
      <w:r>
        <w:t xml:space="preserve">A. H. Bond,</w:t>
      </w:r>
      <w:r>
        <w:t xml:space="preserve"> </w:t>
      </w:r>
      <w:r>
        <w:t xml:space="preserve">“Observation Theory: consumer-relative witnessed</w:t>
      </w:r>
      <w:r>
        <w:t xml:space="preserve"> </w:t>
      </w:r>
      <w:r>
        <w:t xml:space="preserve">certificates,”</w:t>
      </w:r>
      <w:r>
        <w:t xml:space="preserve"> </w:t>
      </w:r>
      <w:r>
        <w:t xml:space="preserve">sealed pre-registrations and code,</w:t>
      </w:r>
      <w:r>
        <w:t xml:space="preserve"> </w:t>
      </w:r>
      <w:hyperlink r:id="rId29">
        <w:r>
          <w:rPr>
            <w:rStyle w:val="Hyperlink"/>
          </w:rPr>
          <w:t xml:space="preserve">https://github.com/ahb-sjsu/observation-theory-campaigns</w:t>
        </w:r>
      </w:hyperlink>
      <w:r>
        <w:t xml:space="preserve"> </w:t>
      </w:r>
      <w:r>
        <w:t xml:space="preserve">(2026).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hyperlink" Id="rId29" Target="https://github.com/ahb-sjsu/observation-theory-campaig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ahb-sjsu/observation-theory-campaig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Stale Can an Optical Digital Twin Be? A Measured Freshness Budget for QoT Decisions</dc:title>
  <dc:creator>Andrew H. Bond Department of Computer Engineering, San José State University, San José, CA 95192, USA andrew.bond@sjsu.edu</dc:creator>
  <cp:keywords/>
  <dcterms:created xsi:type="dcterms:W3CDTF">2026-08-26T21:26:55Z</dcterms:created>
  <dcterms:modified xsi:type="dcterms:W3CDTF">2026-08-26T21:26:55Z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