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Consumer-Aligned Learning for Quality-of-Transmission:</w:t>
      </w:r>
      <w:r>
        <w:br/>
      </w:r>
      <w:r>
        <w:rPr>
          <w:b/>
          <w:bCs/>
        </w:rPr>
        <w:t xml:space="preserve">The False-Clear Rate at the FEC Cliff</w:t>
      </w:r>
    </w:p>
    <w:p>
      <w:pPr>
        <w:pStyle w:val="Author"/>
      </w:pPr>
      <w:r>
        <w:t xml:space="preserve">Andrew H. Bond</w:t>
      </w:r>
      <w:r>
        <w:br/>
      </w:r>
      <w:r>
        <w:t xml:space="preserve">Department of Computer Engineering, San José State University, San José, CA 95192, USA</w:t>
      </w:r>
      <w:r>
        <w:br/>
      </w:r>
      <w:r>
        <w:t xml:space="preserve">andrew.bond@sjsu.edu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Machine-learning Quality-of-Transmission (ML-QoT) estimation is a leading route to</w:t>
      </w:r>
      <w:r>
        <w:t xml:space="preserve"> </w:t>
      </w:r>
      <w:r>
        <w:t xml:space="preserve">reducing the system margin—the deliberately stranded capacity—that optical</w:t>
      </w:r>
      <w:r>
        <w:t xml:space="preserve"> </w:t>
      </w:r>
      <w:r>
        <w:t xml:space="preserve">operators carry against uncertain reach performance </w:t>
      </w:r>
      <w:r>
        <w:t xml:space="preserve">. ML-QoT</w:t>
      </w:r>
      <w:r>
        <w:t xml:space="preserve"> </w:t>
      </w:r>
      <w:r>
        <w:t xml:space="preserve">models are almost always trained to minimise a</w:t>
      </w:r>
      <w:r>
        <w:t xml:space="preserve"> </w:t>
      </w:r>
      <w:r>
        <w:rPr>
          <w:i/>
          <w:iCs/>
        </w:rPr>
        <w:t xml:space="preserve">prediction error</w:t>
      </w:r>
      <w:r>
        <w:t xml:space="preserve"> </w:t>
      </w:r>
      <w:r>
        <w:t xml:space="preserve">(mean-squared</w:t>
      </w:r>
      <w:r>
        <w:t xml:space="preserve"> </w:t>
      </w:r>
      <w:r>
        <w:t xml:space="preserve">or mean-absolute GSNR/OSNR error). We argue, and measure, that this objective is</w:t>
      </w:r>
      <w:r>
        <w:t xml:space="preserve"> </w:t>
      </w:r>
      <w:r>
        <w:t xml:space="preserve">misaligned with the consumer it serves. The consumer of a QoT estimate is the</w:t>
      </w:r>
      <w:r>
        <w:t xml:space="preserve"> </w:t>
      </w:r>
      <w:r>
        <w:rPr>
          <w:i/>
          <w:iCs/>
        </w:rPr>
        <w:t xml:space="preserve">format-selection decision</w:t>
      </w:r>
      <w:r>
        <w:t xml:space="preserve">, and ultimately the forward-error-correction (FEC)</w:t>
      </w:r>
      <w:r>
        <w:t xml:space="preserve"> </w:t>
      </w:r>
      <w:r>
        <w:t xml:space="preserve">decoder, which reads a</w:t>
      </w:r>
      <w:r>
        <w:t xml:space="preserve"> </w:t>
      </w:r>
      <w:r>
        <w:rPr>
          <w:i/>
          <w:iCs/>
        </w:rPr>
        <w:t xml:space="preserve">threshold</w:t>
      </w:r>
      <w:r>
        <w:t xml:space="preserve">: a lightpath either meets its format’s</w:t>
      </w:r>
      <w:r>
        <w:t xml:space="preserve"> </w:t>
      </w:r>
      <w:r>
        <w:t xml:space="preserve">required GSNR or it does not. An estimator can be excellent on average yet, near a</w:t>
      </w:r>
      <w:r>
        <w:t xml:space="preserve"> </w:t>
      </w:r>
      <w:r>
        <w:t xml:space="preserve">format boundary, over-predict just enough to select a rate the link cannot support—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false-clear</w:t>
      </w:r>
      <w:r>
        <w:t xml:space="preserve"> </w:t>
      </w:r>
      <w:r>
        <w:t xml:space="preserve">(an in-service outage), even though its mean error is small.</w:t>
      </w:r>
    </w:p>
    <w:p>
      <w:pPr>
        <w:pStyle w:val="BodyText"/>
      </w:pPr>
      <w:r>
        <w:t xml:space="preserve">We make the false-clear rate a first-class, measured KPI and show three things on the</w:t>
      </w:r>
      <w:r>
        <w:t xml:space="preserve"> </w:t>
      </w:r>
      <w:r>
        <w:t xml:space="preserve">GN-model physical layer of GNPy </w:t>
      </w:r>
      <w:r>
        <w:t xml:space="preserve"> </w:t>
      </w:r>
      <w:r>
        <w:t xml:space="preserve">over the CORONET-CONUS reference network:</w:t>
      </w:r>
      <w:r>
        <w:t xml:space="preserve"> </w:t>
      </w:r>
      <w:r>
        <w:t xml:space="preserve">(i) an average-error ML-QoT objective false-clears at the FEC cliff, while a</w:t>
      </w:r>
      <w:r>
        <w:t xml:space="preserve"> </w:t>
      </w:r>
      <w:r>
        <w:t xml:space="preserve">consumer-aware objective does not, at equal capacity; (ii) the underlying QoT margin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consumer-relative</w:t>
      </w:r>
      <w:r>
        <w:t xml:space="preserve">—which lightpaths are at risk is a footprint property</w:t>
      </w:r>
      <w:r>
        <w:t xml:space="preserve"> </w:t>
      </w:r>
      <w:r>
        <w:t xml:space="preserve">(spectral position and reach), so no blanket margin fits all; and (iii) a</w:t>
      </w:r>
      <w:r>
        <w:t xml:space="preserve"> </w:t>
      </w:r>
      <w:r>
        <w:t xml:space="preserve">fill-driven</w:t>
      </w:r>
      <w:r>
        <w:t xml:space="preserve"> </w:t>
      </w:r>
      <w:r>
        <w:rPr>
          <w:i/>
          <w:iCs/>
        </w:rPr>
        <w:t xml:space="preserve">refresh floor</w:t>
      </w:r>
      <w:r>
        <w:t xml:space="preserve"> </w:t>
      </w:r>
      <w:r>
        <w:t xml:space="preserve">sets when a certificate must be re-validated.</w:t>
      </w:r>
    </w:p>
    <w:bookmarkEnd w:id="9"/>
    <w:bookmarkStart w:id="10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Substrate.</w:t>
      </w:r>
      <w:r>
        <w:t xml:space="preserve"> </w:t>
      </w:r>
      <w:r>
        <w:t xml:space="preserve">Lightpaths are transparent shortest-path routes of the</w:t>
      </w:r>
      <w:r>
        <w:t xml:space="preserve"> </w:t>
      </w:r>
      <w:r>
        <w:rPr>
          <w:b/>
          <w:bCs/>
        </w:rPr>
        <w:t xml:space="preserve">CORONET-CONUS</w:t>
      </w:r>
      <w:r>
        <w:t xml:space="preserve"> </w:t>
      </w:r>
      <w:r>
        <w:t xml:space="preserve">reference topology (75 nodes;</w:t>
      </w:r>
      <w:r>
        <w:t xml:space="preserve"> </w:t>
      </w:r>
      <m:oMath>
        <m:r>
          <m:rPr>
            <m:sty m:val="p"/>
          </m:rPr>
          <m:t>≤</m:t>
        </m:r>
        <m:r>
          <m:t>2500</m:t>
        </m:r>
      </m:oMath>
      <w:r>
        <w:t xml:space="preserve"> km, 2–31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80 km spans). Per-channel GSNR is computed with the GN model in GNPy </w:t>
      </w:r>
      <w:r>
        <w:t xml:space="preserve"> </w:t>
      </w:r>
      <w:r>
        <w:t xml:space="preserve">on</w:t>
      </w:r>
      <w:r>
        <w:t xml:space="preserve"> </w:t>
      </w:r>
      <w:r>
        <w:t xml:space="preserve">standard single-mode fibre (0.2 dB/km,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17</m:t>
        </m:r>
      </m:oMath>
      <w:r>
        <w:t xml:space="preserve"> ps/nm/km), EDFAs (NF 6 dB),</w:t>
      </w:r>
      <w:r>
        <w:t xml:space="preserve"> </w:t>
      </w:r>
      <w:r>
        <w:t xml:space="preserve">+2 dBm/ch, 32 GBd, 50 GHz grid, from a lightly filled</w:t>
      </w:r>
      <w:r>
        <w:t xml:space="preserve"> </w:t>
      </w:r>
      <w:r>
        <w:t xml:space="preserve">“provisioning”</w:t>
      </w:r>
      <w:r>
        <w:t xml:space="preserve"> </w:t>
      </w:r>
      <w:r>
        <w:t xml:space="preserve">band</w:t>
      </w:r>
      <w:r>
        <w:t xml:space="preserve"> </w:t>
      </w:r>
      <w:r>
        <w:t xml:space="preserve">(6 channels) to a full C-band (76 channels).</w:t>
      </w:r>
    </w:p>
    <w:p>
      <w:pPr>
        <w:pStyle w:val="BodyText"/>
      </w:pPr>
      <w:r>
        <w:rPr>
          <w:b/>
          <w:bCs/>
        </w:rPr>
        <w:t xml:space="preserve">Certificate, consumer, witness.</w:t>
      </w:r>
      <w:r>
        <w:t xml:space="preserve"> </w:t>
      </w:r>
      <w:r>
        <w:t xml:space="preserve">A certificate selects the highest format</w:t>
      </w:r>
      <w:r>
        <w:t xml:space="preserve"> </w:t>
      </w:r>
      <w:r>
        <w:t xml:space="preserve">whose required GSNR the estimate clears. The</w:t>
      </w:r>
      <w:r>
        <w:t xml:space="preserve"> </w:t>
      </w:r>
      <w:r>
        <w:rPr>
          <w:i/>
          <w:iCs/>
        </w:rPr>
        <w:t xml:space="preserve">consumer</w:t>
      </w:r>
      <w:r>
        <w:t xml:space="preserve"> </w:t>
      </w:r>
      <w:r>
        <w:t xml:space="preserve">is that decision; the</w:t>
      </w:r>
      <w:r>
        <w:t xml:space="preserve"> </w:t>
      </w:r>
      <w:r>
        <w:rPr>
          <w:i/>
          <w:iCs/>
        </w:rPr>
        <w:t xml:space="preserve">witness</w:t>
      </w:r>
      <w:r>
        <w:t xml:space="preserve"> </w:t>
      </w:r>
      <w:r>
        <w:t xml:space="preserve">is the true deployed GSNR (the receiver’s pre-FEC BER). For the ML</w:t>
      </w:r>
      <w:r>
        <w:t xml:space="preserve"> </w:t>
      </w:r>
      <w:r>
        <w:t xml:space="preserve">study, features are provisioning-time GSNR and (spectral position, reach, fill), the</w:t>
      </w:r>
      <w:r>
        <w:t xml:space="preserve"> </w:t>
      </w:r>
      <w:r>
        <w:t xml:space="preserve">label carries an irreducible unmeasured-state term, and two gradient-boosted</w:t>
      </w:r>
      <w:r>
        <w:t xml:space="preserve"> </w:t>
      </w:r>
      <w:r>
        <w:t xml:space="preserve">objectives are compared:</w:t>
      </w:r>
      <w:r>
        <w:t xml:space="preserve"> </w:t>
      </w:r>
      <w:r>
        <w:rPr>
          <w:i/>
          <w:iCs/>
        </w:rPr>
        <w:t xml:space="preserve">average-error</w:t>
      </w:r>
      <w:r>
        <w:t xml:space="preserve"> </w:t>
      </w:r>
      <w:r>
        <w:t xml:space="preserve">(squared loss) and</w:t>
      </w:r>
      <w:r>
        <w:t xml:space="preserve"> </w:t>
      </w:r>
      <w:r>
        <w:rPr>
          <w:i/>
          <w:iCs/>
        </w:rPr>
        <w:t xml:space="preserve">consumer-aware</w:t>
      </w:r>
      <w:r>
        <w:t xml:space="preserve"> </w:t>
      </w:r>
      <w:r>
        <w:t xml:space="preserve">(a conservative lower-quantile loss that protects the decision, not the mean). Bars</w:t>
      </w:r>
      <w:r>
        <w:t xml:space="preserve"> </w:t>
      </w:r>
      <w:r>
        <w:t xml:space="preserve">and manipulation checks are pre-registered; the sealed record is content-hashed with</w:t>
      </w:r>
      <w:r>
        <w:t xml:space="preserve"> </w:t>
      </w:r>
      <w:r>
        <w:t xml:space="preserve">disjoint graded seeds </w:t>
      </w:r>
      <w:r>
        <w:t xml:space="preserve">.</w:t>
      </w:r>
    </w:p>
    <w:bookmarkEnd w:id="10"/>
    <w:bookmarkStart w:id="22" w:name="results"/>
    <w:p>
      <w:pPr>
        <w:pStyle w:val="Heading1"/>
      </w:pPr>
      <w:r>
        <w:t xml:space="preserve">Results</w:t>
      </w:r>
    </w:p>
    <w:bookmarkStart w:id="15" w:name="ml-qot-trained-on-the-wrong-metric"/>
    <w:p>
      <w:pPr>
        <w:pStyle w:val="Heading2"/>
      </w:pPr>
      <w:r>
        <w:t xml:space="preserve">ML-QoT trained on the wrong metric</w:t>
      </w:r>
    </w:p>
    <w:p>
      <w:pPr>
        <w:pStyle w:val="FirstParagraph"/>
      </w:pPr>
      <w:r>
        <w:t xml:space="preserve">Under irreducible prediction uncertainty, the average-error estimator attains lower</w:t>
      </w:r>
      <w:r>
        <w:t xml:space="preserve"> </w:t>
      </w:r>
      <w:r>
        <w:t xml:space="preserve">mean error yet false-clears far more at the FEC cliff than the consumer-aware</w:t>
      </w:r>
      <w:r>
        <w:t xml:space="preserve"> </w:t>
      </w:r>
      <w:r>
        <w:t xml:space="preserve">objective: MAE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0.95</m:t>
        </m:r>
      </m:oMath>
      <w:r>
        <w:t xml:space="preserve"> dB (it wins reconstruction) but false-clear</w:t>
      </w:r>
      <w:r>
        <w:t xml:space="preserve"> </w:t>
      </w:r>
      <m:oMath>
        <m:r>
          <m:rPr>
            <m:sty m:val="p"/>
          </m:rPr>
          <m:t>≈</m:t>
        </m:r>
        <m:r>
          <m:t>0.041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≈</m:t>
        </m:r>
        <m:r>
          <m:t>0.008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5</w:t>
      </w:r>
      <m:oMath>
        <m:r>
          <m:rPr>
            <m:sty m:val="p"/>
          </m:rPr>
          <m:t>×</m:t>
        </m:r>
      </m:oMath>
      <w:r>
        <w:t xml:space="preserve">) at comparable delivered spectral</w:t>
      </w:r>
      <w:r>
        <w:t xml:space="preserve"> </w:t>
      </w:r>
      <w:r>
        <w:t xml:space="preserve">efficiency (</w:t>
      </w:r>
      <m:oMath>
        <m:r>
          <m:rPr>
            <m:sty m:val="p"/>
          </m:rPr>
          <m:t>≈</m:t>
        </m:r>
        <m:r>
          <m:t>3.9</m:t>
        </m:r>
      </m:oMath>
      <w:r>
        <w:t xml:space="preserve"> bits/symbol). Figure </w:t>
      </w:r>
      <w:hyperlink w:anchor="fig:ml">
        <w:r>
          <w:rPr>
            <w:rStyle w:val="Hyperlink"/>
          </w:rPr>
          <w:t xml:space="preserve">1</w:t>
        </w:r>
      </w:hyperlink>
      <w:r>
        <w:t xml:space="preserve">(a) shows the</w:t>
      </w:r>
      <w:r>
        <w:t xml:space="preserve"> </w:t>
      </w:r>
      <w:r>
        <w:t xml:space="preserve">reconstruction-vs-consumer dissociation; (b) shows that the average-error</w:t>
      </w:r>
      <w:r>
        <w:t xml:space="preserve"> </w:t>
      </w:r>
      <w:r>
        <w:t xml:space="preserve">false-clears concentrate where the GSNR headroom above the nearest format threshold</w:t>
      </w:r>
      <w:r>
        <w:t xml:space="preserve"> </w:t>
      </w:r>
      <w:r>
        <w:t xml:space="preserve">is small—the cliff—exactly where a symmetric error metric is blind. The</w:t>
      </w:r>
      <w:r>
        <w:t xml:space="preserve"> </w:t>
      </w:r>
      <w:r>
        <w:t xml:space="preserve">prescription is to train ML-QoT on the consumer’s threshold decision, not on</w:t>
      </w:r>
      <w:r>
        <w:t xml:space="preserve"> </w:t>
      </w:r>
      <w:r>
        <w:t xml:space="preserve">volume-averaged fidelity.</w:t>
      </w:r>
    </w:p>
    <w:bookmarkStart w:id="14" w:name="fig:ml"/>
    <w:p>
      <w:pPr>
        <w:pStyle w:val="CaptionedFigure"/>
      </w:pPr>
      <w:r>
        <w:drawing>
          <wp:inline>
            <wp:extent cx="5334000" cy="22098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l_cliff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ML-QoT reconstruction-vs-consumer dissociation (GNPy + gradient-boosted</w:t>
      </w:r>
      <w:r>
        <w:t xml:space="preserve"> </w:t>
      </w:r>
      <w:r>
        <w:t xml:space="preserve">regressors): (a) the average-error objective attains lower MAE yet higher</w:t>
      </w:r>
      <w:r>
        <w:t xml:space="preserve"> </w:t>
      </w:r>
      <w:r>
        <w:t xml:space="preserve">false-clear than the consumer-aware objective; (b) it false-clears at the FEC cliff</w:t>
      </w:r>
      <w:r>
        <w:t xml:space="preserve"> </w:t>
      </w:r>
      <w:r>
        <w:t xml:space="preserve">(small GSNR headroom), where the consumer-aware objective does not. Marker shape</w:t>
      </w:r>
      <w:r>
        <w:t xml:space="preserve"> </w:t>
      </w:r>
      <w:r>
        <w:t xml:space="preserve">distinguishes objectives.</w:t>
      </w:r>
    </w:p>
    <w:bookmarkEnd w:id="14"/>
    <w:bookmarkEnd w:id="15"/>
    <w:bookmarkStart w:id="20" w:name="the-margin-is-consumer-relative"/>
    <w:p>
      <w:pPr>
        <w:pStyle w:val="Heading2"/>
      </w:pPr>
      <w:r>
        <w:t xml:space="preserve">The margin is consumer-relative</w:t>
      </w:r>
    </w:p>
    <w:p>
      <w:pPr>
        <w:pStyle w:val="FirstParagraph"/>
      </w:pPr>
      <w:r>
        <w:t xml:space="preserve">The same threshold-blindness afflicts the margin itself under incremental fill. As a</w:t>
      </w:r>
      <w:r>
        <w:t xml:space="preserve"> </w:t>
      </w:r>
      <w:r>
        <w:t xml:space="preserve">lightpath’s band fills toward its deployed load, its GSNR drops, and whether it</w:t>
      </w:r>
      <w:r>
        <w:t xml:space="preserve"> </w:t>
      </w:r>
      <w:r>
        <w:t xml:space="preserve">crosses a format threshold depends on its</w:t>
      </w:r>
      <w:r>
        <w:t xml:space="preserve"> </w:t>
      </w:r>
      <w:r>
        <w:rPr>
          <w:i/>
          <w:iCs/>
        </w:rPr>
        <w:t xml:space="preserve">footprint</w:t>
      </w:r>
      <w:r>
        <w:t xml:space="preserve">: false-clears concentrate</w:t>
      </w:r>
      <w:r>
        <w:t xml:space="preserve"> </w:t>
      </w:r>
      <w:r>
        <w:t xml:space="preserve">on the services whose spectral position and reach place their GSNR nearest a boundary,</w:t>
      </w:r>
      <w:r>
        <w:t xml:space="preserve"> </w:t>
      </w:r>
      <w:r>
        <w:t xml:space="preserve">and are absent elsewhere (Fig. </w:t>
      </w:r>
      <w:hyperlink w:anchor="fig:fc">
        <w:r>
          <w:rPr>
            <w:rStyle w:val="Hyperlink"/>
          </w:rPr>
          <w:t xml:space="preserve">2</w:t>
        </w:r>
      </w:hyperlink>
      <w:r>
        <w:t xml:space="preserve">). Consequently a single blanket margin</w:t>
      </w:r>
      <w:r>
        <w:t xml:space="preserve"> </w:t>
      </w:r>
      <w:r>
        <w:t xml:space="preserve">cannot be right for all. We quantify the cost against today’s practice—one</w:t>
      </w:r>
      <w:r>
        <w:t xml:space="preserve"> </w:t>
      </w:r>
      <w:r>
        <w:rPr>
          <w:i/>
          <w:iCs/>
        </w:rPr>
        <w:t xml:space="preserve">uniform</w:t>
      </w:r>
      <w:r>
        <w:t xml:space="preserve"> </w:t>
      </w:r>
      <w:r>
        <w:t xml:space="preserve">system margin sized so the fleet stays safe—using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deployed fill: each lightpath’s channel load is drawn from the per-link fill</w:t>
      </w:r>
      <w:r>
        <w:t xml:space="preserve"> </w:t>
      </w:r>
      <w:r>
        <w:t xml:space="preserve">distribution of the SNDlib</w:t>
      </w:r>
      <w:r>
        <w:t xml:space="preserve"> </w:t>
      </w:r>
      <w:r>
        <w:rPr>
          <w:b/>
          <w:bCs/>
        </w:rPr>
        <w:t xml:space="preserve">janos-us-ca</w:t>
      </w:r>
      <w:r>
        <w:t xml:space="preserve"> </w:t>
      </w:r>
      <w:r>
        <w:t xml:space="preserve">demand matrix (61 links; median 10,</w:t>
      </w:r>
      <w:r>
        <w:t xml:space="preserve"> </w:t>
      </w:r>
      <w:r>
        <w:t xml:space="preserve">90th-percentile 35 of 76 channels </w:t>
      </w:r>
      <w:r>
        <w:t xml:space="preserve">). Real traffic is heavy-tailed, so a</w:t>
      </w:r>
      <w:r>
        <w:t xml:space="preserve"> </w:t>
      </w:r>
      <w:r>
        <w:t xml:space="preserve">uniform margin sized for the few near-full links over-provisions the lightly-filled</w:t>
      </w:r>
      <w:r>
        <w:t xml:space="preserve"> </w:t>
      </w:r>
      <w:r>
        <w:t xml:space="preserve">majority. Giving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policies the same QoT-estimator uncertainty (0.5 dB</w:t>
      </w:r>
      <w:r>
        <w:t xml:space="preserve"> </w:t>
      </w:r>
      <w:r>
        <w:t xml:space="preserve">RMSE, so the footprint-aware certificate is not assumed perfect), a certificate that</w:t>
      </w:r>
      <w:r>
        <w:t xml:space="preserve"> </w:t>
      </w:r>
      <w:r>
        <w:t xml:space="preserve">sizes each margin to the lightpath’s own fill recovers</w:t>
      </w:r>
      <w:r>
        <w:t xml:space="preserve"> </w:t>
      </w:r>
      <m:oMath>
        <m:r>
          <m:rPr>
            <m:sty m:val="p"/>
          </m:rPr>
          <m:t>≈</m:t>
        </m:r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of spectral</w:t>
      </w:r>
      <w:r>
        <w:t xml:space="preserve"> </w:t>
      </w:r>
      <w:r>
        <w:t xml:space="preserve">efficiency (</w:t>
      </w:r>
      <m:oMath>
        <m:r>
          <m:rPr>
            <m:sty m:val="p"/>
          </m:rPr>
          <m:t>≈</m:t>
        </m:r>
        <m:r>
          <m:t>0.33</m:t>
        </m:r>
      </m:oMath>
      <w:r>
        <w:t xml:space="preserve"> b/sym,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21 Gb/s per channel) at matched safety</w:t>
      </w:r>
      <w:r>
        <w:t xml:space="preserve"> </w:t>
      </w:r>
      <w:r>
        <w:t xml:space="preserve">(false-clear</w:t>
      </w:r>
      <w:r>
        <w:t xml:space="preserve"> </w:t>
      </w:r>
      <m:oMath>
        <m:r>
          <m:rPr>
            <m:sty m:val="p"/>
          </m:rPr>
          <m:t>≤</m:t>
        </m:r>
        <m:r>
          <m:t>0.01</m:t>
        </m:r>
      </m:oMath>
      <w:r>
        <w:t xml:space="preserve">), on a rate-flexible transceiver model. The gain is modest</w:t>
      </w:r>
      <w:r>
        <w:t xml:space="preserve"> </w:t>
      </w:r>
      <w:r>
        <w:t xml:space="preserve">but free: it is capacity the uniform margin strands on the majority of links that</w:t>
      </w:r>
      <w:r>
        <w:t xml:space="preserve"> </w:t>
      </w:r>
      <w:r>
        <w:t xml:space="preserve">never fill.</w:t>
      </w:r>
    </w:p>
    <w:bookmarkStart w:id="19" w:name="fig:fc"/>
    <w:p>
      <w:pPr>
        <w:pStyle w:val="CaptionedFigure"/>
      </w:pPr>
      <w:r>
        <w:drawing>
          <wp:inline>
            <wp:extent cx="5334000" cy="22098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c_footprin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Consumer-relativity of the QoT margin on GNPy over CORONET-CONUS:</w:t>
      </w:r>
      <w:r>
        <w:t xml:space="preserve"> </w:t>
      </w:r>
      <w:r>
        <w:t xml:space="preserve">per-service false-clear over (spectral position, reach) concentrates on</w:t>
      </w:r>
      <w:r>
        <w:t xml:space="preserve"> </w:t>
      </w:r>
      <w:r>
        <w:t xml:space="preserve">threshold-adjacent services; a footprint-aware certificate removes it. Marker</w:t>
      </w:r>
      <w:r>
        <w:t xml:space="preserve"> </w:t>
      </w:r>
      <w:r>
        <w:t xml:space="preserve">shape distinguishes classes.</w:t>
      </w:r>
    </w:p>
    <w:bookmarkEnd w:id="19"/>
    <w:bookmarkEnd w:id="20"/>
    <w:bookmarkStart w:id="21" w:name="the-refresh-floor"/>
    <w:p>
      <w:pPr>
        <w:pStyle w:val="Heading2"/>
      </w:pPr>
      <w:r>
        <w:t xml:space="preserve">The refresh floor</w:t>
      </w:r>
    </w:p>
    <w:p>
      <w:pPr>
        <w:pStyle w:val="FirstParagraph"/>
      </w:pPr>
      <w:r>
        <w:t xml:space="preserve">Because the risk is driven by the fill</w:t>
      </w:r>
      <w:r>
        <w:t xml:space="preserve"> </w:t>
      </w:r>
      <w:r>
        <w:rPr>
          <w:i/>
          <w:iCs/>
        </w:rPr>
        <w:t xml:space="preserve">increment</w:t>
      </w:r>
      <w:r>
        <w:t xml:space="preserve"> </w:t>
      </w:r>
      <w:r>
        <w:t xml:space="preserve">between provisioning and use,</w:t>
      </w:r>
      <w:r>
        <w:t xml:space="preserve"> </w:t>
      </w:r>
      <w:r>
        <w:t xml:space="preserve">a certificate has a refresh horizon. Sweeping the deployed fill from 6 to 76</w:t>
      </w:r>
      <w:r>
        <w:t xml:space="preserve"> </w:t>
      </w:r>
      <w:r>
        <w:t xml:space="preserve">channels, the naive false-clear rises approximately linearly with the number of added</w:t>
      </w:r>
      <w:r>
        <w:t xml:space="preserve"> </w:t>
      </w:r>
      <w:r>
        <w:t xml:space="preserve">channels (</w:t>
      </w:r>
      <m:oMath>
        <m:r>
          <m:rPr>
            <m:sty m:val="p"/>
          </m:rPr>
          <m:t>F</m:t>
        </m:r>
        <m:r>
          <m:rPr>
            <m:sty m:val="p"/>
          </m:rPr>
          <m:t>C</m:t>
        </m:r>
        <m:r>
          <m:rPr>
            <m:sty m:val="p"/>
          </m:rPr>
          <m:t>≈</m:t>
        </m:r>
        <m:r>
          <m:t>0.008</m:t>
        </m:r>
        <m:r>
          <m:t> </m:t>
        </m:r>
        <m:r>
          <m:rPr>
            <m:sty m:val="p"/>
          </m:rPr>
          <m:t>Δ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0.95</m:t>
        </m:r>
      </m:oMath>
      <w:r>
        <w:t xml:space="preserve">); at a 0.05 target the</w:t>
      </w:r>
      <w:r>
        <w:t xml:space="preserve"> </w:t>
      </w:r>
      <w:r>
        <w:t xml:space="preserve">refresh floor is</w:t>
      </w:r>
      <w:r>
        <w:t xml:space="preserve"> </w:t>
      </w:r>
      <m:oMath>
        <m:r>
          <m:rPr>
            <m:sty m:val="p"/>
          </m:rPr>
          <m:t>≈</m:t>
        </m:r>
        <m:r>
          <m:t>8</m:t>
        </m:r>
      </m:oMath>
      <w:r>
        <w:t xml:space="preserve"> </w:t>
      </w:r>
      <w:r>
        <w:t xml:space="preserve">added channels. The rule is concrete: re-certify a</w:t>
      </w:r>
      <w:r>
        <w:t xml:space="preserve"> </w:t>
      </w:r>
      <w:r>
        <w:t xml:space="preserve">service before the band around it grows by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 channels, not on a fixed calendar.</w:t>
      </w:r>
    </w:p>
    <w:bookmarkEnd w:id="21"/>
    <w:bookmarkEnd w:id="22"/>
    <w:bookmarkStart w:id="23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QoT estimation and physical-layer-aware routing/spectrum assignment are</w:t>
      </w:r>
      <w:r>
        <w:t xml:space="preserve"> </w:t>
      </w:r>
      <w:r>
        <w:t xml:space="preserve">mature </w:t>
      </w:r>
      <w:r>
        <w:t xml:space="preserve">; ML-QoT is active, with estimators trained predominantly</w:t>
      </w:r>
      <w:r>
        <w:t xml:space="preserve"> </w:t>
      </w:r>
      <w:r>
        <w:t xml:space="preserve">on prediction error </w:t>
      </w:r>
      <w:r>
        <w:t xml:space="preserve">. Our contribution is orthogonal: not a better</w:t>
      </w:r>
      <w:r>
        <w:t xml:space="preserve"> </w:t>
      </w:r>
      <w:r>
        <w:t xml:space="preserve">estimator or allocator, but a</w:t>
      </w:r>
      <w:r>
        <w:t xml:space="preserve"> </w:t>
      </w:r>
      <w:r>
        <w:rPr>
          <w:i/>
          <w:iCs/>
        </w:rPr>
        <w:t xml:space="preserve">measurement</w:t>
      </w:r>
      <w:r>
        <w:t xml:space="preserve">—the false-clear rate as a</w:t>
      </w:r>
      <w:r>
        <w:t xml:space="preserve"> </w:t>
      </w:r>
      <w:r>
        <w:t xml:space="preserve">first-class, consumer-relative KPI—and the finding that the ML-QoT training</w:t>
      </w:r>
      <w:r>
        <w:t xml:space="preserve"> </w:t>
      </w:r>
      <w:r>
        <w:rPr>
          <w:i/>
          <w:iCs/>
        </w:rPr>
        <w:t xml:space="preserve">objective</w:t>
      </w:r>
      <w:r>
        <w:t xml:space="preserve">, and the margin allocation, should target the consumer’s threshold.</w:t>
      </w:r>
    </w:p>
    <w:bookmarkEnd w:id="23"/>
    <w:bookmarkStart w:id="25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Train QoT models, and size QoT margin, for the decision the FEC decoder makes, not for</w:t>
      </w:r>
      <w:r>
        <w:t xml:space="preserve"> </w:t>
      </w:r>
      <w:r>
        <w:t xml:space="preserve">average fidelity. The GN model is the evidence rung; a coherent-receiver pre-FEC-BER</w:t>
      </w:r>
      <w:r>
        <w:t xml:space="preserve"> </w:t>
      </w:r>
      <w:r>
        <w:t xml:space="preserve">witness on a fibre testbed, and the EGN/split-step model, are the external-validity</w:t>
      </w:r>
      <w:r>
        <w:t xml:space="preserve"> </w:t>
      </w:r>
      <w:r>
        <w:t xml:space="preserve">graduations. (The consumer-relative, false-clear methodology is not</w:t>
      </w:r>
      <w:r>
        <w:t xml:space="preserve"> </w:t>
      </w:r>
      <w:r>
        <w:t xml:space="preserve">optics-specific </w:t>
      </w:r>
      <w:r>
        <w:t xml:space="preserve">, but the results here stand on the optical QoT</w:t>
      </w:r>
      <w:r>
        <w:t xml:space="preserve"> </w:t>
      </w:r>
      <w:r>
        <w:t xml:space="preserve">certificate alone.)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A. Ferrari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“GNPy: an open source application for</w:t>
      </w:r>
      <w:r>
        <w:t xml:space="preserve"> </w:t>
      </w:r>
      <w:r>
        <w:t xml:space="preserve">physical layer aware open optical networks,”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12</w:t>
      </w:r>
      <w:r>
        <w:t xml:space="preserve">,</w:t>
      </w:r>
      <w:r>
        <w:t xml:space="preserve"> </w:t>
      </w:r>
      <w:r>
        <w:t xml:space="preserve">C31–C40 (2020).</w:t>
      </w:r>
      <w:r>
        <w:t xml:space="preserve"> </w:t>
      </w:r>
      <w:r>
        <w:t xml:space="preserve">C. Rottondi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“Machine-learning method for quality of</w:t>
      </w:r>
      <w:r>
        <w:t xml:space="preserve"> </w:t>
      </w:r>
      <w:r>
        <w:t xml:space="preserve">transmission prediction of unestablished lightpaths,”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10</w:t>
      </w:r>
      <w:r>
        <w:t xml:space="preserve">, A286–A297 (2018).</w:t>
      </w:r>
      <w:r>
        <w:t xml:space="preserve"> </w:t>
      </w:r>
      <w:r>
        <w:t xml:space="preserve">Y. Pointurier,</w:t>
      </w:r>
      <w:r>
        <w:t xml:space="preserve"> </w:t>
      </w:r>
      <w:r>
        <w:t xml:space="preserve">“Design of low-margin optical networks,”</w:t>
      </w:r>
      <w:r>
        <w:t xml:space="preserve"> </w:t>
      </w:r>
      <w:r>
        <w:t xml:space="preserve">J. Opt. Commun. Netw. </w:t>
      </w:r>
      <w:r>
        <w:rPr>
          <w:b/>
          <w:bCs/>
        </w:rPr>
        <w:t xml:space="preserve">9</w:t>
      </w:r>
      <w:r>
        <w:t xml:space="preserve">, A9–A17 (2017).</w:t>
      </w:r>
      <w:r>
        <w:t xml:space="preserve"> </w:t>
      </w:r>
      <w:r>
        <w:t xml:space="preserve">S. Orlowski, R. Wessäly, M. Pióro, and A. Tomaszewski,</w:t>
      </w:r>
      <w:r>
        <w:t xml:space="preserve"> </w:t>
      </w:r>
      <w:r>
        <w:t xml:space="preserve">“SNDlib 1.0—Survivable Network Design Library,”</w:t>
      </w:r>
      <w:r>
        <w:t xml:space="preserve"> </w:t>
      </w:r>
      <w:r>
        <w:t xml:space="preserve">Networks</w:t>
      </w:r>
      <w:r>
        <w:t xml:space="preserve"> </w:t>
      </w:r>
      <w:r>
        <w:rPr>
          <w:b/>
          <w:bCs/>
        </w:rPr>
        <w:t xml:space="preserve">55</w:t>
      </w:r>
      <w:r>
        <w:t xml:space="preserve">, 276–286 (2010).</w:t>
      </w:r>
      <w:r>
        <w:t xml:space="preserve"> </w:t>
      </w:r>
      <w:r>
        <w:t xml:space="preserve">A. H. Bond,</w:t>
      </w:r>
      <w:r>
        <w:t xml:space="preserve"> </w:t>
      </w:r>
      <w:r>
        <w:t xml:space="preserve">“Observation Theory: consumer-relative witnessed</w:t>
      </w:r>
      <w:r>
        <w:t xml:space="preserve"> </w:t>
      </w:r>
      <w:r>
        <w:t xml:space="preserve">certificates,”</w:t>
      </w:r>
      <w:r>
        <w:t xml:space="preserve"> </w:t>
      </w:r>
      <w:r>
        <w:t xml:space="preserve">sealed pre-registrations and code,</w:t>
      </w:r>
      <w:r>
        <w:t xml:space="preserve"> </w:t>
      </w:r>
      <w:hyperlink r:id="rId24">
        <w:r>
          <w:rPr>
            <w:rStyle w:val="Hyperlink"/>
          </w:rPr>
          <w:t xml:space="preserve">https://github.com/ahb-sjsu/observation-theory-campaigns</w:t>
        </w:r>
      </w:hyperlink>
      <w:r>
        <w:t xml:space="preserve"> </w:t>
      </w:r>
      <w:r>
        <w:t xml:space="preserve">(2026).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Relationship Type="http://schemas.openxmlformats.org/officeDocument/2006/relationships/hyperlink" Id="rId24" Target="https://github.com/ahb-sjsu/observation-theory-campaig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ahb-sjsu/observation-theory-campaig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Consumer-Aligned Learning for Quality-of-Transmission: The False-Clear Rate at the FEC Cliff</dc:title>
  <dc:creator>Andrew H. Bond Department of Computer Engineering, San José State University, San José, CA 95192, USA andrew.bond@sjsu.edu</dc:creator>
  <cp:keywords/>
  <dcterms:created xsi:type="dcterms:W3CDTF">2026-08-25T17:36:33Z</dcterms:created>
  <dcterms:modified xsi:type="dcterms:W3CDTF">2026-08-25T17:36:33Z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