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 CSI Report Cannot Serve Every Consumer:</w:t>
      </w:r>
      <w:r>
        <w:br/>
      </w:r>
      <w:r>
        <w:t xml:space="preserve">The Consumer-Relative False-Clear Rate in 5G/6G Link Adaptation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channel-state-information (CSI) report is a certificate: an implicit claim that the</w:t>
      </w:r>
      <w:r>
        <w:t xml:space="preserve"> </w:t>
      </w:r>
      <w:r>
        <w:t xml:space="preserve">channel is good enough to transmit at a selected rate. That certificate is not read by</w:t>
      </w:r>
      <w:r>
        <w:t xml:space="preserve"> </w:t>
      </w:r>
      <w:r>
        <w:t xml:space="preserve">the channel; it is read by a</w:t>
      </w:r>
      <w:r>
        <w:t xml:space="preserve"> </w:t>
      </w:r>
      <w:r>
        <w:rPr>
          <w:i/>
          <w:iCs/>
        </w:rPr>
        <w:t xml:space="preserve">consumer</w:t>
      </w:r>
      <w:r>
        <w:t xml:space="preserve">—a scheduler with a reliability target and</w:t>
      </w:r>
      <w:r>
        <w:t xml:space="preserve"> </w:t>
      </w:r>
      <w:r>
        <w:t xml:space="preserve">a decoder at a moment in time. We make the rate at which a CSI certificate</w:t>
      </w:r>
      <w:r>
        <w:t xml:space="preserve"> </w:t>
      </w:r>
      <w:r>
        <w:rPr>
          <w:i/>
          <w:iCs/>
        </w:rPr>
        <w:t xml:space="preserve">false-clears</w:t>
      </w:r>
      <w:r>
        <w:t xml:space="preserve"> </w:t>
      </w:r>
      <w:r>
        <w:t xml:space="preserve">(selects a rate the link cannot support) a first-class, measured KPI</w:t>
      </w:r>
      <w:r>
        <w:t xml:space="preserve"> </w:t>
      </w:r>
      <w:r>
        <w:t xml:space="preserve">on a real 5G NR link-level chain (Sionna LDPC decoding), and show it is</w:t>
      </w:r>
      <w:r>
        <w:t xml:space="preserve"> </w:t>
      </w:r>
      <w:r>
        <w:rPr>
          <w:i/>
          <w:iCs/>
        </w:rPr>
        <w:t xml:space="preserve">consumer-relative</w:t>
      </w:r>
      <w:r>
        <w:t xml:space="preserve"> </w:t>
      </w:r>
      <w:r>
        <w:t xml:space="preserve">along two axes. First, the reliability target: the identical</w:t>
      </w:r>
      <w:r>
        <w:t xml:space="preserve"> </w:t>
      </w:r>
      <w:r>
        <w:t xml:space="preserve">CSI-derived modulation-and-coding selection that meets an eMBB target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misses a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 more than two orders of</w:t>
      </w:r>
      <w:r>
        <w:t xml:space="preserve"> </w:t>
      </w:r>
      <w:r>
        <w:t xml:space="preserve">magnitude (</w:t>
      </w:r>
      <m:oMath>
        <m:r>
          <m:t>112</m:t>
        </m:r>
        <m:r>
          <m:rPr>
            <m:sty m:val="p"/>
          </m:rPr>
          <m:t>×</m:t>
        </m:r>
      </m:oMath>
      <w:r>
        <w:t xml:space="preserve">), while a target-aware policy meets it. Second, the refresh</w:t>
      </w:r>
      <w:r>
        <w:t xml:space="preserve"> </w:t>
      </w:r>
      <w:r>
        <w:t xml:space="preserve">horizon: as the report ages, the false-clear rate grows, and the largest safe report</w:t>
      </w:r>
      <w:r>
        <w:t xml:space="preserve"> </w:t>
      </w:r>
      <w:r>
        <w:t xml:space="preserve">period is proportional to the Clarke coherence time (</w:t>
      </w:r>
      <m:oMath>
        <m:r>
          <m:rPr>
            <m:sty m:val="p"/>
          </m:rPr>
          <m:t>≈</m:t>
        </m:r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). The witnessed corrections that hold each axis—outer-loop link adaptation,</w:t>
      </w:r>
      <w:r>
        <w:t xml:space="preserve"> </w:t>
      </w:r>
      <w:r>
        <w:t xml:space="preserve">a coherence-driven refresh—already exist; our contribution is the measured number that</w:t>
      </w:r>
      <w:r>
        <w:t xml:space="preserve"> </w:t>
      </w:r>
      <w:r>
        <w:t xml:space="preserve">says when each is needed. All results are drawn from sealed, pre-registered records.</w:t>
      </w:r>
    </w:p>
    <w:p>
      <w:pPr>
        <w:pStyle w:val="FirstParagraph"/>
      </w:pPr>
      <w:r>
        <w:t xml:space="preserve">CSI feedback, link adaptation, URLLC, outer-loop link adaptation, reliability, 5G NR.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Adaptive modulation and coding (AMC) turns a channel-state-information (CSI) report into</w:t>
      </w:r>
      <w:r>
        <w:t xml:space="preserve"> </w:t>
      </w:r>
      <w:r>
        <w:t xml:space="preserve">a rate decision: the transmitter selects the highest modulation-and-coding scheme (MCS)</w:t>
      </w:r>
      <w:r>
        <w:t xml:space="preserve"> </w:t>
      </w:r>
      <w:r>
        <w:t xml:space="preserve">whose required SINR the reported CSI clears. The report is thus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—an</w:t>
      </w:r>
      <w:r>
        <w:t xml:space="preserve"> </w:t>
      </w:r>
      <w:r>
        <w:t xml:space="preserve">implicit assertion that the link will decode at the chosen rate. Like any certificate,</w:t>
      </w:r>
      <w:r>
        <w:t xml:space="preserve"> </w:t>
      </w:r>
      <w:r>
        <w:t xml:space="preserve">it can be wrong in a way that matters only to whoever reads it. We call a wrong-in-the-</w:t>
      </w:r>
      <w:r>
        <w:t xml:space="preserve"> </w:t>
      </w:r>
      <w:r>
        <w:t xml:space="preserve">optimistic-direction certificate a</w:t>
      </w:r>
      <w:r>
        <w:t xml:space="preserve"> </w:t>
      </w:r>
      <w:r>
        <w:rPr>
          <w:i/>
          <w:iCs/>
        </w:rPr>
        <w:t xml:space="preserve">false-clear</w:t>
      </w:r>
      <w:r>
        <w:t xml:space="preserve">: the CSI cleared an MCS that the</w:t>
      </w:r>
      <w:r>
        <w:t xml:space="preserve"> </w:t>
      </w:r>
      <w:r>
        <w:t xml:space="preserve">true channel cannot support, and the transport fails (a HARQ NACK, a block error).</w:t>
      </w:r>
    </w:p>
    <w:p>
      <w:pPr>
        <w:pStyle w:val="BodyText"/>
      </w:pPr>
      <w:r>
        <w:t xml:space="preserve">Our thesis is that the false-clear rate is not a property of the channel or even of the</w:t>
      </w:r>
      <w:r>
        <w:t xml:space="preserve"> </w:t>
      </w:r>
      <w:r>
        <w:t xml:space="preserve">report alone; it is a property of the report</w:t>
      </w:r>
      <w:r>
        <w:t xml:space="preserve"> </w:t>
      </w:r>
      <w:r>
        <w:rPr>
          <w:i/>
          <w:iCs/>
        </w:rPr>
        <w:t xml:space="preserve">and its consumer</w:t>
      </w:r>
      <w:r>
        <w:t xml:space="preserve">. Two schedulers</w:t>
      </w:r>
      <w:r>
        <w:t xml:space="preserve"> </w:t>
      </w:r>
      <w:r>
        <w:t xml:space="preserve">reading the same CSI can disagree on whether it false-clears, because they read it</w:t>
      </w:r>
      <w:r>
        <w:t xml:space="preserve"> </w:t>
      </w:r>
      <w:r>
        <w:t xml:space="preserve">against different requirements. We make the false-clear rate a measured KPI on a real</w:t>
      </w:r>
      <w:r>
        <w:t xml:space="preserve"> </w:t>
      </w:r>
      <w:r>
        <w:t xml:space="preserve">5G NR link-level chain and demonstrate this consumer-relativity along two operationally</w:t>
      </w:r>
      <w:r>
        <w:t xml:space="preserve"> </w:t>
      </w:r>
      <w:r>
        <w:t xml:space="preserve">important axes: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Reliability target</w:t>
      </w:r>
      <w:r>
        <w:t xml:space="preserve"> </w:t>
      </w:r>
      <w:r>
        <w:t xml:space="preserve">(§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): one CSI-derived MCS adequate for</w:t>
      </w:r>
      <w:r>
        <w:t xml:space="preserve"> </w:t>
      </w:r>
      <w:r>
        <w:t xml:space="preserve">enhanced mobile broadband (eMBB) is catastrophically optimistic for ultra-reliable</w:t>
      </w:r>
      <w:r>
        <w:t xml:space="preserve"> </w:t>
      </w:r>
      <w:r>
        <w:t xml:space="preserve">low-latency communication (URLLC)—a false-clear by more than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Refresh horizon</w:t>
      </w:r>
      <w:r>
        <w:t xml:space="preserve"> </w:t>
      </w:r>
      <w:r>
        <w:t xml:space="preserve">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): as the report ages the false-clear</w:t>
      </w:r>
      <w:r>
        <w:t xml:space="preserve"> </w:t>
      </w:r>
      <w:r>
        <w:t xml:space="preserve">rate grows, and the safe refresh period scales with the channel coherence time by a</w:t>
      </w:r>
      <w:r>
        <w:t xml:space="preserve"> </w:t>
      </w:r>
      <w:r>
        <w:t xml:space="preserve">simple measured law.</w:t>
      </w:r>
    </w:p>
    <w:p>
      <w:pPr>
        <w:pStyle w:val="FirstParagraph"/>
      </w:pPr>
      <w:r>
        <w:t xml:space="preserve">Neither observation requires a new estimator or scheduler. The corrections are known:</w:t>
      </w:r>
      <w:r>
        <w:t xml:space="preserve"> </w:t>
      </w:r>
      <w:r>
        <w:t xml:space="preserve">outer-loop link adaptation (OLLA) </w:t>
      </w:r>
      <w:r>
        <w:t xml:space="preserve"> </w:t>
      </w:r>
      <w:r>
        <w:t xml:space="preserve">closes the target-relativity gap, and</w:t>
      </w:r>
      <w:r>
        <w:t xml:space="preserve"> </w:t>
      </w:r>
      <w:r>
        <w:t xml:space="preserve">coherence-driven CSI reporting closes the refresh gap. What has been missing is the</w:t>
      </w:r>
      <w:r>
        <w:t xml:space="preserve"> </w:t>
      </w:r>
      <w:r>
        <w:rPr>
          <w:i/>
          <w:iCs/>
        </w:rPr>
        <w:t xml:space="preserve">measured, consumer-relative false-clear rate</w:t>
      </w:r>
      <w:r>
        <w:t xml:space="preserve"> </w:t>
      </w:r>
      <w:r>
        <w:t xml:space="preserve">that quantifies when each correction</w:t>
      </w:r>
      <w:r>
        <w:t xml:space="preserve"> </w:t>
      </w:r>
      <w:r>
        <w:t xml:space="preserve">is load-bearing and how large the exposure is when it is absent.</w:t>
      </w:r>
    </w:p>
    <w:bookmarkEnd w:id="9"/>
    <w:bookmarkStart w:id="11" w:name="sec: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Substrate.</w:t>
      </w:r>
      <w:r>
        <w:t xml:space="preserve"> </w:t>
      </w:r>
      <w:r>
        <w:t xml:space="preserve">We use the real 5G NR LDPC decoder in Sionna </w:t>
      </w:r>
      <w:r>
        <w:t xml:space="preserve"> </w:t>
      </w:r>
      <w:r>
        <w:t xml:space="preserve">as the</w:t>
      </w:r>
      <w:r>
        <w:t xml:space="preserve"> </w:t>
      </w:r>
      <w:r>
        <w:t xml:space="preserve">error witness. For each MCS we first</w:t>
      </w:r>
      <w:r>
        <w:t xml:space="preserve"> </w:t>
      </w:r>
      <w:r>
        <w:rPr>
          <w:i/>
          <w:iCs/>
        </w:rPr>
        <w:t xml:space="preserve">measure</w:t>
      </w:r>
      <w:r>
        <w:t xml:space="preserve"> </w:t>
      </w:r>
      <w:r>
        <w:t xml:space="preserve">a block-error curve</w:t>
      </w:r>
      <w: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decoding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coded blocks per SNR point (grid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28</m:t>
        </m:r>
      </m:oMath>
      <w:r>
        <w:t xml:space="preserve"> dB,</w:t>
      </w:r>
      <w:r>
        <w:t xml:space="preserve"> </w:t>
      </w:r>
      <m:oMath>
        <m:r>
          <m:t>2</m:t>
        </m:r>
      </m:oMath>
      <w:r>
        <w:t xml:space="preserve"> dB spacing) over</w:t>
      </w:r>
      <w:r>
        <w:t xml:space="preserve"> </w:t>
      </w:r>
      <w:r>
        <w:t xml:space="preserve">AWGN. The time-domain link then drives a per-TTI SNR trace through a 3GPP TR38.901 TDL-A</w:t>
      </w:r>
      <w:r>
        <w:t xml:space="preserve"> </w:t>
      </w:r>
      <w:r>
        <w:t xml:space="preserve">channel (carrier</w:t>
      </w:r>
      <w:r>
        <w:t xml:space="preserve"> </w:t>
      </w:r>
      <m:oMath>
        <m:r>
          <m:t>3.5</m:t>
        </m:r>
      </m:oMath>
      <w:r>
        <w:t xml:space="preserve"> GHz, delay spread</w:t>
      </w:r>
      <w:r>
        <w:t xml:space="preserve"> </w:t>
      </w:r>
      <m:oMath>
        <m:r>
          <m:t>30</m:t>
        </m:r>
      </m:oMath>
      <w:r>
        <w:t xml:space="preserve"> ns) and, at each TTI, resolves the HARQ</w:t>
      </w:r>
      <w:r>
        <w:t xml:space="preserve"> </w:t>
      </w:r>
      <w:r>
        <w:t xml:space="preserve">outcome of the selected MCS from</w:t>
      </w:r>
      <w: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 the instantaneous SNR—a standard</w:t>
      </w:r>
      <w:r>
        <w:t xml:space="preserve"> </w:t>
      </w:r>
      <w:r>
        <w:t xml:space="preserve">link-to-system mapping built on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LDPC curves, not a fabricated formula.</w:t>
      </w:r>
      <w:r>
        <w:t xml:space="preserve"> </w:t>
      </w:r>
      <w:r>
        <w:t xml:space="preserve">The MCS set is the 3GPP NR table (TS 38.214 Table 5.1.3.1-1; QPSK–64-QAM, code rates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Table </w:t>
      </w:r>
      <w:hyperlink w:anchor="tab:param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the parameters.</w:t>
      </w:r>
    </w:p>
    <w:p>
      <w:pPr>
        <w:pStyle w:val="BodyText"/>
      </w:pPr>
      <w:r>
        <w:rPr>
          <w:b/>
          <w:bCs/>
        </w:rPr>
        <w:t xml:space="preserve">System model.</w:t>
      </w:r>
      <w:r>
        <w:t xml:space="preserve"> </w:t>
      </w:r>
      <w:r>
        <w:t xml:space="preserve">Let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(dB) be the true SNR at TTI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the CSI-reported estimate: for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CSI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 dB; for a report</w:t>
      </w:r>
      <w:r>
        <w:t xml:space="preserve"> </w:t>
      </w:r>
      <w:r>
        <w:rPr>
          <w:i/>
          <w:iCs/>
        </w:rPr>
        <w:t xml:space="preserve">held</w:t>
      </w:r>
      <w:r>
        <w:t xml:space="preserve"> </w:t>
      </w:r>
      <w:r>
        <w:t xml:space="preserve">with period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γ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⌊</m:t>
            </m:r>
            <m:r>
              <m:t>t</m:t>
            </m:r>
            <m:r>
              <m:rPr>
                <m:sty m:val="p"/>
              </m:rPr>
              <m:t>/</m:t>
            </m:r>
            <m:r>
              <m:t>P</m:t>
            </m:r>
            <m:r>
              <m:rPr>
                <m:sty m:val="p"/>
              </m:rPr>
              <m:t>⌋</m:t>
            </m:r>
          </m:e>
        </m:d>
      </m:oMath>
      <w:r>
        <w:t xml:space="preserve">, so the estimate ages. Let</w:t>
      </w:r>
      <w: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be the measured LDPC error probability of MCS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ρ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γ</m:t>
        </m:r>
        <m:r>
          <m:rPr>
            <m:sty m:val="p"/>
          </m:rPr>
          <m:t>:</m:t>
        </m:r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}</m:t>
        </m:r>
      </m:oMath>
      <w:r>
        <w:t xml:space="preserve"> </w:t>
      </w:r>
      <w:r>
        <w:t xml:space="preserve">its required SNR at target</w:t>
      </w:r>
      <w:r>
        <w:t xml:space="preserve"> </w:t>
      </w:r>
      <m:oMath>
        <m:r>
          <m:t>β</m:t>
        </m:r>
      </m:oMath>
      <w:r>
        <w:t xml:space="preserve">. The</w:t>
      </w:r>
      <w:r>
        <w:t xml:space="preserve"> </w:t>
      </w:r>
      <w:r>
        <w:t xml:space="preserve">AMC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selects, using a</w:t>
      </w:r>
      <w:r>
        <w:t xml:space="preserve"> </w:t>
      </w:r>
      <w:r>
        <w:rPr>
          <w:i/>
          <w:iCs/>
        </w:rPr>
        <w:t xml:space="preserve">fixed reference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 backoff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g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M</m:t>
          </m:r>
          <m:r>
            <m:rPr>
              <m:sty m:val="p"/>
            </m:rPr>
            <m:t>:</m:t>
          </m:r>
          <m:sSub>
            <m:e>
              <m:r>
                <m:t>ρ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rPr>
              <m:sty m:val="p"/>
            </m:rPr>
            <m:t>≤</m:t>
          </m:r>
          <m:acc>
            <m:accPr>
              <m:chr m:val="̂"/>
            </m:accPr>
            <m:e>
              <m:r>
                <m:t>g</m:t>
              </m:r>
            </m:e>
          </m:acc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nor/>
              <m:sty m:val="p"/>
            </m:rPr>
            <m:t>(naive)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rPr>
          <w:i/>
          <w:iCs/>
        </w:rPr>
        <w:t xml:space="preserve">operating point</w:t>
      </w:r>
      <w:r>
        <w:t xml:space="preserve"> </w:t>
      </w:r>
      <w:r>
        <w:t xml:space="preserve">is set by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but the outcome is</w:t>
      </w:r>
      <w:r>
        <w:t xml:space="preserve"> </w:t>
      </w:r>
      <w:r>
        <w:rPr>
          <w:i/>
          <w:iCs/>
        </w:rPr>
        <w:t xml:space="preserve">judged</w:t>
      </w:r>
      <w:r>
        <w:t xml:space="preserve"> </w:t>
      </w:r>
      <w:r>
        <w:t xml:space="preserve">by the</w:t>
      </w:r>
      <w:r>
        <w:t xml:space="preserve"> </w:t>
      </w:r>
      <w:r>
        <w:t xml:space="preserve">consumer’s target</w:t>
      </w:r>
      <w:r>
        <w:t xml:space="preserve"> </w:t>
      </w:r>
      <m:oMath>
        <m:r>
          <m:t>β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consumer</w:t>
      </w:r>
      <w:r>
        <w:t xml:space="preserve"> </w:t>
      </w:r>
      <w:r>
        <w:t xml:space="preserve">is</w:t>
      </w:r>
      <w:r>
        <w:t xml:space="preserve"> </w:t>
      </w:r>
      <m:oMath>
        <m:r>
          <m:t>β</m:t>
        </m:r>
      </m:oMath>
      <w:r>
        <w:t xml:space="preserve">; the</w:t>
      </w:r>
      <w:r>
        <w:t xml:space="preserve"> </w:t>
      </w:r>
      <w:r>
        <w:rPr>
          <w:i/>
          <w:iCs/>
        </w:rPr>
        <w:t xml:space="preserve">witness</w:t>
      </w:r>
      <w:r>
        <w:t xml:space="preserve"> </w:t>
      </w:r>
      <w:r>
        <w:t xml:space="preserve">is the HARQ</w:t>
      </w:r>
      <w:r>
        <w:t xml:space="preserve"> </w:t>
      </w:r>
      <w:r>
        <w:t xml:space="preserve">outcome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sSup>
                  <m:e>
                    <m:r>
                      <m:t>m</m:t>
                    </m:r>
                  </m:e>
                  <m:sup>
                    <m:r>
                      <m:rPr>
                        <m:sty m:val="p"/>
                      </m:rPr>
                      <m:t>⋆</m:t>
                    </m:r>
                  </m:sup>
                </m:sSup>
              </m:sub>
            </m:sSub>
            <m:r>
              <m:rPr>
                <m:sty m:val="p"/>
              </m:rPr>
              <m:t>(</m:t>
            </m:r>
            <m:r>
              <m:t>γ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</m:oMath>
      <w:r>
        <w:t xml:space="preserve">. A</w:t>
      </w:r>
      <w:r>
        <w:t xml:space="preserve"> </w:t>
      </w:r>
      <w:r>
        <w:t xml:space="preserve">false-clear is a cleared MCS the channel cannot support at</w:t>
      </w:r>
      <w:r>
        <w:t xml:space="preserve"> </w:t>
      </w:r>
      <m:oMath>
        <m:r>
          <m:t>β</m:t>
        </m:r>
      </m:oMath>
      <w:r>
        <w:t xml:space="preserve">, i.e. </w:t>
      </w:r>
      <m:oMath>
        <m:sSub>
          <m:e>
            <m:r>
              <m:t>ρ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We report two estimators of its rate. For the refresh</w:t>
      </w:r>
      <w:r>
        <w:t xml:space="preserve"> </w:t>
      </w:r>
      <w:r>
        <w:t xml:space="preserve">study 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 the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HARQ NACK rate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the outer loop consumes; for the reliability-target study (§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tail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TTI cannot resolve empirically,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sSup>
                  <m:e>
                    <m:r>
                      <m:t>m</m:t>
                    </m:r>
                  </m:e>
                  <m:sup>
                    <m:r>
                      <m:rPr>
                        <m:sty m:val="p"/>
                      </m:rPr>
                      <m:t>⋆</m:t>
                    </m:r>
                  </m:sup>
                </m:sSup>
              </m:sub>
            </m:sSub>
          </m:e>
        </m:nary>
        <m:r>
          <m:rPr>
            <m:sty m:val="p"/>
          </m:rPr>
          <m:t>(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read against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hyperlink w:anchor="eq:cert">
        <w:r>
          <w:rPr>
            <w:rStyle w:val="Hyperlink"/>
          </w:rPr>
          <w:t xml:space="preserve">[eq:cert]</w:t>
        </w:r>
      </w:hyperlink>
      <w:r>
        <w:t xml:space="preserve"> </w:t>
      </w:r>
      <w:r>
        <w:t xml:space="preserve">fixes the operating point at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while the verdict uses</w:t>
      </w:r>
      <w:r>
        <w:t xml:space="preserve"> </w:t>
      </w:r>
      <m:oMath>
        <m:r>
          <m:t>β</m:t>
        </m:r>
      </m:oMath>
      <w:r>
        <w:t xml:space="preserve">, one trace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yields different results for the eMBB</w:t>
      </w:r>
      <w:r>
        <w:t xml:space="preserve"> </w:t>
      </w:r>
      <w:r>
        <w:t xml:space="preserve">(</w:t>
      </w:r>
      <m:oMath>
        <m:r>
          <m:t>β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and URLLC (</w:t>
      </w:r>
      <m:oMath>
        <m:r>
          <m:t>β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consumers—the consumer-relativity we</w:t>
      </w:r>
      <w:r>
        <w:t xml:space="preserve"> </w:t>
      </w:r>
      <w:r>
        <w:t xml:space="preserve">measure.</w:t>
      </w:r>
    </w:p>
    <w:p>
      <w:pPr>
        <w:pStyle w:val="BodyText"/>
      </w:pPr>
      <w:r>
        <w:rPr>
          <w:b/>
          <w:bCs/>
        </w:rPr>
        <w:t xml:space="preserve">URLLC-aware policy.</w:t>
      </w:r>
      <w:r>
        <w:t xml:space="preserve"> </w:t>
      </w:r>
      <w:r>
        <w:t xml:space="preserve">It raises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(a conservative MCS)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combines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diversity branches: a backoff alone cannot reach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since a single</w:t>
      </w:r>
      <w:r>
        <w:t xml:space="preserve"> </w:t>
      </w:r>
      <w:r>
        <w:t xml:space="preserve">Rayleigh branch has a</w:t>
      </w:r>
      <w:r>
        <w:t xml:space="preserve"> </w:t>
      </w:r>
      <m:oMath>
        <m:r>
          <m:rPr>
            <m:sty m:val="p"/>
          </m:rPr>
          <m:t>∼</m:t>
        </m:r>
      </m:oMath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deep-fade outage floor regardless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The</w:t>
      </w:r>
      <w:r>
        <w:t xml:space="preserve"> </w:t>
      </w:r>
      <w:r>
        <w:t xml:space="preserve">branches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TDL-A realizations (distinct seeds;</w:t>
      </w:r>
      <w:r>
        <w:t xml:space="preserve"> </w:t>
      </w:r>
      <w:r>
        <w:t xml:space="preserve">frequency/spatial replicas, not retransmissions), and a block fails only if all fail,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b>
            <m:r>
              <m:rPr>
                <m:nor/>
                <m:sty m:val="p"/>
              </m:rPr>
              <m:t>aware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nary>
              <m:naryPr>
                <m:chr m:val="∏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K</m:t>
                </m:r>
              </m:sup>
              <m:e>
                <m:sSub>
                  <m:e>
                    <m:r>
                      <m:t>e</m:t>
                    </m:r>
                  </m:e>
                  <m:sub>
                    <m:sSup>
                      <m:e>
                        <m: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⋆</m:t>
                        </m:r>
                      </m:sup>
                    </m:sSup>
                  </m:sub>
                </m:sSub>
              </m:e>
            </m:nary>
          </m:e>
        </m:nary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 a</w:t>
      </w:r>
      <w:r>
        <w:t xml:space="preserve"> </w:t>
      </w:r>
      <w:r>
        <w:rPr>
          <w:i/>
          <w:iCs/>
        </w:rPr>
        <w:t xml:space="preserve">best case</w:t>
      </w:r>
      <w:r>
        <w:t xml:space="preserve">: independent branches lower-bound the joint outage, so</w:t>
      </w:r>
      <w:r>
        <w:t xml:space="preserve"> </w:t>
      </w:r>
      <w:r>
        <w:t xml:space="preserve">correlated diversity raises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b>
            <m:r>
              <m:rPr>
                <m:nor/>
                <m:sty m:val="p"/>
              </m:rPr>
              <m:t>aware</m:t>
            </m:r>
          </m:sub>
        </m:sSub>
      </m:oMath>
      <w:r>
        <w:t xml:space="preserve"> </w:t>
      </w:r>
      <w:r>
        <w:t xml:space="preserve">and the true cost of URLLC</w:t>
      </w:r>
      <w:r>
        <w:t xml:space="preserve"> </w:t>
      </w:r>
      <w:r>
        <w:t xml:space="preserve">safety is at least what we report.</w:t>
      </w:r>
    </w:p>
    <w:p>
      <w:pPr>
        <w:pStyle w:val="BodyText"/>
      </w:pPr>
      <w:r>
        <w:rPr>
          <w:b/>
          <w:bCs/>
        </w:rPr>
        <w:t xml:space="preserve">OLLA.</w:t>
      </w:r>
      <w:r>
        <w:t xml:space="preserve"> </w:t>
      </w:r>
      <w:r>
        <w:t xml:space="preserve">The witnessed correction 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 distrusts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r>
        <w:t xml:space="preserve">selects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updating the offset asymmetrically from HARQ feedback,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↑</m:t>
              </m:r>
            </m:sub>
          </m:sSub>
          <m:r>
            <m:rPr>
              <m:sty m:val="b"/>
            </m:rPr>
            <m:t>1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ACK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↓</m:t>
              </m:r>
            </m:sub>
          </m:sSub>
          <m:r>
            <m:rPr>
              <m:sty m:val="b"/>
            </m:rPr>
            <m:t>1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NACK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up-step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↑</m:t>
            </m:r>
          </m:sub>
        </m:sSub>
        <m:r>
          <m:rPr>
            <m:sty m:val="p"/>
          </m:rPr>
          <m:t>=</m:t>
        </m:r>
        <m:r>
          <m:t>0.1</m:t>
        </m:r>
      </m:oMath>
      <w:r>
        <w:t xml:space="preserve"> dB and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↓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rPr>
                <m:sty m:val="p"/>
              </m:rPr>
              <m:t>↑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β</m:t>
        </m:r>
      </m:oMath>
      <w:r>
        <w:t xml:space="preserve">,</w:t>
      </w:r>
      <w:r>
        <w:t xml:space="preserve"> </w:t>
      </w:r>
      <w:r>
        <w:t xml:space="preserve">so the equilibrium NACK rate is</w:t>
      </w:r>
      <w:r>
        <w:t xml:space="preserve"> </w:t>
      </w:r>
      <m:oMath>
        <m:r>
          <m:t>β</m:t>
        </m:r>
      </m:oMath>
      <w:r>
        <w:t xml:space="preserve">. For held CSI the</w:t>
      </w:r>
      <w:r>
        <w:t xml:space="preserve"> </w:t>
      </w:r>
      <w:r>
        <w:rPr>
          <w:i/>
          <w:iCs/>
        </w:rPr>
        <w:t xml:space="preserve">refresh floor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:</m:t>
        </m:r>
        <m:acc>
          <m:accPr>
            <m:chr m:val="̂"/>
          </m:acc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</m:acc>
        <m:r>
          <m:rPr>
            <m:sty m:val="p"/>
          </m:rPr>
          <m:t>≤</m:t>
        </m:r>
        <m:r>
          <m:t>β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Discipline.</w:t>
      </w:r>
      <w:r>
        <w:t xml:space="preserve"> </w:t>
      </w:r>
      <w:r>
        <w:t xml:space="preserve">Each experiment is pre-registered with numerical bars and</w:t>
      </w:r>
      <w:r>
        <w:t xml:space="preserve"> </w:t>
      </w:r>
      <w:r>
        <w:t xml:space="preserve">manipulation checks fixed before the graded run; the sealed record is content-hashed and</w:t>
      </w:r>
      <w:r>
        <w:t xml:space="preserve"> </w:t>
      </w:r>
      <w:r>
        <w:t xml:space="preserve">graded on seeds disjoint from those used to design it, and negative or failing outcomes</w:t>
      </w:r>
      <w:r>
        <w:t xml:space="preserve"> </w:t>
      </w:r>
      <w:r>
        <w:t xml:space="preserve">are kept </w:t>
      </w:r>
      <w:r>
        <w:t xml:space="preserve">. The numbers below are the graded, sealed values</w:t>
      </w:r>
      <w:r>
        <w:t xml:space="preserve"> </w:t>
      </w:r>
      <w:r>
        <w:t xml:space="preserve">(Table </w:t>
      </w:r>
      <w:hyperlink w:anchor="tab:results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10" w:name="tab:params"/>
    <w:p>
      <w:pPr>
        <w:pStyle w:val="TableCaption"/>
      </w:pPr>
      <w:r>
        <w:t xml:space="preserve">Link-level parameters (sealed cells)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ink-level parameters (sealed cells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Carrier frequency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3.5</m:t>
              </m:r>
            </m:oMath>
            <w:r>
              <w:t xml:space="preserve"> GHz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TTI duration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t xml:space="preserve"> ms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3GPP TR38.901 TDL-A, DS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 ns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SNR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Decoder /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Sionna 5G NR LDPC (real decode)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TS 38.214 Tbl 5.1.3.1-1 (QPSK–64QAM)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BLER curves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blocks/pt, SNR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–</w:t>
            </w:r>
            <m:oMath>
              <m:r>
                <m:t>28</m:t>
              </m:r>
            </m:oMath>
            <w:r>
              <w:t xml:space="preserve"> dB @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CQI report noise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length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6000</m:t>
              </m:r>
            </m:oMath>
            <w:r>
              <w:t xml:space="preserve"> </w:t>
            </w:r>
            <w:r>
              <w:t xml:space="preserve">TTI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eMBB / URLLC target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URLLC-aware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MCS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 step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↑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</m:t>
              </m:r>
            </m:oMath>
            <w:r>
              <w:t xml:space="preserve"> dB (</w:t>
            </w:r>
            <m:oMath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↓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 dB)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aging Doppler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200</m:t>
              </m:r>
            </m:oMath>
            <w:r>
              <w:t xml:space="preserve"> Hz (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r>
                <m:t>2.1</m:t>
              </m:r>
            </m:oMath>
            <w:r>
              <w:t xml:space="preserve"> ms,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m:oMath>
              <m:r>
                <m:t>62</m:t>
              </m:r>
            </m:oMath>
            <w:r>
              <w:t xml:space="preserve"> km/h)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Refresh sweep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10</m:t>
              </m:r>
            </m:oMath>
            <w:r>
              <w:t xml:space="preserve">–</w:t>
            </w:r>
            <m:oMath>
              <m:r>
                <m:t>400</m:t>
              </m:r>
            </m:oMath>
            <w:r>
              <w:t xml:space="preserve"> Hz</w:t>
            </w:r>
          </w:p>
        </w:tc>
      </w:tr>
    </w:tbl>
    <w:bookmarkEnd w:id="10"/>
    <w:bookmarkEnd w:id="11"/>
    <w:bookmarkStart w:id="16" w:name="sec:urllc"/>
    <w:p>
      <w:pPr>
        <w:pStyle w:val="Heading1"/>
      </w:pPr>
      <w:r>
        <w:t xml:space="preserve">Consumer-Relativity in the Reliability Target</w:t>
      </w:r>
    </w:p>
    <w:p>
      <w:pPr>
        <w:pStyle w:val="FirstParagraph"/>
      </w:pPr>
      <w:r>
        <w:t xml:space="preserve">A base station serving mixed traffic derives one CSI estimate per user and selects an</w:t>
      </w:r>
      <w:r>
        <w:t xml:space="preserve"> </w:t>
      </w:r>
      <w:r>
        <w:t xml:space="preserve">MCS. Consider the same estimate consumed under two targets: eMBB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and URLLC 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We drive a real NR link at high</w:t>
      </w:r>
      <w:r>
        <w:t xml:space="preserve"> </w:t>
      </w:r>
      <w:r>
        <w:t xml:space="preserve">mobility, apply the naive CSI-derived MCS, and measure the achieved BLER against each</w:t>
      </w:r>
      <w:r>
        <w:t xml:space="preserve"> </w:t>
      </w:r>
      <w:r>
        <w:t xml:space="preserve">target; we then compare a</w:t>
      </w:r>
      <w:r>
        <w:t xml:space="preserve"> </w:t>
      </w:r>
      <w:r>
        <w:rPr>
          <w:i/>
          <w:iCs/>
        </w:rPr>
        <w:t xml:space="preserve">target-aware</w:t>
      </w:r>
      <w:r>
        <w:t xml:space="preserve"> </w:t>
      </w:r>
      <w:r>
        <w:t xml:space="preserve">policy that sizes its margin to the</w:t>
      </w:r>
      <w:r>
        <w:t xml:space="preserve"> </w:t>
      </w:r>
      <w:r>
        <w:t xml:space="preserve">consumer’s target.</w:t>
      </w:r>
    </w:p>
    <w:p>
      <w:pPr>
        <w:pStyle w:val="BodyText"/>
      </w:pPr>
      <w:r>
        <w:t xml:space="preserve">Figure </w:t>
      </w:r>
      <w:hyperlink w:anchor="fig:urll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sealed result (three graded seeds,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TTI,</w:t>
      </w:r>
      <w:r>
        <w:t xml:space="preserve"> </w:t>
      </w:r>
      <w:r>
        <w:t xml:space="preserve">fresh CSI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 dB report noise; expected-rate estimator). The naive</w:t>
      </w:r>
      <w:r>
        <w:t xml:space="preserve"> </w:t>
      </w:r>
      <w:r>
        <w:t xml:space="preserve">certificate 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0.112</m:t>
        </m:r>
      </m:oMath>
      <w:r>
        <w:t xml:space="preserve">. Read by the eMBB consumer this is at</w:t>
      </w:r>
      <w:r>
        <w:t xml:space="preserve"> </w:t>
      </w:r>
      <w:r>
        <w:t xml:space="preserve">target—the certificate is sound. Read by the URLLC consumer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0.112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false-clear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(against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): every such block is a reliability-SLA</w:t>
      </w:r>
      <w:r>
        <w:t xml:space="preserve"> </w:t>
      </w:r>
      <w:r>
        <w:t xml:space="preserve">violation, invisible to a scheduler that assumed one CSI report serves all traffic. The</w:t>
      </w:r>
      <w:r>
        <w:t xml:space="preserve"> </w:t>
      </w:r>
      <w:r>
        <w:t xml:space="preserve">target-aware policy—the same CSI, a conservative MCS backoff combined with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independent diversity branches of Sec. </w:t>
      </w:r>
      <w:hyperlink w:anchor="sec:metho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(a backoff alone cannot reach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tail on one branch)—achieves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comfortably within target, at the cost of the backoff’s spectral efficiency and the</w:t>
      </w:r>
      <w:r>
        <w:t xml:space="preserve"> </w:t>
      </w:r>
      <w:r>
        <w:t xml:space="preserve">diversity’s resource overhead. No single certificate is</w:t>
      </w:r>
      <w:r>
        <w:t xml:space="preserve"> </w:t>
      </w:r>
      <w:r>
        <w:rPr>
          <w:i/>
          <w:iCs/>
        </w:rPr>
        <w:t xml:space="preserve">efficient</w:t>
      </w:r>
      <w:r>
        <w:t xml:space="preserve"> </w:t>
      </w:r>
      <w:r>
        <w:t xml:space="preserve">for both: the</w:t>
      </w:r>
      <w:r>
        <w:t xml:space="preserve"> </w:t>
      </w:r>
      <w:r>
        <w:t xml:space="preserve">one that is sound for eMBB false-clears for URLLC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, and the one that is</w:t>
      </w:r>
      <w:r>
        <w:t xml:space="preserve"> </w:t>
      </w:r>
      <w:r>
        <w:t xml:space="preserve">sound for URLLC over-provisions eMBB. The false-clear rate is the number that prices the</w:t>
      </w:r>
      <w:r>
        <w:t xml:space="preserve"> </w:t>
      </w:r>
      <w:r>
        <w:t xml:space="preserve">difference.</w:t>
      </w:r>
    </w:p>
    <w:bookmarkStart w:id="15" w:name="fig:urllc"/>
    <w:p>
      <w:pPr>
        <w:pStyle w:val="CaptionedFigure"/>
      </w:pPr>
      <w:r>
        <w:drawing>
          <wp:inline>
            <wp:extent cx="3146881" cy="250466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urllc_relativit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6881" cy="2504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Consumer-relativity of the CSI certificate in the reliability target</w:t>
      </w:r>
      <w:r>
        <w:t xml:space="preserve"> </w:t>
      </w:r>
      <w:r>
        <w:t xml:space="preserve">(real NR, Sionna LDPC; 3 sealed seeds,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TTI each; bars are means, whiskers</w:t>
      </w:r>
      <w:r>
        <w:t xml:space="preserve"> </w:t>
      </w:r>
      <w:r>
        <w:t xml:space="preserve">min–max). The identical CSI-derived MCS meets the eMBB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but</w:t>
      </w:r>
      <w:r>
        <w:t xml:space="preserve"> </w:t>
      </w:r>
      <w:r>
        <w:t xml:space="preserve">false-clears the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; a target-aware policy</w:t>
      </w:r>
      <w:r>
        <w:t xml:space="preserve"> </w:t>
      </w:r>
      <w:r>
        <w:t xml:space="preserve">(conservative MCS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independent diversity branches) meets URLLC.</w:t>
      </w:r>
    </w:p>
    <w:bookmarkEnd w:id="15"/>
    <w:bookmarkEnd w:id="16"/>
    <w:bookmarkStart w:id="22" w:name="sec:refresh"/>
    <w:p>
      <w:pPr>
        <w:pStyle w:val="Heading1"/>
      </w:pPr>
      <w:r>
        <w:t xml:space="preserve">The Refresh Horizon</w:t>
      </w:r>
    </w:p>
    <w:p>
      <w:pPr>
        <w:pStyle w:val="FirstParagraph"/>
      </w:pPr>
      <w:r>
        <w:t xml:space="preserve">The second axis is time. A CSI report is fresh when issued and ages as the channel</w:t>
      </w:r>
      <w:r>
        <w:t xml:space="preserve"> </w:t>
      </w:r>
      <w:r>
        <w:t xml:space="preserve">decorrelates; a certificate that was sound at report time false-clears once the channel</w:t>
      </w:r>
      <w:r>
        <w:t xml:space="preserve"> </w:t>
      </w:r>
      <w:r>
        <w:t xml:space="preserve">has moved. Here we use the empirical HARQ NACK rate </w:t>
      </w:r>
      <w:hyperlink w:anchor="eq:fc_emp">
        <w:r>
          <w:rPr>
            <w:rStyle w:val="Hyperlink"/>
          </w:rPr>
          <w:t xml:space="preserve">[eq:fc_emp]</w:t>
        </w:r>
      </w:hyperlink>
      <w:r>
        <w:t xml:space="preserve">. At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 Hz</w:t>
      </w:r>
      <w:r>
        <w:t xml:space="preserve"> </w:t>
      </w:r>
      <w:r>
        <w:t xml:space="preserve">(</w:t>
      </w:r>
      <m:oMath>
        <m:r>
          <m:t>v</m:t>
        </m:r>
        <m:r>
          <m:t>​</m:t>
        </m:r>
        <m:r>
          <m:rPr>
            <m:sty m:val="p"/>
          </m:rPr>
          <m:t>≈</m:t>
        </m:r>
        <m:r>
          <m:t>​</m:t>
        </m:r>
        <m:r>
          <m:t>62</m:t>
        </m:r>
      </m:oMath>
      <w:r>
        <w:t xml:space="preserve"> km/h at</w:t>
      </w:r>
      <w:r>
        <w:t xml:space="preserve"> </w:t>
      </w:r>
      <m:oMath>
        <m:r>
          <m:t>3.5</m:t>
        </m:r>
      </m:oMath>
      <w:r>
        <w:t xml:space="preserve"> GHz) with a</w:t>
      </w:r>
      <w:r>
        <w:t xml:space="preserve"> </w:t>
      </w:r>
      <m:oMath>
        <m:r>
          <m:t>20</m:t>
        </m:r>
      </m:oMath>
      <w:r>
        <w:t xml:space="preserve">-TTI report period, the aged estimate</w:t>
      </w:r>
      <w:r>
        <w:t xml:space="preserve"> </w:t>
      </w:r>
      <w:r>
        <w:t xml:space="preserve">has a mean absolute error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5.7</m:t>
        </m:r>
      </m:oMath>
      <w:r>
        <w:t xml:space="preserve"> dB</w:t>
      </w:r>
      <w:r>
        <w:t xml:space="preserve"> </w:t>
      </w:r>
      <w:r>
        <w:t xml:space="preserve">(aging-dominated; report noise contributes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1 dB), and the naive (held-CSI)</w:t>
      </w:r>
      <w:r>
        <w:t xml:space="preserve"> </w:t>
      </w:r>
      <w:r>
        <w:t xml:space="preserve">certificate reaches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0.36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target—a false-clear on</w:t>
      </w:r>
      <w:r>
        <w:t xml:space="preserve"> </w:t>
      </w:r>
      <w:r>
        <w:t xml:space="preserve">roughly a quarter of transmissions—while OLLA </w:t>
      </w:r>
      <w:hyperlink w:anchor="eq:olla">
        <w:r>
          <w:rPr>
            <w:rStyle w:val="Hyperlink"/>
          </w:rPr>
          <w:t xml:space="preserve">[eq:olla]</w:t>
        </w:r>
      </w:hyperlink>
      <w:r>
        <w:t xml:space="preserve">, the deployed</w:t>
      </w:r>
      <w:r>
        <w:t xml:space="preserve"> </w:t>
      </w:r>
      <w:r>
        <w:t xml:space="preserve">HARQ-witnessed correction, holds it at</w:t>
      </w:r>
      <w:r>
        <w:t xml:space="preserve"> </w:t>
      </w:r>
      <m:oMath>
        <m:r>
          <m:rPr>
            <m:sty m:val="p"/>
          </m:rPr>
          <m:t>≈</m:t>
        </m:r>
        <m:r>
          <m:t>0.10</m:t>
        </m:r>
      </m:oMath>
      <w:r>
        <w:t xml:space="preserve"> </w:t>
      </w:r>
      <w:r>
        <w:t xml:space="preserve">(Fig.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(a) shows</w:t>
      </w:r>
      <w:r>
        <w:t xml:space="preserve"> </w:t>
      </w:r>
      <w:r>
        <w:t xml:space="preserve">the aging across mobility).</w:t>
      </w:r>
    </w:p>
    <w:p>
      <w:pPr>
        <w:pStyle w:val="BodyText"/>
      </w:pPr>
      <w:r>
        <w:t xml:space="preserve">The operational question is how often to refresh. We sweep Doppler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}</m:t>
        </m:r>
      </m:oMath>
      <w:r>
        <w:t xml:space="preserve"> Hz (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down to</w:t>
      </w:r>
      <w:r>
        <w:t xml:space="preserve"> </w:t>
      </w:r>
      <m:oMath>
        <m:r>
          <m:t>1</m:t>
        </m:r>
      </m:oMath>
      <w:r>
        <w:t xml:space="preserve"> ms, an</w:t>
      </w:r>
      <w:r>
        <w:t xml:space="preserve"> </w:t>
      </w:r>
      <w:r>
        <w:t xml:space="preserve">order of magnitude) and report period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}</m:t>
        </m:r>
      </m:oMath>
      <w:r>
        <w:t xml:space="preserve"> </w:t>
      </w:r>
      <w:r>
        <w:t xml:space="preserve">TTI, define the</w:t>
      </w:r>
      <w:r>
        <w:t xml:space="preserve"> </w:t>
      </w:r>
      <w:r>
        <w:rPr>
          <w:i/>
          <w:iCs/>
        </w:rPr>
        <w:t xml:space="preserve">refresh</w:t>
      </w:r>
      <w:r>
        <w:rPr>
          <w:i/>
          <w:iCs/>
        </w:rPr>
        <w:t xml:space="preserve"> </w:t>
      </w:r>
      <w:r>
        <w:rPr>
          <w:i/>
          <w:iCs/>
        </w:rPr>
        <w:t xml:space="preserve">floor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largest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keeping BLER at target, and fit it by</w:t>
      </w:r>
      <w:r>
        <w:t xml:space="preserve"> </w:t>
      </w:r>
      <w:r>
        <w:t xml:space="preserve">least-squares</w:t>
      </w:r>
      <w:r>
        <w:t xml:space="preserve"> </w:t>
      </w:r>
      <w:r>
        <w:rPr>
          <w:i/>
          <w:iCs/>
        </w:rPr>
        <w:t xml:space="preserve">through the origin</w:t>
      </w:r>
      <w:r>
        <w:t xml:space="preserve"> </w:t>
      </w:r>
      <w:r>
        <w:t xml:space="preserve">(linear, not log-log) against the Clarke</w:t>
      </w:r>
      <w:r>
        <w:t xml:space="preserve"> </w:t>
      </w:r>
      <w:r>
        <w:t xml:space="preserve">coherence time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0.423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0.177</m:t>
          </m:r>
          <m:r>
            <m:t> 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0.915</m:t>
          </m:r>
        </m:oMath>
      </m:oMathPara>
    </w:p>
    <w:p>
      <w:pPr>
        <w:pStyle w:val="FirstParagraph"/>
      </w:pPr>
      <w:r>
        <w:t xml:space="preserve">(Fig.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(b)). The fit is dominated by the low-mobility points; at high</w:t>
      </w:r>
      <w:r>
        <w:t xml:space="preserve"> </w:t>
      </w:r>
      <w:r>
        <w:t xml:space="preserve">Doppler the floor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at the minimum report period (</w:t>
      </w:r>
      <m:oMath>
        <m:r>
          <m:t>1</m:t>
        </m:r>
      </m:oMath>
      <w:r>
        <w:t xml:space="preserve"> </w:t>
      </w:r>
      <w:r>
        <w:t xml:space="preserve">TTI, the dotted</w:t>
      </w:r>
      <w:r>
        <w:t xml:space="preserve"> </w:t>
      </w:r>
      <w:r>
        <w:t xml:space="preserve">line in 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(b)). This saturation is operationally decisive: above a</w:t>
      </w:r>
      <w:r>
        <w:t xml:space="preserve"> </w:t>
      </w:r>
      <w:r>
        <w:t xml:space="preserve">mobility threshold (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≳</m:t>
        </m:r>
        <m:r>
          <m:t>200</m:t>
        </m:r>
      </m:oMath>
      <w:r>
        <w:t xml:space="preserve"> Hz here)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reporting cadence the frame</w:t>
      </w:r>
      <w:r>
        <w:t xml:space="preserve"> </w:t>
      </w:r>
      <w:r>
        <w:t xml:space="preserve">permits keeps the naive certificate at target, so a HARQ-witnessed correction (OLLA)</w:t>
      </w:r>
      <w:r>
        <w:t xml:space="preserve"> </w:t>
      </w:r>
      <w:r>
        <w:t xml:space="preserve">stops being optional and becomes mandatory. Below it, </w:t>
      </w:r>
      <w:hyperlink w:anchor="eq:ot14">
        <w:r>
          <w:rPr>
            <w:rStyle w:val="Hyperlink"/>
          </w:rPr>
          <w:t xml:space="preserve">[eq:ot14]</w:t>
        </w:r>
      </w:hyperlink>
      <w:r>
        <w:t xml:space="preserve"> </w:t>
      </w:r>
      <w:r>
        <w:t xml:space="preserve">is a concrete</w:t>
      </w:r>
      <w:r>
        <w:t xml:space="preserve"> </w:t>
      </w:r>
      <w:r>
        <w:t xml:space="preserve">provisioning rule: re-report before the channel decorrelates past</w:t>
      </w:r>
      <w:r>
        <w:t xml:space="preserve"> </w:t>
      </w:r>
      <m:oMath>
        <m:r>
          <m:rPr>
            <m:sty m:val="p"/>
          </m:rPr>
          <m:t>≈</m:t>
        </m:r>
        <m:r>
          <m:t>0.18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 not on a fixed calendar.</w:t>
      </w:r>
    </w:p>
    <w:bookmarkStart w:id="20" w:name="fig:refresh"/>
    <w:p>
      <w:pPr>
        <w:pStyle w:val="CaptionedFigure"/>
      </w:pPr>
      <w:r>
        <w:drawing>
          <wp:inline>
            <wp:extent cx="5334000" cy="202208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refresh_floo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CSI certificate’s refresh horizon (real NR, Sionna LDPC; sealed sweep).</w:t>
      </w:r>
      <w:r>
        <w:t xml:space="preserve"> </w:t>
      </w:r>
      <w:r>
        <w:t xml:space="preserve">(a) The certificate ages: BLER grows with report period, faster at higher Doppler.</w:t>
      </w:r>
      <w:r>
        <w:t xml:space="preserve"> </w:t>
      </w:r>
      <w:r>
        <w:t xml:space="preserve">(b) The refresh floor is proportional to the Clarke coherence time</w:t>
      </w:r>
      <w:r>
        <w:t xml:space="preserve"> </w:t>
      </w:r>
      <w:r>
        <w:t xml:space="preserve">(</w:t>
      </w:r>
      <m:oMath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); at high Doppler it saturates at one TTI.</w:t>
      </w:r>
    </w:p>
    <w:bookmarkEnd w:id="20"/>
    <w:bookmarkStart w:id="21" w:name="tab:results"/>
    <w:p>
      <w:pPr>
        <w:pStyle w:val="TableCaption"/>
      </w:pPr>
      <w:r>
        <w:t xml:space="preserve">Sealed per-seed results (achieved BLER)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aled per-seed results (achieved BLER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(a) Reliability target</w:t>
            </w:r>
            <w:r>
              <w:t xml:space="preserve"> </w:t>
            </w:r>
            <w:r>
              <w:t xml:space="preserve">(§</w:t>
            </w:r>
            <w:hyperlink w:anchor="sec:urllc">
              <w:r>
                <w:rPr>
                  <w:rStyle w:val="Hyperlink"/>
                </w:rPr>
                <w:t xml:space="preserve">3</w:t>
              </w:r>
            </w:hyperlink>
            <w:r>
              <w:t xml:space="preserve">), fresh CSI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URLLC-naive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URLLC-aware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0.1119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0.1119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0.1103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0.1103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20260826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(b) Refresh horizon</w:t>
            </w:r>
            <w:r>
              <w:t xml:space="preserve"> </w:t>
            </w:r>
            <w:r>
              <w:t xml:space="preserve">(§</w:t>
            </w:r>
            <w:hyperlink w:anchor="sec:refresh">
              <w:r>
                <w:rPr>
                  <w:rStyle w:val="Hyperlink"/>
                </w:rPr>
                <w:t xml:space="preserve">4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 Hz,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-TTI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CQI 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0.366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5.61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0.340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5.86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0.373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5.76</m:t>
              </m:r>
            </m:oMath>
            <w:r>
              <w:t xml:space="preserve"> dB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Seed IDs are campaign date-stamps.</w:t>
            </w:r>
            <w:r>
              <w:t xml:space="preserve"> </w:t>
            </w:r>
            <w:r>
              <w:t xml:space="preserve">(a) expected rate; (b) empirical NACK rate.</w:t>
            </w:r>
          </w:p>
        </w:tc>
      </w:tr>
    </w:tbl>
    <w:bookmarkEnd w:id="21"/>
    <w:bookmarkEnd w:id="22"/>
    <w:bookmarkStart w:id="23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Link adaptation, CSI aging, and outer-loop correction are mature. OLLA </w:t>
      </w:r>
      <w:r>
        <w:t xml:space="preserve"> </w:t>
      </w:r>
      <w:r>
        <w:t xml:space="preserve">adjusts an SINR offset from HARQ ACK/NACK to hold a BLER target under imperfect or stale</w:t>
      </w:r>
      <w:r>
        <w:t xml:space="preserve"> </w:t>
      </w:r>
      <w:r>
        <w:t xml:space="preserve">CSI; it is precisely the witnessed correction our refresh-horizon result quantifies.</w:t>
      </w:r>
      <w:r>
        <w:t xml:space="preserve"> </w:t>
      </w:r>
      <w:r>
        <w:t xml:space="preserve">Short-packet and URLLC analysis </w:t>
      </w:r>
      <w:r>
        <w:t xml:space="preserve"> </w:t>
      </w:r>
      <w:r>
        <w:t xml:space="preserve">establishes the reliability-target regime in</w:t>
      </w:r>
      <w:r>
        <w:t xml:space="preserve"> </w:t>
      </w:r>
      <w:r>
        <w:t xml:space="preserve">which the eMBB-to-URLLC gap of 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lives. Current practice configures CQI</w:t>
      </w:r>
      <w:r>
        <w:t xml:space="preserve"> </w:t>
      </w:r>
      <w:r>
        <w:t xml:space="preserve">reporting on a fixed periodicity </w:t>
      </w:r>
      <w:r>
        <w:t xml:space="preserve">; our refresh floor recasts that period</w:t>
      </w:r>
      <w:r>
        <w:t xml:space="preserve"> </w:t>
      </w:r>
      <w:r>
        <w:t xml:space="preserve">as a coherence-time budget (</w:t>
      </w:r>
      <m:oMath>
        <m:r>
          <m:rPr>
            <m:sty m:val="p"/>
          </m:rPr>
          <m:t>≈</m:t>
        </m:r>
        <m:r>
          <m:t>0.18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)—a mobility-adaptive rule</w:t>
      </w:r>
      <w:r>
        <w:t xml:space="preserve"> </w:t>
      </w:r>
      <w:r>
        <w:t xml:space="preserve">rather than a fixed calendar. Learned CSI feedback trained on reconstruction</w:t>
      </w:r>
      <w:r>
        <w:t xml:space="preserve"> </w:t>
      </w:r>
      <w:r>
        <w:t xml:space="preserve">error </w:t>
      </w:r>
      <w:r>
        <w:t xml:space="preserve"> </w:t>
      </w:r>
      <w:r>
        <w:t xml:space="preserve">is an active direction; we note only that the reconstruction-versus-</w:t>
      </w:r>
      <w:r>
        <w:t xml:space="preserve"> </w:t>
      </w:r>
      <w:r>
        <w:t xml:space="preserve">consumer objective gap it might imply did not appear at practical operating points in our</w:t>
      </w:r>
      <w:r>
        <w:t xml:space="preserve"> </w:t>
      </w:r>
      <w:r>
        <w:t xml:space="preserve">controlled tests, and we make no claim on it here. Our contribution is orthogonal: not a</w:t>
      </w:r>
      <w:r>
        <w:t xml:space="preserve"> </w:t>
      </w:r>
      <w:r>
        <w:t xml:space="preserve">better estimator, scheduler, or offset rule, but a</w:t>
      </w:r>
      <w:r>
        <w:t xml:space="preserve"> </w:t>
      </w:r>
      <w:r>
        <w:rPr>
          <w:i/>
          <w:iCs/>
        </w:rPr>
        <w:t xml:space="preserve">measurement</w:t>
      </w:r>
      <w:r>
        <w:t xml:space="preserve">—the false-clear</w:t>
      </w:r>
      <w:r>
        <w:t xml:space="preserve"> </w:t>
      </w:r>
      <w:r>
        <w:t xml:space="preserve">rate as a first-class, consumer-relative KPI—and the two relativities and the refresh</w:t>
      </w:r>
      <w:r>
        <w:t xml:space="preserve"> </w:t>
      </w:r>
      <w:r>
        <w:t xml:space="preserve">law it exposes.</w:t>
      </w:r>
    </w:p>
    <w:bookmarkEnd w:id="23"/>
    <w:bookmarkStart w:id="25" w:name="discussion-and-conclusion"/>
    <w:p>
      <w:pPr>
        <w:pStyle w:val="Heading1"/>
      </w:pPr>
      <w:r>
        <w:t xml:space="preserve">Discussion and Conclusion</w:t>
      </w:r>
    </w:p>
    <w:p>
      <w:pPr>
        <w:pStyle w:val="FirstParagraph"/>
      </w:pPr>
      <w:r>
        <w:t xml:space="preserve">The unit of correctness in link adaptation is not the CSI report but the pair (report,</w:t>
      </w:r>
      <w:r>
        <w:t xml:space="preserve"> </w:t>
      </w:r>
      <w:r>
        <w:t xml:space="preserve">consumer). Sizing margin and refresh cadence for the consumer’s reliability target and</w:t>
      </w:r>
      <w:r>
        <w:t xml:space="preserve"> </w:t>
      </w:r>
      <w:r>
        <w:t xml:space="preserve">coherence time, rather than for a nominal channel, is what keeps a certificate honest.</w:t>
      </w:r>
      <w:r>
        <w:t xml:space="preserve"> </w:t>
      </w:r>
      <w:r>
        <w:t xml:space="preserve">The false-clear rate makes the cost of ignoring the consumer measurable: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mismatched target, a coherence-scaled horizon for a stale report. The Sionna link-level</w:t>
      </w:r>
      <w:r>
        <w:t xml:space="preserve"> </w:t>
      </w:r>
      <w:r>
        <w:t xml:space="preserve">chain is the evidence rung; an over-the-air or srsRAN testbed with real HARQ traces is the</w:t>
      </w:r>
      <w:r>
        <w:t xml:space="preserve"> </w:t>
      </w:r>
      <w:r>
        <w:t xml:space="preserve">external-validity graduation.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evidence is one TDL-A profile (DS</w:t>
      </w:r>
      <w:r>
        <w:t xml:space="preserve"> </w:t>
      </w:r>
      <m:oMath>
        <m:r>
          <m:t>30</m:t>
        </m:r>
      </m:oMath>
      <w:r>
        <w:t xml:space="preserve"> ns), one mean SNR (</w:t>
      </w:r>
      <m:oMath>
        <m:r>
          <m:t>12</m:t>
        </m:r>
      </m:oMath>
      <w:r>
        <w:t xml:space="preserve"> dB),</w:t>
      </w:r>
      <w:r>
        <w:t xml:space="preserve"> </w:t>
      </w:r>
      <w:r>
        <w:t xml:space="preserve">an MCS set to 64-QAM, and—for the target axis—one mobility; the refresh law is fit</w:t>
      </w:r>
      <w:r>
        <w:t xml:space="preserve"> </w:t>
      </w:r>
      <w:r>
        <w:t xml:space="preserve">across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400</m:t>
        </m:r>
      </m:oMath>
      <w:r>
        <w:t xml:space="preserve"> Hz. We expect both relativities to persist and</w:t>
      </w:r>
      <w:r>
        <w:t xml:space="preserve"> </w:t>
      </w:r>
      <w:r>
        <w:rPr>
          <w:i/>
          <w:iCs/>
        </w:rPr>
        <w:t xml:space="preserve">sharpen</w:t>
      </w:r>
      <w:r>
        <w:t xml:space="preserve"> </w:t>
      </w:r>
      <w:r>
        <w:t xml:space="preserve">elsewhere: at cell edge the naive certificate false-clears even for eMBB, so the target</w:t>
      </w:r>
      <w:r>
        <w:t xml:space="preserve"> </w:t>
      </w:r>
      <w:r>
        <w:t xml:space="preserve">gap only widens; 256-QAM adds steeper cliffs that deepen the aging penalty; and richer</w:t>
      </w:r>
      <w:r>
        <w:t xml:space="preserve"> </w:t>
      </w:r>
      <w:r>
        <w:t xml:space="preserve">profiles or correlated diversity raise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b>
            <m:r>
              <m:rPr>
                <m:nor/>
                <m:sty m:val="p"/>
              </m:rPr>
              <m:t>aware</m:t>
            </m:r>
          </m:sub>
        </m:sSub>
      </m:oMath>
      <w:r>
        <w:t xml:space="preserve">. Each omitted factor</w:t>
      </w:r>
      <w:r>
        <w:t xml:space="preserve"> </w:t>
      </w:r>
      <w:r>
        <w:t xml:space="preserve">increases, not removes, the measured cost. The methodology is not radio-specific—the</w:t>
      </w:r>
      <w:r>
        <w:t xml:space="preserve"> </w:t>
      </w:r>
      <w:r>
        <w:t xml:space="preserve">same consumer-relative false-clear appears in optical quality-of-transmission and</w:t>
      </w:r>
      <w:r>
        <w:t xml:space="preserve"> </w:t>
      </w:r>
      <w:r>
        <w:t xml:space="preserve">database replication </w:t>
      </w:r>
      <w:r>
        <w:t xml:space="preserve">—but the results here stand on the 5G NR CSI</w:t>
      </w:r>
      <w:r>
        <w:t xml:space="preserve"> </w:t>
      </w:r>
      <w:r>
        <w:t xml:space="preserve">certificate alone.</w:t>
      </w:r>
    </w:p>
    <w:p>
      <w:pPr>
        <w:pStyle w:val="BodyText"/>
      </w:pPr>
      <w:r>
        <w:t xml:space="preserve">1</w:t>
      </w:r>
      <w:r>
        <w:t xml:space="preserve"> </w:t>
      </w:r>
      <w:r>
        <w:t xml:space="preserve">A. Sampath, P. Sarath Kumar, and J. M. Holtzman,</w:t>
      </w:r>
      <w:r>
        <w:t xml:space="preserve"> </w:t>
      </w:r>
      <w:r>
        <w:t xml:space="preserve">“On setting reverse link</w:t>
      </w:r>
      <w:r>
        <w:t xml:space="preserve"> </w:t>
      </w:r>
      <w:r>
        <w:t xml:space="preserve">target SIR in a CDMA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47th Veh. Technol. Conf. (VTC)</w:t>
      </w:r>
      <w:r>
        <w:t xml:space="preserve">,</w:t>
      </w:r>
      <w:r>
        <w:t xml:space="preserve"> </w:t>
      </w:r>
      <w:r>
        <w:t xml:space="preserve">vol. 2, 1997, pp. 929–933.</w:t>
      </w:r>
      <w:r>
        <w:t xml:space="preserve"> </w:t>
      </w:r>
      <w:r>
        <w:t xml:space="preserve">J. Hoydis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“Sionna: An open-source library for</w:t>
      </w:r>
      <w:r>
        <w:t xml:space="preserve"> </w:t>
      </w:r>
      <w:r>
        <w:t xml:space="preserve">next-generation physical layer research,”</w:t>
      </w:r>
      <w:r>
        <w:t xml:space="preserve"> </w:t>
      </w:r>
      <w:r>
        <w:t xml:space="preserve">arXiv:2203.11854, 2022.</w:t>
      </w:r>
      <w:r>
        <w:t xml:space="preserve"> </w:t>
      </w:r>
      <w:r>
        <w:t xml:space="preserve">G. Durisi, T. Koch, and P. Popovski,</w:t>
      </w:r>
      <w:r>
        <w:t xml:space="preserve"> </w:t>
      </w:r>
      <w:r>
        <w:t xml:space="preserve">“Toward massive, ultrareliable, and</w:t>
      </w:r>
      <w:r>
        <w:t xml:space="preserve"> </w:t>
      </w:r>
      <w:r>
        <w:t xml:space="preserve">low-latency wireless communication with short packets,”</w:t>
      </w:r>
      <w:r>
        <w:t xml:space="preserve"> </w:t>
      </w:r>
      <w:r>
        <w:rPr>
          <w:i/>
          <w:iCs/>
        </w:rPr>
        <w:t xml:space="preserve">Proc. IEEE</w:t>
      </w:r>
      <w:r>
        <w:t xml:space="preserve">, vol. 104,</w:t>
      </w:r>
      <w:r>
        <w:t xml:space="preserve"> </w:t>
      </w:r>
      <w:r>
        <w:t xml:space="preserve">no. 9, pp. 1711–1726, 2016.</w:t>
      </w:r>
      <w:r>
        <w:t xml:space="preserve"> </w:t>
      </w:r>
      <w:r>
        <w:t xml:space="preserve">3GPP TS 38.214,</w:t>
      </w:r>
      <w:r>
        <w:t xml:space="preserve"> </w:t>
      </w:r>
      <w:r>
        <w:t xml:space="preserve">“NR; Physical layer procedures for data,”</w:t>
      </w:r>
      <w:r>
        <w:t xml:space="preserve"> </w:t>
      </w:r>
      <w:r>
        <w:t xml:space="preserve">v17,</w:t>
      </w:r>
      <w:r>
        <w:t xml:space="preserve"> </w:t>
      </w:r>
      <w:r>
        <w:t xml:space="preserve">clause 5.2 (CSI/CQI reporting), 2022.</w:t>
      </w:r>
      <w:r>
        <w:t xml:space="preserve"> </w:t>
      </w:r>
      <w:r>
        <w:t xml:space="preserve">C.-K. Wen, W.-T. Shih, and S. Jin,</w:t>
      </w:r>
      <w:r>
        <w:t xml:space="preserve"> </w:t>
      </w:r>
      <w:r>
        <w:t xml:space="preserve">“Deep learning for massive MIMO CSI</w:t>
      </w:r>
      <w:r>
        <w:t xml:space="preserve"> </w:t>
      </w:r>
      <w:r>
        <w:t xml:space="preserve">feedback,”</w:t>
      </w:r>
      <w:r>
        <w:t xml:space="preserve"> </w:t>
      </w:r>
      <w:r>
        <w:rPr>
          <w:i/>
          <w:iCs/>
        </w:rPr>
        <w:t xml:space="preserve">IEEE Wireless Commun. Lett.</w:t>
      </w:r>
      <w:r>
        <w:t xml:space="preserve">, vol. 7, no. 5, pp. 748–751, 2018.</w:t>
      </w:r>
      <w:r>
        <w:t xml:space="preserve"> </w:t>
      </w:r>
      <w:r>
        <w:t xml:space="preserve">A. H. Bond,</w:t>
      </w:r>
      <w:r>
        <w:t xml:space="preserve"> </w:t>
      </w:r>
      <w:r>
        <w:t xml:space="preserve">“Observation Theory: consumer-relative witnessed</w:t>
      </w:r>
      <w:r>
        <w:t xml:space="preserve"> </w:t>
      </w:r>
      <w:r>
        <w:t xml:space="preserve">certificates,”</w:t>
      </w:r>
      <w:r>
        <w:t xml:space="preserve"> </w:t>
      </w:r>
      <w:r>
        <w:t xml:space="preserve">sealed pre-registrations and code,</w:t>
      </w:r>
      <w:r>
        <w:t xml:space="preserve"> </w:t>
      </w:r>
      <w:hyperlink r:id="rId24">
        <w:r>
          <w:rPr>
            <w:rStyle w:val="Hyperlink"/>
          </w:rPr>
          <w:t xml:space="preserve">https://github.com/ahb-sjsu/observation-theory-campaigns</w:t>
        </w:r>
      </w:hyperlink>
      <w:r>
        <w:t xml:space="preserve">, 2026.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2" Target="media/rId12.png" /><Relationship Type="http://schemas.openxmlformats.org/officeDocument/2006/relationships/hyperlink" Id="rId24" Target="https://github.com/ahb-sjsu/observation-theory-campaig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ithub.com/ahb-sjsu/observation-theory-campaig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CSI Report Cannot Serve Every Consumer: The Consumer-Relative False-Clear Rate in 5G/6G Link Adaptation</dc:title>
  <dc:creator/>
  <cp:keywords/>
  <dcterms:created xsi:type="dcterms:W3CDTF">2026-08-26T06:31:59Z</dcterms:created>
  <dcterms:modified xsi:type="dcterms:W3CDTF">2026-08-26T06:31:59Z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channel-state-information (CSI) report is a certificate: an implicit claim that the channel is good enough to transmit at a selected rate. That certificate is not read by the channel; it is read by a consumer—a scheduler with a reliability target and a decoder at a moment in time. We make the rate at which a CSI certificate false-clears (selects a rate the link cannot support) a first-class, measured KPI on a real 5G NR link-level chain (Sionna LDPC decoding), and show it is consumer-relative along two axes. First, the reliability target: the identical CSI-derived modulation-and-coding selection that meets an eMBB target (\mathrm{BLER}=10^{-1}) misses a URLLC target (10^{-3}) by more than two orders of magnitude (112\times), while a target-aware policy meets it. Second, the refresh horizon: as the report ages, the false-clear rate grows, and the largest safe report period is proportional to the Clarke coherence time (\approx 0.177\,T_{\mathrm{coh}}, R^2=0.915). The witnessed corrections that hold each axis—outer-loop link adaptation, a coherence-driven refresh—already exist; our contribution is the measured number that says when each is needed. All results are drawn from sealed, pre-registered records.</vt:lpwstr>
  </property>
</Properties>
</file>