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One CSI Report Cannot Serve Every Consumer:</w:t>
      </w:r>
      <w:r>
        <w:br/>
      </w:r>
      <w:r>
        <w:t xml:space="preserve">The Consumer-Relative False-Clear Rate in 5G/6G Link Adaptation</w:t>
      </w:r>
    </w:p>
    <w:p>
      <w:pPr>
        <w:pStyle w:val="Author"/>
      </w:pP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A channel-state-information (CSI) report is a certificate: an implicit claim that the</w:t>
      </w:r>
      <w:r>
        <w:t xml:space="preserve"> </w:t>
      </w:r>
      <w:r>
        <w:t xml:space="preserve">channel is good enough to transmit at a selected rate. That certificate is not read by</w:t>
      </w:r>
      <w:r>
        <w:t xml:space="preserve"> </w:t>
      </w:r>
      <w:r>
        <w:t xml:space="preserve">the channel; it is read by a</w:t>
      </w:r>
      <w:r>
        <w:t xml:space="preserve"> </w:t>
      </w:r>
      <w:r>
        <w:rPr>
          <w:i/>
          <w:iCs/>
        </w:rPr>
        <w:t xml:space="preserve">consumer</w:t>
      </w:r>
      <w:r>
        <w:t xml:space="preserve">—a scheduler with a reliability target and</w:t>
      </w:r>
      <w:r>
        <w:t xml:space="preserve"> </w:t>
      </w:r>
      <w:r>
        <w:t xml:space="preserve">a decoder at a moment in time. We make the rate at which a CSI certificate</w:t>
      </w:r>
      <w:r>
        <w:t xml:space="preserve"> </w:t>
      </w:r>
      <w:r>
        <w:rPr>
          <w:i/>
          <w:iCs/>
        </w:rPr>
        <w:t xml:space="preserve">false-clears</w:t>
      </w:r>
      <w:r>
        <w:t xml:space="preserve"> </w:t>
      </w:r>
      <w:r>
        <w:t xml:space="preserve">(selects a rate the link cannot support) a first-class, measured KPI</w:t>
      </w:r>
      <w:r>
        <w:t xml:space="preserve"> </w:t>
      </w:r>
      <w:r>
        <w:t xml:space="preserve">on a real 5G NR link-level chain (Sionna LDPC decoding), and show it is</w:t>
      </w:r>
      <w:r>
        <w:t xml:space="preserve"> </w:t>
      </w:r>
      <w:r>
        <w:rPr>
          <w:i/>
          <w:iCs/>
        </w:rPr>
        <w:t xml:space="preserve">consumer-relative</w:t>
      </w:r>
      <w:r>
        <w:t xml:space="preserve"> </w:t>
      </w:r>
      <w:r>
        <w:t xml:space="preserve">along two axes. First, the reliability target: the identical</w:t>
      </w:r>
      <w:r>
        <w:t xml:space="preserve"> </w:t>
      </w:r>
      <w:r>
        <w:t xml:space="preserve">CSI-derived modulation-and-coding selection that meets an eMBB target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misses a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 more than two orders of</w:t>
      </w:r>
      <w:r>
        <w:t xml:space="preserve"> </w:t>
      </w:r>
      <w:r>
        <w:t xml:space="preserve">magnitude (</w:t>
      </w:r>
      <m:oMath>
        <m:r>
          <m:t>112</m:t>
        </m:r>
        <m:r>
          <m:rPr>
            <m:sty m:val="p"/>
          </m:rPr>
          <m:t>×</m:t>
        </m:r>
      </m:oMath>
      <w:r>
        <w:t xml:space="preserve">), while a target-aware policy meets it. Second, the refresh</w:t>
      </w:r>
      <w:r>
        <w:t xml:space="preserve"> </w:t>
      </w:r>
      <w:r>
        <w:t xml:space="preserve">horizon: as the report ages, the false-clear rate grows, and the largest safe report</w:t>
      </w:r>
      <w:r>
        <w:t xml:space="preserve"> </w:t>
      </w:r>
      <w:r>
        <w:t xml:space="preserve">period is proportional to the Clarke coherence time (</w:t>
      </w:r>
      <m:oMath>
        <m:r>
          <m:rPr>
            <m:sty m:val="p"/>
          </m:rPr>
          <m:t>≈</m:t>
        </m:r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). The witnessed corrections that hold each axis—outer-loop link adaptation,</w:t>
      </w:r>
      <w:r>
        <w:t xml:space="preserve"> </w:t>
      </w:r>
      <w:r>
        <w:t xml:space="preserve">a coherence-driven refresh—already exist; our contribution is the measured number that</w:t>
      </w:r>
      <w:r>
        <w:t xml:space="preserve"> </w:t>
      </w:r>
      <w:r>
        <w:t xml:space="preserve">says when each is needed. All results are drawn from sealed, pre-registered records.</w:t>
      </w:r>
    </w:p>
    <w:p>
      <w:pPr>
        <w:pStyle w:val="FirstParagraph"/>
      </w:pPr>
      <w:r>
        <w:t xml:space="preserve">CSI feedback, link adaptation, URLLC, outer-loop link adaptation, reliability, 5G NR.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Adaptive modulation and coding (AMC) turns a channel-state-information (CSI) report into</w:t>
      </w:r>
      <w:r>
        <w:t xml:space="preserve"> </w:t>
      </w:r>
      <w:r>
        <w:t xml:space="preserve">a rate decision: the transmitter selects the highest modulation-and-coding scheme (MCS)</w:t>
      </w:r>
      <w:r>
        <w:t xml:space="preserve"> </w:t>
      </w:r>
      <w:r>
        <w:t xml:space="preserve">whose required SINR the reported CSI clears. The report is thus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—an</w:t>
      </w:r>
      <w:r>
        <w:t xml:space="preserve"> </w:t>
      </w:r>
      <w:r>
        <w:t xml:space="preserve">implicit assertion that the link will decode at the chosen rate. Like any certificate,</w:t>
      </w:r>
      <w:r>
        <w:t xml:space="preserve"> </w:t>
      </w:r>
      <w:r>
        <w:t xml:space="preserve">it can be wrong in a way that matters only to whoever reads it. We call a wrong-in-the-</w:t>
      </w:r>
      <w:r>
        <w:t xml:space="preserve"> </w:t>
      </w:r>
      <w:r>
        <w:t xml:space="preserve">optimistic-direction certificate a</w:t>
      </w:r>
      <w:r>
        <w:t xml:space="preserve"> </w:t>
      </w:r>
      <w:r>
        <w:rPr>
          <w:i/>
          <w:iCs/>
        </w:rPr>
        <w:t xml:space="preserve">false-clear</w:t>
      </w:r>
      <w:r>
        <w:t xml:space="preserve">: the CSI cleared an MCS that the</w:t>
      </w:r>
      <w:r>
        <w:t xml:space="preserve"> </w:t>
      </w:r>
      <w:r>
        <w:t xml:space="preserve">true channel cannot support, and the transport fails (a HARQ NACK, a block error).</w:t>
      </w:r>
    </w:p>
    <w:p>
      <w:pPr>
        <w:pStyle w:val="BodyText"/>
      </w:pPr>
      <w:r>
        <w:t xml:space="preserve">Our thesis is that the false-clear rate is not a property of the channel or even of the</w:t>
      </w:r>
      <w:r>
        <w:t xml:space="preserve"> </w:t>
      </w:r>
      <w:r>
        <w:t xml:space="preserve">report alone; it is a property of the report</w:t>
      </w:r>
      <w:r>
        <w:t xml:space="preserve"> </w:t>
      </w:r>
      <w:r>
        <w:rPr>
          <w:i/>
          <w:iCs/>
        </w:rPr>
        <w:t xml:space="preserve">and its consumer</w:t>
      </w:r>
      <w:r>
        <w:t xml:space="preserve">. Two schedulers</w:t>
      </w:r>
      <w:r>
        <w:t xml:space="preserve"> </w:t>
      </w:r>
      <w:r>
        <w:t xml:space="preserve">reading the same CSI can disagree on whether it false-clears, because they read it</w:t>
      </w:r>
      <w:r>
        <w:t xml:space="preserve"> </w:t>
      </w:r>
      <w:r>
        <w:t xml:space="preserve">against different requirements. We make the false-clear rate a measured KPI on a real</w:t>
      </w:r>
      <w:r>
        <w:t xml:space="preserve"> </w:t>
      </w:r>
      <w:r>
        <w:t xml:space="preserve">5G NR link-level chain and demonstrate this consumer-relativity along two operationally</w:t>
      </w:r>
      <w:r>
        <w:t xml:space="preserve"> </w:t>
      </w:r>
      <w:r>
        <w:t xml:space="preserve">important axes: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reliability target</w:t>
      </w:r>
      <w:r>
        <w:t xml:space="preserve"> </w:t>
      </w:r>
      <w:r>
        <w:t xml:space="preserve">(§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): a single CSI-derived MCS that</w:t>
      </w:r>
      <w:r>
        <w:t xml:space="preserve"> </w:t>
      </w:r>
      <w:r>
        <w:t xml:space="preserve">is adequate for enhanced mobile broadband (eMBB) is catastrophically optimistic for</w:t>
      </w:r>
      <w:r>
        <w:t xml:space="preserve"> </w:t>
      </w:r>
      <w:r>
        <w:t xml:space="preserve">ultra-reliable low-latency communication (URLLC), by more than</w:t>
      </w:r>
      <w:r>
        <w:t xml:space="preserve"> </w:t>
      </w:r>
      <m:oMath>
        <m:r>
          <m:t>100</m:t>
        </m:r>
        <m:r>
          <m:rPr>
            <m:sty m:val="p"/>
          </m:rPr>
          <m:t>×</m:t>
        </m:r>
      </m:oMath>
      <w:r>
        <w:t xml:space="preserve">;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refresh horizon</w:t>
      </w:r>
      <w:r>
        <w:t xml:space="preserve"> </w:t>
      </w:r>
      <w:r>
        <w:t xml:space="preserve">(§</w:t>
      </w:r>
      <w:hyperlink w:anchor="sec:refresh">
        <w:r>
          <w:rPr>
            <w:rStyle w:val="Hyperlink"/>
          </w:rPr>
          <w:t xml:space="preserve">4</w:t>
        </w:r>
      </w:hyperlink>
      <w:r>
        <w:t xml:space="preserve">): the false-clear rate grows as</w:t>
      </w:r>
      <w:r>
        <w:t xml:space="preserve"> </w:t>
      </w:r>
      <w:r>
        <w:t xml:space="preserve">the certificate ages, and the safe refresh period scales with the channel coherence</w:t>
      </w:r>
      <w:r>
        <w:t xml:space="preserve"> </w:t>
      </w:r>
      <w:r>
        <w:t xml:space="preserve">time by a simple measured law.</w:t>
      </w:r>
    </w:p>
    <w:p>
      <w:pPr>
        <w:pStyle w:val="FirstParagraph"/>
      </w:pPr>
      <w:r>
        <w:t xml:space="preserve">Neither observation requires a new estimator or scheduler. The corrections are known:</w:t>
      </w:r>
      <w:r>
        <w:t xml:space="preserve"> </w:t>
      </w:r>
      <w:r>
        <w:t xml:space="preserve">outer-loop link adaptation (OLLA) </w:t>
      </w:r>
      <w:r>
        <w:t xml:space="preserve"> </w:t>
      </w:r>
      <w:r>
        <w:t xml:space="preserve">closes the target-relativity gap, and</w:t>
      </w:r>
      <w:r>
        <w:t xml:space="preserve"> </w:t>
      </w:r>
      <w:r>
        <w:t xml:space="preserve">coherence-driven CSI reporting closes the refresh gap. What has been missing is the</w:t>
      </w:r>
      <w:r>
        <w:t xml:space="preserve"> </w:t>
      </w:r>
      <w:r>
        <w:rPr>
          <w:i/>
          <w:iCs/>
        </w:rPr>
        <w:t xml:space="preserve">measured, consumer-relative false-clear rate</w:t>
      </w:r>
      <w:r>
        <w:t xml:space="preserve"> </w:t>
      </w:r>
      <w:r>
        <w:t xml:space="preserve">that quantifies when each correction</w:t>
      </w:r>
      <w:r>
        <w:t xml:space="preserve"> </w:t>
      </w:r>
      <w:r>
        <w:t xml:space="preserve">is load-bearing and how large the exposure is when it is absent.</w:t>
      </w:r>
    </w:p>
    <w:bookmarkEnd w:id="9"/>
    <w:bookmarkStart w:id="10" w:name="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Substrate.</w:t>
      </w:r>
      <w:r>
        <w:t xml:space="preserve"> </w:t>
      </w:r>
      <w:r>
        <w:t xml:space="preserve">We use a real 5G NR link-level chain in</w:t>
      </w:r>
      <w:r>
        <w:t xml:space="preserve"> </w:t>
      </w:r>
      <w:r>
        <w:t xml:space="preserve">Sionna </w:t>
      </w:r>
      <w:r>
        <w:t xml:space="preserve">: LDPC-coded QAM over the NR PDSCH, with block error rate (BLER)</w:t>
      </w:r>
      <w:r>
        <w:t xml:space="preserve"> </w:t>
      </w:r>
      <w:r>
        <w:t xml:space="preserve">measured from the actual LDPC decoder rather than an SINR-to-BLER formula. The decoder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witness</w:t>
      </w:r>
      <w:r>
        <w:t xml:space="preserve">: it independently determines whether the consumer decoded.</w:t>
      </w:r>
    </w:p>
    <w:p>
      <w:pPr>
        <w:pStyle w:val="BodyText"/>
      </w:pPr>
      <w:r>
        <w:rPr>
          <w:b/>
          <w:bCs/>
        </w:rPr>
        <w:t xml:space="preserve">Certificate, consumer, witness.</w:t>
      </w:r>
      <w:r>
        <w:t xml:space="preserve"> </w:t>
      </w:r>
      <w:r>
        <w:t xml:space="preserve">An AMC certificate selects the highest MCS whose</w:t>
      </w:r>
      <w:r>
        <w:t xml:space="preserve"> </w:t>
      </w:r>
      <w:r>
        <w:t xml:space="preserve">required SINR the CSI clears at a given BLER target. The</w:t>
      </w:r>
      <w:r>
        <w:t xml:space="preserve"> </w:t>
      </w:r>
      <w:r>
        <w:rPr>
          <w:i/>
          <w:iCs/>
        </w:rPr>
        <w:t xml:space="preserve">consumer</w:t>
      </w:r>
      <w:r>
        <w:t xml:space="preserve"> </w:t>
      </w:r>
      <w:r>
        <w:t xml:space="preserve">is that rate</w:t>
      </w:r>
      <w:r>
        <w:t xml:space="preserve"> </w:t>
      </w:r>
      <w:r>
        <w:t xml:space="preserve">decision under a specific reliability target; the</w:t>
      </w:r>
      <w:r>
        <w:t xml:space="preserve"> </w:t>
      </w:r>
      <w:r>
        <w:rPr>
          <w:i/>
          <w:iCs/>
        </w:rPr>
        <w:t xml:space="preserve">witness</w:t>
      </w:r>
      <w:r>
        <w:t xml:space="preserve"> </w:t>
      </w:r>
      <w:r>
        <w:t xml:space="preserve">is the LDPC decode</w:t>
      </w:r>
      <w:r>
        <w:t xml:space="preserve"> </w:t>
      </w:r>
      <w:r>
        <w:t xml:space="preserve">outcome. A false-clear is a certificate that clears an MCS the witness then fails.</w:t>
      </w:r>
    </w:p>
    <w:p>
      <w:pPr>
        <w:pStyle w:val="BodyText"/>
      </w:pPr>
      <w:r>
        <w:rPr>
          <w:b/>
          <w:bCs/>
        </w:rPr>
        <w:t xml:space="preserve">Discipline.</w:t>
      </w:r>
      <w:r>
        <w:t xml:space="preserve"> </w:t>
      </w:r>
      <w:r>
        <w:t xml:space="preserve">Each experiment is pre-registered with numerical bars and</w:t>
      </w:r>
      <w:r>
        <w:t xml:space="preserve"> </w:t>
      </w:r>
      <w:r>
        <w:t xml:space="preserve">manipulation checks fixed before the graded run; the sealed record is content-hashed and</w:t>
      </w:r>
      <w:r>
        <w:t xml:space="preserve"> </w:t>
      </w:r>
      <w:r>
        <w:t xml:space="preserve">graded on seeds disjoint from those used to design it, and negative or failing outcomes</w:t>
      </w:r>
      <w:r>
        <w:t xml:space="preserve"> </w:t>
      </w:r>
      <w:r>
        <w:t xml:space="preserve">are kept </w:t>
      </w:r>
      <w:r>
        <w:t xml:space="preserve">. The numbers below are the graded, sealed values.</w:t>
      </w:r>
    </w:p>
    <w:bookmarkEnd w:id="10"/>
    <w:bookmarkStart w:id="15" w:name="sec:urllc"/>
    <w:p>
      <w:pPr>
        <w:pStyle w:val="Heading1"/>
      </w:pPr>
      <w:r>
        <w:t xml:space="preserve">Consumer-Relativity in the Reliability Target</w:t>
      </w:r>
    </w:p>
    <w:p>
      <w:pPr>
        <w:pStyle w:val="FirstParagraph"/>
      </w:pPr>
      <w:r>
        <w:t xml:space="preserve">A base station serving mixed traffic derives one CSI estimate per user and selects an</w:t>
      </w:r>
      <w:r>
        <w:t xml:space="preserve"> </w:t>
      </w:r>
      <w:r>
        <w:t xml:space="preserve">MCS. Consider the same estimate consumed under two targets: eMBB</w:t>
      </w:r>
      <w:r>
        <w:t xml:space="preserve"> </w:t>
      </w:r>
      <w:r>
        <w:t xml:space="preserve">(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and URLLC (</w:t>
      </w:r>
      <m:oMath>
        <m:r>
          <m:rPr>
            <m:sty m:val="p"/>
          </m:rPr>
          <m:t>≤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). We drive a real NR link at high</w:t>
      </w:r>
      <w:r>
        <w:t xml:space="preserve"> </w:t>
      </w:r>
      <w:r>
        <w:t xml:space="preserve">mobility, apply the naive CSI-derived MCS, and measure the achieved BLER against each</w:t>
      </w:r>
      <w:r>
        <w:t xml:space="preserve"> </w:t>
      </w:r>
      <w:r>
        <w:t xml:space="preserve">target; we then compare a</w:t>
      </w:r>
      <w:r>
        <w:t xml:space="preserve"> </w:t>
      </w:r>
      <w:r>
        <w:rPr>
          <w:i/>
          <w:iCs/>
        </w:rPr>
        <w:t xml:space="preserve">target-aware</w:t>
      </w:r>
      <w:r>
        <w:t xml:space="preserve"> </w:t>
      </w:r>
      <w:r>
        <w:t xml:space="preserve">policy that sizes its margin to the</w:t>
      </w:r>
      <w:r>
        <w:t xml:space="preserve"> </w:t>
      </w:r>
      <w:r>
        <w:t xml:space="preserve">consumer’s target.</w:t>
      </w:r>
    </w:p>
    <w:p>
      <w:pPr>
        <w:pStyle w:val="BodyText"/>
      </w:pPr>
      <w:r>
        <w:t xml:space="preserve">Figure </w:t>
      </w:r>
      <w:hyperlink w:anchor="fig:urll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sealed result (three graded seeds). The naive</w:t>
      </w:r>
      <w:r>
        <w:t xml:space="preserve"> </w:t>
      </w:r>
      <w:r>
        <w:t xml:space="preserve">certificate 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0.112</m:t>
        </m:r>
      </m:oMath>
      <w:r>
        <w:t xml:space="preserve">. Read by the eMBB consumer this is at</w:t>
      </w:r>
      <w:r>
        <w:t xml:space="preserve"> </w:t>
      </w:r>
      <w:r>
        <w:t xml:space="preserve">target—the certificate is sound. Read by the URLLC consumer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m:oMath>
        <m:r>
          <m:t>0.112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 false-clear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(against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): every such block is a reliability-SLA</w:t>
      </w:r>
      <w:r>
        <w:t xml:space="preserve"> </w:t>
      </w:r>
      <w:r>
        <w:t xml:space="preserve">violation, invisible to a scheduler that assumed one CSI report serves all traffic. The</w:t>
      </w:r>
      <w:r>
        <w:t xml:space="preserve"> </w:t>
      </w:r>
      <w:r>
        <w:t xml:space="preserve">target-aware policy—the same CSI, an added</w:t>
      </w:r>
      <w:r>
        <w:t xml:space="preserve"> </w:t>
      </w:r>
      <m:oMath>
        <m:r>
          <m:rPr>
            <m:sty m:val="p"/>
          </m:rPr>
          <m:t>≈</m:t>
        </m:r>
        <m:r>
          <m:t>2</m:t>
        </m:r>
      </m:oMath>
      <w:r>
        <w:t xml:space="preserve"> dB margin sized to the URLLC</w:t>
      </w:r>
      <w:r>
        <w:t xml:space="preserve"> </w:t>
      </w:r>
      <w:r>
        <w:t xml:space="preserve">target—achieves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, comfortably within target, at</w:t>
      </w:r>
      <w:r>
        <w:t xml:space="preserve"> </w:t>
      </w:r>
      <w:r>
        <w:t xml:space="preserve">the cost of that margin’s spectral efficiency. No single margin is correct for both</w:t>
      </w:r>
      <w:r>
        <w:t xml:space="preserve"> </w:t>
      </w:r>
      <w:r>
        <w:t xml:space="preserve">consumers: the eMBB-adequate margin fails URLLC, and the URLLC-safe margin over-provisions</w:t>
      </w:r>
      <w:r>
        <w:t xml:space="preserve"> </w:t>
      </w:r>
      <w:r>
        <w:t xml:space="preserve">eMBB. The false-clear rate is the number that prices the difference.</w:t>
      </w:r>
    </w:p>
    <w:bookmarkStart w:id="14" w:name="fig:urllc"/>
    <w:p>
      <w:pPr>
        <w:pStyle w:val="CaptionedFigure"/>
      </w:pPr>
      <w:r>
        <w:drawing>
          <wp:inline>
            <wp:extent cx="3055135" cy="241291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urllc_relativity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135" cy="2412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Consumer-relativity of the CSI certificate in the reliability target</w:t>
      </w:r>
      <w:r>
        <w:t xml:space="preserve"> </w:t>
      </w:r>
      <w:r>
        <w:t xml:space="preserve">(real NR, Sionna LDPC; three sealed seeds). The identical CSI-derived MCS meets the</w:t>
      </w:r>
      <w:r>
        <w:t xml:space="preserve"> </w:t>
      </w:r>
      <w:r>
        <w:t xml:space="preserve">eMBB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 but false-clears the URLLC target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by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;</w:t>
      </w:r>
      <w:r>
        <w:t xml:space="preserve"> </w:t>
      </w:r>
      <w:r>
        <w:t xml:space="preserve">a target-aware policy meets URLLC at the cost of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2 dB margin.</w:t>
      </w:r>
    </w:p>
    <w:bookmarkEnd w:id="14"/>
    <w:bookmarkEnd w:id="15"/>
    <w:bookmarkStart w:id="20" w:name="sec:refresh"/>
    <w:p>
      <w:pPr>
        <w:pStyle w:val="Heading1"/>
      </w:pPr>
      <w:r>
        <w:t xml:space="preserve">The Refresh Horizon</w:t>
      </w:r>
    </w:p>
    <w:p>
      <w:pPr>
        <w:pStyle w:val="FirstParagraph"/>
      </w:pPr>
      <w:r>
        <w:t xml:space="preserve">The second axis is time. A CSI report is fresh when issued and ages as the channel</w:t>
      </w:r>
      <w:r>
        <w:t xml:space="preserve"> </w:t>
      </w:r>
      <w:r>
        <w:t xml:space="preserve">decorrelates; a certificate that was sound at report time false-clears once the channel</w:t>
      </w:r>
      <w:r>
        <w:t xml:space="preserve"> </w:t>
      </w:r>
      <w:r>
        <w:t xml:space="preserve">has moved. At</w:t>
      </w:r>
      <w:r>
        <w:t xml:space="preserve"> </w:t>
      </w:r>
      <m:oMath>
        <m:sSub>
          <m:e>
            <m:r>
              <m:t>f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 Hz with a</w:t>
      </w:r>
      <w:r>
        <w:t xml:space="preserve"> </w:t>
      </w:r>
      <m:oMath>
        <m:r>
          <m:t>20</m:t>
        </m:r>
      </m:oMath>
      <w:r>
        <w:t xml:space="preserve">-TTI report period, the naive (held-CSI)</w:t>
      </w:r>
      <w:r>
        <w:t xml:space="preserve"> </w:t>
      </w:r>
      <w:r>
        <w:t xml:space="preserve">certificate reaches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≈</m:t>
        </m:r>
        <m:r>
          <m:t>0.36</m:t>
        </m:r>
      </m:oMath>
      <w:r>
        <w:t xml:space="preserve"> </w:t>
      </w:r>
      <w:r>
        <w:t xml:space="preserve">against a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target—a false-clear on</w:t>
      </w:r>
      <w:r>
        <w:t xml:space="preserve"> </w:t>
      </w:r>
      <w:r>
        <w:t xml:space="preserve">roughly a quarter of transmissions—while OLLA, the deployed witnessed correction that</w:t>
      </w:r>
      <w:r>
        <w:t xml:space="preserve"> </w:t>
      </w:r>
      <w:r>
        <w:t xml:space="preserve">adjusts an offset from HARQ feedback, holds it at</w:t>
      </w:r>
      <w:r>
        <w:t xml:space="preserve"> </w:t>
      </w:r>
      <m:oMath>
        <m:r>
          <m:rPr>
            <m:sty m:val="p"/>
          </m:rPr>
          <m:t>≈</m:t>
        </m:r>
        <m:r>
          <m:t>0.10</m:t>
        </m:r>
      </m:oMath>
      <w:r>
        <w:t xml:space="preserve"> </w:t>
      </w:r>
      <w:r>
        <w:t xml:space="preserve">(Fig.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(a) shows the aging across mobility).</w:t>
      </w:r>
    </w:p>
    <w:p>
      <w:pPr>
        <w:pStyle w:val="BodyText"/>
      </w:pPr>
      <w:r>
        <w:t xml:space="preserve">The operational question is how often to refresh. Sweeping Doppler and report period,</w:t>
      </w:r>
      <w:r>
        <w:t xml:space="preserve"> </w:t>
      </w:r>
      <w:r>
        <w:t xml:space="preserve">we define the</w:t>
      </w:r>
      <w:r>
        <w:t xml:space="preserve"> </w:t>
      </w:r>
      <w:r>
        <w:rPr>
          <w:i/>
          <w:iCs/>
        </w:rPr>
        <w:t xml:space="preserve">refresh floor</w:t>
      </w:r>
      <w:r>
        <w:t xml:space="preserve"> </w:t>
      </w:r>
      <w:r>
        <w:t xml:space="preserve">as the largest report period keeping BLER at target,</w:t>
      </w:r>
      <w:r>
        <w:t xml:space="preserve"> </w:t>
      </w:r>
      <w:r>
        <w:t xml:space="preserve">and find it proportional to the Clarke coherence time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  <m:r>
          <m:rPr>
            <m:sty m:val="p"/>
          </m:rPr>
          <m:t>=</m:t>
        </m:r>
        <m:r>
          <m:t>0.423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refresh floor</m:t>
          </m:r>
          <m:r>
            <m:t> </m:t>
          </m:r>
          <m:r>
            <m:rPr>
              <m:sty m:val="p"/>
            </m:rPr>
            <m:t>≈</m:t>
          </m:r>
          <m:r>
            <m:t> </m:t>
          </m:r>
          <m:r>
            <m:t>0.177</m:t>
          </m:r>
          <m:r>
            <m:t> </m:t>
          </m:r>
          <m:sSub>
            <m:e>
              <m:r>
                <m:t>T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0.915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across an order of magnitude of mobility (Fig. </w:t>
      </w:r>
      <w:hyperlink w:anchor="fig:refresh">
        <w:r>
          <w:rPr>
            <w:rStyle w:val="Hyperlink"/>
          </w:rPr>
          <w:t xml:space="preserve">2</w:t>
        </w:r>
      </w:hyperlink>
      <w:r>
        <w:t xml:space="preserve">(b)). At high Doppler the</w:t>
      </w:r>
      <w:r>
        <w:t xml:space="preserve"> </w:t>
      </w:r>
      <w:r>
        <w:t xml:space="preserve">floor saturates at the minimum report period (one TTI): the certificate cannot be</w:t>
      </w:r>
      <w:r>
        <w:t xml:space="preserve"> </w:t>
      </w:r>
      <w:r>
        <w:t xml:space="preserve">refreshed faster than the frame allows, so above a mobility threshold no reporting</w:t>
      </w:r>
      <w:r>
        <w:t xml:space="preserve"> </w:t>
      </w:r>
      <w:r>
        <w:t xml:space="preserve">cadence suffices and a witnessed (HARQ-driven) correction becomes mandatory rather than</w:t>
      </w:r>
      <w:r>
        <w:t xml:space="preserve"> </w:t>
      </w:r>
      <w:r>
        <w:t xml:space="preserve">optional. Equation </w:t>
      </w:r>
      <w:hyperlink w:anchor="eq:ot14">
        <w:r>
          <w:rPr>
            <w:rStyle w:val="Hyperlink"/>
          </w:rPr>
          <w:t xml:space="preserve">[eq:ot14]</w:t>
        </w:r>
      </w:hyperlink>
      <w:r>
        <w:t xml:space="preserve"> </w:t>
      </w:r>
      <w:r>
        <w:t xml:space="preserve">gives a concrete provisioning rule: re-report before</w:t>
      </w:r>
      <w:r>
        <w:t xml:space="preserve"> </w:t>
      </w:r>
      <w:r>
        <w:t xml:space="preserve">the channel decorrelates past</w:t>
      </w:r>
      <w:r>
        <w:t xml:space="preserve"> </w:t>
      </w:r>
      <m:oMath>
        <m:r>
          <m:rPr>
            <m:sty m:val="p"/>
          </m:rPr>
          <m:t>≈</m:t>
        </m:r>
        <m:r>
          <m:t>0.18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 not on a fixed calendar.</w:t>
      </w:r>
    </w:p>
    <w:bookmarkStart w:id="19" w:name="fig:refresh"/>
    <w:p>
      <w:pPr>
        <w:pStyle w:val="CaptionedFigure"/>
      </w:pPr>
      <w:r>
        <w:drawing>
          <wp:inline>
            <wp:extent cx="5334000" cy="2022089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refresh_floor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CSI certificate’s refresh horizon (real NR, Sionna LDPC; sealed sweep).</w:t>
      </w:r>
      <w:r>
        <w:t xml:space="preserve"> </w:t>
      </w:r>
      <w:r>
        <w:t xml:space="preserve">(a) The certificate ages: BLER grows with report period, faster at higher Doppler.</w:t>
      </w:r>
      <w:r>
        <w:t xml:space="preserve"> </w:t>
      </w:r>
      <w:r>
        <w:t xml:space="preserve">(b) The refresh floor is proportional to the Clarke coherence time</w:t>
      </w:r>
      <w:r>
        <w:t xml:space="preserve"> </w:t>
      </w:r>
      <w:r>
        <w:t xml:space="preserve">(</w:t>
      </w:r>
      <m:oMath>
        <m:r>
          <m:t>0.177</m:t>
        </m:r>
        <m:r>
          <m:t> </m:t>
        </m:r>
        <m:sSub>
          <m:e>
            <m:r>
              <m:t>T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0.915</m:t>
        </m:r>
      </m:oMath>
      <w:r>
        <w:t xml:space="preserve">); at high Doppler it saturates at one TTI.</w:t>
      </w:r>
    </w:p>
    <w:bookmarkEnd w:id="19"/>
    <w:bookmarkEnd w:id="20"/>
    <w:bookmarkStart w:id="21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Link adaptation, CSI aging, and outer-loop correction are mature. OLLA </w:t>
      </w:r>
      <w:r>
        <w:t xml:space="preserve"> </w:t>
      </w:r>
      <w:r>
        <w:t xml:space="preserve">adjusts an SINR offset from HARQ ACK/NACK to hold a BLER target under imperfect or stale</w:t>
      </w:r>
      <w:r>
        <w:t xml:space="preserve"> </w:t>
      </w:r>
      <w:r>
        <w:t xml:space="preserve">CSI; it is precisely the witnessed correction our refresh-horizon result quantifies.</w:t>
      </w:r>
      <w:r>
        <w:t xml:space="preserve"> </w:t>
      </w:r>
      <w:r>
        <w:t xml:space="preserve">Short-packet and URLLC analysis </w:t>
      </w:r>
      <w:r>
        <w:t xml:space="preserve"> </w:t>
      </w:r>
      <w:r>
        <w:t xml:space="preserve">establishes the reliability-target regime in</w:t>
      </w:r>
      <w:r>
        <w:t xml:space="preserve"> </w:t>
      </w:r>
      <w:r>
        <w:t xml:space="preserve">which the eMBB-to-URLLC gap of §</w:t>
      </w:r>
      <w:hyperlink w:anchor="sec:urllc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lives. Learned CSI feedback trained on</w:t>
      </w:r>
      <w:r>
        <w:t xml:space="preserve"> </w:t>
      </w:r>
      <w:r>
        <w:t xml:space="preserve">reconstruction error </w:t>
      </w:r>
      <w:r>
        <w:t xml:space="preserve"> </w:t>
      </w:r>
      <w:r>
        <w:t xml:space="preserve">is an active direction; we note only that the</w:t>
      </w:r>
      <w:r>
        <w:t xml:space="preserve"> </w:t>
      </w:r>
      <w:r>
        <w:t xml:space="preserve">reconstruction-versus-consumer objective gap it might imply did not appear at practical</w:t>
      </w:r>
      <w:r>
        <w:t xml:space="preserve"> </w:t>
      </w:r>
      <w:r>
        <w:t xml:space="preserve">operating points in our controlled tests, and we make no claim on it here. Our</w:t>
      </w:r>
      <w:r>
        <w:t xml:space="preserve"> </w:t>
      </w:r>
      <w:r>
        <w:t xml:space="preserve">contribution is orthogonal to all three: not a better estimator, scheduler, or offset</w:t>
      </w:r>
      <w:r>
        <w:t xml:space="preserve"> </w:t>
      </w:r>
      <w:r>
        <w:t xml:space="preserve">rule, but a</w:t>
      </w:r>
      <w:r>
        <w:t xml:space="preserve"> </w:t>
      </w:r>
      <w:r>
        <w:rPr>
          <w:i/>
          <w:iCs/>
        </w:rPr>
        <w:t xml:space="preserve">measurement</w:t>
      </w:r>
      <w:r>
        <w:t xml:space="preserve">—the false-clear rate as a first-class, consumer-relative</w:t>
      </w:r>
      <w:r>
        <w:t xml:space="preserve"> </w:t>
      </w:r>
      <w:r>
        <w:t xml:space="preserve">KPI—and the two relativities and the refresh law it exposes.</w:t>
      </w:r>
    </w:p>
    <w:bookmarkEnd w:id="21"/>
    <w:bookmarkStart w:id="23" w:name="discussion-and-conclusion"/>
    <w:p>
      <w:pPr>
        <w:pStyle w:val="Heading1"/>
      </w:pPr>
      <w:r>
        <w:t xml:space="preserve">Discussion and Conclusion</w:t>
      </w:r>
    </w:p>
    <w:p>
      <w:pPr>
        <w:pStyle w:val="FirstParagraph"/>
      </w:pPr>
      <w:r>
        <w:t xml:space="preserve">The unit of correctness in link adaptation is not the CSI report but the pair (report,</w:t>
      </w:r>
      <w:r>
        <w:t xml:space="preserve"> </w:t>
      </w:r>
      <w:r>
        <w:t xml:space="preserve">consumer). Sizing margin and refresh cadence for the consumer’s reliability target and</w:t>
      </w:r>
      <w:r>
        <w:t xml:space="preserve"> </w:t>
      </w:r>
      <w:r>
        <w:t xml:space="preserve">coherence time, rather than for a nominal channel, is what keeps a certificate honest.</w:t>
      </w:r>
      <w:r>
        <w:t xml:space="preserve"> </w:t>
      </w:r>
      <w:r>
        <w:t xml:space="preserve">The false-clear rate makes the cost of ignoring the consumer measurable:</w:t>
      </w:r>
      <w:r>
        <w:t xml:space="preserve"> </w:t>
      </w:r>
      <m:oMath>
        <m:r>
          <m:t>112</m:t>
        </m:r>
        <m:r>
          <m:rPr>
            <m:sty m:val="p"/>
          </m:rPr>
          <m:t>×</m:t>
        </m:r>
      </m:oMath>
      <w:r>
        <w:t xml:space="preserve"> </w:t>
      </w:r>
      <w:r>
        <w:t xml:space="preserve">for a</w:t>
      </w:r>
      <w:r>
        <w:t xml:space="preserve"> </w:t>
      </w:r>
      <w:r>
        <w:t xml:space="preserve">mismatched target, a coherence-scaled horizon for a stale report. The Sionna link-level</w:t>
      </w:r>
      <w:r>
        <w:t xml:space="preserve"> </w:t>
      </w:r>
      <w:r>
        <w:t xml:space="preserve">chain is the evidence rung; an over-the-air or srsRAN testbed with real HARQ traces is the</w:t>
      </w:r>
      <w:r>
        <w:t xml:space="preserve"> </w:t>
      </w:r>
      <w:r>
        <w:t xml:space="preserve">external-validity graduation. The methodology is not radio-specific—the same</w:t>
      </w:r>
      <w:r>
        <w:t xml:space="preserve"> </w:t>
      </w:r>
      <w:r>
        <w:t xml:space="preserve">consumer-relative false-clear appears in optical quality-of-transmission and database</w:t>
      </w:r>
      <w:r>
        <w:t xml:space="preserve"> </w:t>
      </w:r>
      <w:r>
        <w:t xml:space="preserve">replication </w:t>
      </w:r>
      <w:r>
        <w:t xml:space="preserve">—but the results here stand on the 5G NR CSI certificate</w:t>
      </w:r>
      <w:r>
        <w:t xml:space="preserve"> </w:t>
      </w:r>
      <w:r>
        <w:t xml:space="preserve">alone.</w:t>
      </w:r>
    </w:p>
    <w:p>
      <w:pPr>
        <w:pStyle w:val="BodyText"/>
      </w:pPr>
      <w:r>
        <w:t xml:space="preserve">1</w:t>
      </w:r>
      <w:r>
        <w:t xml:space="preserve"> </w:t>
      </w:r>
      <w:r>
        <w:t xml:space="preserve">A. Sampath, P. S. Kumar, and J. M. Holtzman,</w:t>
      </w:r>
      <w:r>
        <w:t xml:space="preserve"> </w:t>
      </w:r>
      <w:r>
        <w:t xml:space="preserve">“On setting reverse link</w:t>
      </w:r>
      <w:r>
        <w:t xml:space="preserve"> </w:t>
      </w:r>
      <w:r>
        <w:t xml:space="preserve">target SIR in a CDMA system,”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IEEE VTC</w:t>
      </w:r>
      <w:r>
        <w:t xml:space="preserve">, 1997, pp. 929–933.</w:t>
      </w:r>
      <w:r>
        <w:t xml:space="preserve"> </w:t>
      </w:r>
      <w:r>
        <w:t xml:space="preserve">J. Hoydis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“Sionna: An open-source library for</w:t>
      </w:r>
      <w:r>
        <w:t xml:space="preserve"> </w:t>
      </w:r>
      <w:r>
        <w:t xml:space="preserve">next-generation physical layer research,”</w:t>
      </w:r>
      <w:r>
        <w:t xml:space="preserve"> </w:t>
      </w:r>
      <w:r>
        <w:t xml:space="preserve">arXiv:2203.11854, 2022.</w:t>
      </w:r>
      <w:r>
        <w:t xml:space="preserve"> </w:t>
      </w:r>
      <w:r>
        <w:t xml:space="preserve">G. Durisi, T. Koch, and P. Popovski,</w:t>
      </w:r>
      <w:r>
        <w:t xml:space="preserve"> </w:t>
      </w:r>
      <w:r>
        <w:t xml:space="preserve">“Toward massive, ultrareliable, and</w:t>
      </w:r>
      <w:r>
        <w:t xml:space="preserve"> </w:t>
      </w:r>
      <w:r>
        <w:t xml:space="preserve">low-latency wireless communication with short packets,”</w:t>
      </w:r>
      <w:r>
        <w:t xml:space="preserve"> </w:t>
      </w:r>
      <w:r>
        <w:rPr>
          <w:i/>
          <w:iCs/>
        </w:rPr>
        <w:t xml:space="preserve">Proc. IEEE</w:t>
      </w:r>
      <w:r>
        <w:t xml:space="preserve">, vol. 104,</w:t>
      </w:r>
      <w:r>
        <w:t xml:space="preserve"> </w:t>
      </w:r>
      <w:r>
        <w:t xml:space="preserve">no. 9, pp. 1711–1726, 2016.</w:t>
      </w:r>
      <w:r>
        <w:t xml:space="preserve"> </w:t>
      </w:r>
      <w:r>
        <w:t xml:space="preserve">C.-K. Wen, W.-T. Shih, and S. Jin,</w:t>
      </w:r>
      <w:r>
        <w:t xml:space="preserve"> </w:t>
      </w:r>
      <w:r>
        <w:t xml:space="preserve">“Deep learning for massive MIMO CSI</w:t>
      </w:r>
      <w:r>
        <w:t xml:space="preserve"> </w:t>
      </w:r>
      <w:r>
        <w:t xml:space="preserve">feedback,”</w:t>
      </w:r>
      <w:r>
        <w:t xml:space="preserve"> </w:t>
      </w:r>
      <w:r>
        <w:rPr>
          <w:i/>
          <w:iCs/>
        </w:rPr>
        <w:t xml:space="preserve">IEEE Wireless Commun. Lett.</w:t>
      </w:r>
      <w:r>
        <w:t xml:space="preserve">, vol. 7, no. 5, pp. 748–751, 2018.</w:t>
      </w:r>
      <w:r>
        <w:t xml:space="preserve"> </w:t>
      </w:r>
      <w:r>
        <w:t xml:space="preserve">A. H. Bond,</w:t>
      </w:r>
      <w:r>
        <w:t xml:space="preserve"> </w:t>
      </w:r>
      <w:r>
        <w:t xml:space="preserve">“Observation Theory: consumer-relative witnessed</w:t>
      </w:r>
      <w:r>
        <w:t xml:space="preserve"> </w:t>
      </w:r>
      <w:r>
        <w:t xml:space="preserve">certificates,”</w:t>
      </w:r>
      <w:r>
        <w:t xml:space="preserve"> </w:t>
      </w:r>
      <w:r>
        <w:t xml:space="preserve">sealed pre-registrations and code,</w:t>
      </w:r>
      <w:r>
        <w:t xml:space="preserve"> </w:t>
      </w:r>
      <w:hyperlink r:id="rId22">
        <w:r>
          <w:rPr>
            <w:rStyle w:val="Hyperlink"/>
          </w:rPr>
          <w:t xml:space="preserve">https://github.com/ahb-sjsu/observation-theory-campaigns</w:t>
        </w:r>
      </w:hyperlink>
      <w:r>
        <w:t xml:space="preserve">, 2026.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11" Target="media/rId11.png" /><Relationship Type="http://schemas.openxmlformats.org/officeDocument/2006/relationships/hyperlink" Id="rId22" Target="https://github.com/ahb-sjsu/observation-theory-campaig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hb-sjsu/observation-theory-campaig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 CSI Report Cannot Serve Every Consumer: The Consumer-Relative False-Clear Rate in 5G/6G Link Adaptation</dc:title>
  <dc:creator/>
  <cp:keywords/>
  <dcterms:created xsi:type="dcterms:W3CDTF">2026-08-25T19:18:55Z</dcterms:created>
  <dcterms:modified xsi:type="dcterms:W3CDTF">2026-08-25T19:18:55Z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channel-state-information (CSI) report is a certificate: an implicit claim that the channel is good enough to transmit at a selected rate. That certificate is not read by the channel; it is read by a consumer—a scheduler with a reliability target and a decoder at a moment in time. We make the rate at which a CSI certificate false-clears (selects a rate the link cannot support) a first-class, measured KPI on a real 5G NR link-level chain (Sionna LDPC decoding), and show it is consumer-relative along two axes. First, the reliability target: the identical CSI-derived modulation-and-coding selection that meets an eMBB target (\mathrm{BLER}=10^{-1}) misses a URLLC target (10^{-3}) by more than two orders of magnitude (112\times), while a target-aware policy meets it. Second, the refresh horizon: as the report ages, the false-clear rate grows, and the largest safe report period is proportional to the Clarke coherence time (\approx 0.177\,T_{\mathrm{coh}}, R^2=0.915). The witnessed corrections that hold each axis—outer-loop link adaptation, a coherence-driven refresh—already exist; our contribution is the measured number that says when each is needed. All results are drawn from sealed, pre-registered records.</vt:lpwstr>
  </property>
</Properties>
</file>