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12.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One CSI Report Cannot Serve Every Consumer:</w:t>
      </w:r>
      <w:r>
        <w:br/>
      </w:r>
      <w:r>
        <w:t xml:space="preserve">The Consumer-Relative False-Clear Rate in 5G/6G Link Adaptation</w:t>
      </w:r>
    </w:p>
    <w:p>
      <w:pPr>
        <w:pStyle w:val="Author"/>
      </w:pPr>
    </w:p>
    <w:p>
      <w:pPr>
        <w:pStyle w:val="AbstractTitle"/>
      </w:pPr>
      <w:r>
        <w:t xml:space="preserve">Abstract</w:t>
      </w:r>
    </w:p>
    <w:p>
      <w:pPr>
        <w:pStyle w:val="Abstract"/>
      </w:pPr>
      <w:r>
        <w:t xml:space="preserve">A CSI report carries a promise: the channel will support the rate selected from it.</w:t>
      </w:r>
      <w:r>
        <w:t xml:space="preserve"> </w:t>
      </w:r>
      <w:r>
        <w:t xml:space="preserve">Whether the promise holds depends on who relies on it. We measure how often it fails,</w:t>
      </w:r>
      <w:r>
        <w:t xml:space="preserve"> </w:t>
      </w:r>
      <w:r>
        <w:t xml:space="preserve">on a 5G NR link with real LDPC decoding, and show that the failure rate depends on the</w:t>
      </w:r>
      <w:r>
        <w:t xml:space="preserve"> </w:t>
      </w:r>
      <w:r>
        <w:t xml:space="preserve">reader in two ways. First, the reliability target. An MCS choice that meets an eMBB</w:t>
      </w:r>
      <w:r>
        <w:t xml:space="preserve"> </w:t>
      </w:r>
      <w:r>
        <w:t xml:space="preserve">error target of</w:t>
      </w:r>
      <w:r>
        <w:t xml:space="preserve"> </w:t>
      </w:r>
      <m:oMath>
        <m:sSup>
          <m:e>
            <m:r>
              <m:t>10</m:t>
            </m:r>
          </m:e>
          <m:sup>
            <m:r>
              <m:rPr>
                <m:sty m:val="p"/>
              </m:rPr>
              <m:t>−</m:t>
            </m:r>
            <m:r>
              <m:t>1</m:t>
            </m:r>
          </m:sup>
        </m:sSup>
      </m:oMath>
      <w:r>
        <w:t xml:space="preserve"> </w:t>
      </w:r>
      <w:r>
        <w:t xml:space="preserve">misses a URLLC target of</w:t>
      </w:r>
      <w:r>
        <w:t xml:space="preserve"> </w:t>
      </w:r>
      <m:oMath>
        <m:sSup>
          <m:e>
            <m:r>
              <m:t>10</m:t>
            </m:r>
          </m:e>
          <m:sup>
            <m:r>
              <m:rPr>
                <m:sty m:val="p"/>
              </m:rPr>
              <m:t>−</m:t>
            </m:r>
            <m:r>
              <m:t>3</m:t>
            </m:r>
          </m:sup>
        </m:sSup>
      </m:oMath>
      <w:r>
        <w:t xml:space="preserve"> </w:t>
      </w:r>
      <w:r>
        <w:t xml:space="preserve">on the same channel by a</w:t>
      </w:r>
      <w:r>
        <w:t xml:space="preserve"> </w:t>
      </w:r>
      <w:r>
        <w:t xml:space="preserve">factor of 112, and it does so at every SNR from cell edge to cell centre. A policy that</w:t>
      </w:r>
      <w:r>
        <w:t xml:space="preserve"> </w:t>
      </w:r>
      <w:r>
        <w:t xml:space="preserve">knows the stricter target meets it. Second, time. As a report ages the failure rate</w:t>
      </w:r>
      <w:r>
        <w:t xml:space="preserve"> </w:t>
      </w:r>
      <w:r>
        <w:t xml:space="preserve">grows, and the longest safe report period is about</w:t>
      </w:r>
      <w:r>
        <w:t xml:space="preserve"> </w:t>
      </w:r>
      <m:oMath>
        <m:r>
          <m:t>0.177</m:t>
        </m:r>
      </m:oMath>
      <w:r>
        <w:t xml:space="preserve"> </w:t>
      </w:r>
      <w:r>
        <w:t xml:space="preserve">of the Clarke coherence time</w:t>
      </w:r>
      <w:r>
        <w:t xml:space="preserve"> </w:t>
      </w:r>
      <w:r>
        <w:t xml:space="preserve">(</w:t>
      </w:r>
      <m:oMath>
        <m:sSup>
          <m:e>
            <m:r>
              <m:t>R</m:t>
            </m:r>
          </m:e>
          <m:sup>
            <m:r>
              <m:t>2</m:t>
            </m:r>
          </m:sup>
        </m:sSup>
        <m:r>
          <m:rPr>
            <m:sty m:val="p"/>
          </m:rPr>
          <m:t>=</m:t>
        </m:r>
        <m:r>
          <m:t>0.915</m:t>
        </m:r>
      </m:oMath>
      <w:r>
        <w:t xml:space="preserve">), until at high mobility no period the frame permits is short enough. The</w:t>
      </w:r>
      <w:r>
        <w:t xml:space="preserve"> </w:t>
      </w:r>
      <w:r>
        <w:t xml:space="preserve">corrections are standard, outer-loop link adaptation and faster reporting. What we add</w:t>
      </w:r>
      <w:r>
        <w:t xml:space="preserve"> </w:t>
      </w:r>
      <w:r>
        <w:t xml:space="preserve">is the measured failure rate that says how much each correction is worth and when it</w:t>
      </w:r>
      <w:r>
        <w:t xml:space="preserve"> </w:t>
      </w:r>
      <w:r>
        <w:t xml:space="preserve">stops being optional. Every number comes from a sealed, pre-registered record.</w:t>
      </w:r>
    </w:p>
    <w:p>
      <w:pPr>
        <w:pStyle w:val="FirstParagraph"/>
      </w:pPr>
      <w:r>
        <w:t xml:space="preserve">CSI feedback, link adaptation, URLLC, outer-loop link adaptation, reliability, 5G NR.</w:t>
      </w:r>
    </w:p>
    <w:bookmarkStart w:id="9" w:name="introduction"/>
    <w:p>
      <w:pPr>
        <w:pStyle w:val="Heading1"/>
      </w:pPr>
      <w:r>
        <w:t xml:space="preserve">Introduction</w:t>
      </w:r>
    </w:p>
    <w:p>
      <w:pPr>
        <w:pStyle w:val="FirstParagraph"/>
      </w:pPr>
      <w:r>
        <w:t xml:space="preserve">Adaptive modulation and coding turns a CSI report into a rate decision. The transmitter</w:t>
      </w:r>
      <w:r>
        <w:t xml:space="preserve"> </w:t>
      </w:r>
      <w:r>
        <w:t xml:space="preserve">selects the highest MCS whose required SINR the report clears. The report therefore</w:t>
      </w:r>
      <w:r>
        <w:t xml:space="preserve"> </w:t>
      </w:r>
      <w:r>
        <w:t xml:space="preserve">carries an implicit claim: the link will decode at the chosen rate. We call the</w:t>
      </w:r>
      <w:r>
        <w:t xml:space="preserve"> </w:t>
      </w:r>
      <w:r>
        <w:t xml:space="preserve">optimistic failure of that claim a false-clear. The CSI cleared an MCS the channel</w:t>
      </w:r>
      <w:r>
        <w:t xml:space="preserve"> </w:t>
      </w:r>
      <w:r>
        <w:t xml:space="preserve">cannot support, and the block is lost.</w:t>
      </w:r>
    </w:p>
    <w:p>
      <w:pPr>
        <w:pStyle w:val="BodyText"/>
      </w:pPr>
      <w:r>
        <w:t xml:space="preserve">Whether a report false-clears is not decided by the channel alone. It is decided by the</w:t>
      </w:r>
      <w:r>
        <w:t xml:space="preserve"> </w:t>
      </w:r>
      <w:r>
        <w:t xml:space="preserve">report together with whoever acts on it. Two schedulers can read the same CSI and</w:t>
      </w:r>
      <w:r>
        <w:t xml:space="preserve"> </w:t>
      </w:r>
      <w:r>
        <w:t xml:space="preserve">disagree, because they hold traffic to different requirements. This paper measures that</w:t>
      </w:r>
      <w:r>
        <w:t xml:space="preserve"> </w:t>
      </w:r>
      <w:r>
        <w:t xml:space="preserve">disagreement on a real 5G NR link.</w:t>
      </w:r>
    </w:p>
    <w:p>
      <w:pPr>
        <w:pStyle w:val="BodyText"/>
      </w:pPr>
      <w:r>
        <w:t xml:space="preserve">The disagreement shows up along two axes. The first is the reliability target</w:t>
      </w:r>
      <w:r>
        <w:t xml:space="preserve"> </w:t>
      </w:r>
      <w:r>
        <w:t xml:space="preserve">(§</w:t>
      </w:r>
      <w:hyperlink w:anchor="sec:urllc">
        <w:r>
          <w:rPr>
            <w:rStyle w:val="Hyperlink"/>
          </w:rPr>
          <w:t xml:space="preserve">3</w:t>
        </w:r>
      </w:hyperlink>
      <w:r>
        <w:t xml:space="preserve">). An MCS that serves eMBB adequately misses a URLLC target on the</w:t>
      </w:r>
      <w:r>
        <w:t xml:space="preserve"> </w:t>
      </w:r>
      <w:r>
        <w:t xml:space="preserve">same channel by more than a hundred times, and the gap persists at every SNR we tested.</w:t>
      </w:r>
      <w:r>
        <w:t xml:space="preserve"> </w:t>
      </w:r>
      <w:r>
        <w:t xml:space="preserve">The second is time (§</w:t>
      </w:r>
      <w:hyperlink w:anchor="sec:refresh">
        <w:r>
          <w:rPr>
            <w:rStyle w:val="Hyperlink"/>
          </w:rPr>
          <w:t xml:space="preserve">4</w:t>
        </w:r>
      </w:hyperlink>
      <w:r>
        <w:t xml:space="preserve">). As the report ages the false-clear rate</w:t>
      </w:r>
      <w:r>
        <w:t xml:space="preserve"> </w:t>
      </w:r>
      <w:r>
        <w:t xml:space="preserve">grows, and the longest safe report period is a fixed fraction of the channel coherence</w:t>
      </w:r>
      <w:r>
        <w:t xml:space="preserve"> </w:t>
      </w:r>
      <w:r>
        <w:t xml:space="preserve">time, until mobility is high enough that no period is short enough.</w:t>
      </w:r>
    </w:p>
    <w:p>
      <w:pPr>
        <w:pStyle w:val="BodyText"/>
      </w:pPr>
      <w:r>
        <w:t xml:space="preserve">Neither observation needs a new estimator or scheduler. The corrections are old.</w:t>
      </w:r>
      <w:r>
        <w:t xml:space="preserve"> </w:t>
      </w:r>
      <w:r>
        <w:t xml:space="preserve">Outer-loop link adaptation</w:t>
      </w:r>
      <w:r>
        <w:t xml:space="preserve"> </w:t>
      </w:r>
      <w:r>
        <w:t xml:space="preserve"> </w:t>
      </w:r>
      <w:r>
        <w:t xml:space="preserve">closes the target gap, and faster reporting</w:t>
      </w:r>
      <w:r>
        <w:t xml:space="preserve"> </w:t>
      </w:r>
      <w:r>
        <w:t xml:space="preserve">closes the age gap. What has been missing is the measured false-clear rate itself,</w:t>
      </w:r>
      <w:r>
        <w:t xml:space="preserve"> </w:t>
      </w:r>
      <w:r>
        <w:t xml:space="preserve">which says how large the exposure is when a correction is absent, and when a</w:t>
      </w:r>
      <w:r>
        <w:t xml:space="preserve"> </w:t>
      </w:r>
      <w:r>
        <w:t xml:space="preserve">correction has stopped being an optimization and become a requirement.</w:t>
      </w:r>
    </w:p>
    <w:bookmarkEnd w:id="9"/>
    <w:bookmarkStart w:id="11" w:name="sec:method"/>
    <w:p>
      <w:pPr>
        <w:pStyle w:val="Heading1"/>
      </w:pPr>
      <w:r>
        <w:t xml:space="preserve">Method</w:t>
      </w:r>
    </w:p>
    <w:p>
      <w:pPr>
        <w:pStyle w:val="FirstParagraph"/>
      </w:pPr>
      <w:r>
        <w:rPr>
          <w:b/>
          <w:bCs/>
        </w:rPr>
        <w:t xml:space="preserve">Substrate.</w:t>
      </w:r>
      <w:r>
        <w:t xml:space="preserve"> </w:t>
      </w:r>
      <w:r>
        <w:t xml:space="preserve">We use the 5G NR LDPC decoder in Sionna</w:t>
      </w:r>
      <w:r>
        <w:t xml:space="preserve"> </w:t>
      </w:r>
      <w:r>
        <w:t xml:space="preserve"> </w:t>
      </w:r>
      <w:r>
        <w:t xml:space="preserve">as ground</w:t>
      </w:r>
      <w:r>
        <w:t xml:space="preserve"> </w:t>
      </w:r>
      <w:r>
        <w:t xml:space="preserve">truth. For each MCS we measure a block-error curve</w:t>
      </w:r>
      <w:r>
        <w:t xml:space="preserve"> </w:t>
      </w:r>
      <m:oMath>
        <m:sSub>
          <m:e>
            <m:r>
              <m:t>e</m:t>
            </m:r>
          </m:e>
          <m:sub>
            <m:r>
              <m:t>m</m:t>
            </m:r>
          </m:sub>
        </m:sSub>
        <m:r>
          <m:rPr>
            <m:sty m:val="p"/>
          </m:rPr>
          <m:t>(</m:t>
        </m:r>
        <m:r>
          <m:t>γ</m:t>
        </m:r>
        <m:r>
          <m:rPr>
            <m:sty m:val="p"/>
          </m:rPr>
          <m:t>)</m:t>
        </m:r>
      </m:oMath>
      <w:r>
        <w:t xml:space="preserve"> </w:t>
      </w:r>
      <w:r>
        <w:t xml:space="preserve">by decoding 400 coded</w:t>
      </w:r>
      <w:r>
        <w:t xml:space="preserve"> </w:t>
      </w:r>
      <w:r>
        <w:t xml:space="preserve">blocks per SNR point on a grid from</w:t>
      </w:r>
      <w:r>
        <w:t xml:space="preserve"> </w:t>
      </w:r>
      <m:oMath>
        <m:r>
          <m:rPr>
            <m:sty m:val="p"/>
          </m:rPr>
          <m:t>−</m:t>
        </m:r>
        <m:r>
          <m:t>8</m:t>
        </m:r>
      </m:oMath>
      <w:r>
        <w:t xml:space="preserve"> </w:t>
      </w:r>
      <w:r>
        <w:t xml:space="preserve">to</w:t>
      </w:r>
      <w:r>
        <w:t xml:space="preserve"> </w:t>
      </w:r>
      <m:oMath>
        <m:r>
          <m:t>28</m:t>
        </m:r>
      </m:oMath>
      <w:r>
        <w:t xml:space="preserve"> dB in</w:t>
      </w:r>
      <w:r>
        <w:t xml:space="preserve"> </w:t>
      </w:r>
      <m:oMath>
        <m:r>
          <m:t>2</m:t>
        </m:r>
      </m:oMath>
      <w:r>
        <w:t xml:space="preserve"> dB steps, over AWGN. The</w:t>
      </w:r>
      <w:r>
        <w:t xml:space="preserve"> </w:t>
      </w:r>
      <w:r>
        <w:t xml:space="preserve">link then draws a per-TTI SNR trace from a 3GPP TR38.901 TDL-A channel at</w:t>
      </w:r>
      <w:r>
        <w:t xml:space="preserve"> </w:t>
      </w:r>
      <m:oMath>
        <m:r>
          <m:t>3.5</m:t>
        </m:r>
      </m:oMath>
      <w:r>
        <w:t xml:space="preserve"> GHz</w:t>
      </w:r>
      <w:r>
        <w:t xml:space="preserve"> </w:t>
      </w:r>
      <w:r>
        <w:t xml:space="preserve">with</w:t>
      </w:r>
      <w:r>
        <w:t xml:space="preserve"> </w:t>
      </w:r>
      <m:oMath>
        <m:r>
          <m:t>30</m:t>
        </m:r>
      </m:oMath>
      <w:r>
        <w:t xml:space="preserve"> ns delay spread, and at each TTI the HARQ outcome of the selected MCS is</w:t>
      </w:r>
      <w:r>
        <w:t xml:space="preserve"> </w:t>
      </w:r>
      <w:r>
        <w:t xml:space="preserve">drawn from</w:t>
      </w:r>
      <w:r>
        <w:t xml:space="preserve"> </w:t>
      </w:r>
      <m:oMath>
        <m:sSub>
          <m:e>
            <m:r>
              <m:t>e</m:t>
            </m:r>
          </m:e>
          <m:sub>
            <m:r>
              <m:t>m</m:t>
            </m:r>
          </m:sub>
        </m:sSub>
      </m:oMath>
      <w:r>
        <w:t xml:space="preserve"> </w:t>
      </w:r>
      <w:r>
        <w:t xml:space="preserve">at the true SNR. This is a standard link-to-system mapping, built on</w:t>
      </w:r>
      <w:r>
        <w:t xml:space="preserve"> </w:t>
      </w:r>
      <w:r>
        <w:t xml:space="preserve">measured decoder curves rather than a formula. The MCS set is the NR table (TS 38.214</w:t>
      </w:r>
      <w:r>
        <w:t xml:space="preserve"> </w:t>
      </w:r>
      <w:r>
        <w:t xml:space="preserve">Table 5.1.3.1-1), QPSK through 64-QAM at code rates of</w:t>
      </w:r>
      <w:r>
        <w:t xml:space="preserve"> </w:t>
      </w:r>
      <m:oMath>
        <m:r>
          <m:t>1</m:t>
        </m:r>
        <m:r>
          <m:rPr>
            <m:sty m:val="p"/>
          </m:rPr>
          <m:t>/</m:t>
        </m:r>
        <m:r>
          <m:t>5</m:t>
        </m:r>
      </m:oMath>
      <w:r>
        <w:t xml:space="preserve"> </w:t>
      </w:r>
      <w:r>
        <w:t xml:space="preserve">and up.</w:t>
      </w:r>
      <w:r>
        <w:t xml:space="preserve"> </w:t>
      </w:r>
      <w:r>
        <w:t xml:space="preserve">Table </w:t>
      </w:r>
      <w:hyperlink w:anchor="tab:params">
        <w:r>
          <w:rPr>
            <w:rStyle w:val="Hyperlink"/>
          </w:rPr>
          <w:t xml:space="preserve">1</w:t>
        </w:r>
      </w:hyperlink>
      <w:r>
        <w:t xml:space="preserve"> </w:t>
      </w:r>
      <w:r>
        <w:t xml:space="preserve">lists the parameters.</w:t>
      </w:r>
    </w:p>
    <w:p>
      <w:pPr>
        <w:pStyle w:val="BodyText"/>
      </w:pPr>
      <w:r>
        <w:rPr>
          <w:b/>
          <w:bCs/>
        </w:rPr>
        <w:t xml:space="preserve">System model.</w:t>
      </w:r>
      <w:r>
        <w:t xml:space="preserve"> </w:t>
      </w:r>
      <w:r>
        <w:t xml:space="preserve">Let</w:t>
      </w:r>
      <w:r>
        <w:t xml:space="preserve"> </w:t>
      </w:r>
      <m:oMath>
        <m:r>
          <m:t>γ</m:t>
        </m:r>
        <m:r>
          <m:rPr>
            <m:sty m:val="p"/>
          </m:rPr>
          <m:t>(</m:t>
        </m:r>
        <m:r>
          <m:t>t</m:t>
        </m:r>
        <m:r>
          <m:rPr>
            <m:sty m:val="p"/>
          </m:rPr>
          <m:t>)</m:t>
        </m:r>
      </m:oMath>
      <w:r>
        <w:t xml:space="preserve"> </w:t>
      </w:r>
      <w:r>
        <w:t xml:space="preserve">be the true SNR in dB at TTI</w:t>
      </w:r>
      <w:r>
        <w:t xml:space="preserve"> </w:t>
      </w:r>
      <m:oMath>
        <m:r>
          <m:t>t</m:t>
        </m:r>
      </m:oMath>
      <w:r>
        <w:t xml:space="preserve"> </w:t>
      </w:r>
      <w:r>
        <w:t xml:space="preserve">and</w:t>
      </w:r>
      <w:r>
        <w:t xml:space="preserve"> </w:t>
      </w:r>
      <m:oMath>
        <m:acc>
          <m:accPr>
            <m:chr m:val="̂"/>
          </m:accPr>
          <m:e>
            <m:r>
              <m:t>g</m:t>
            </m:r>
          </m:e>
        </m:acc>
        <m:r>
          <m:rPr>
            <m:sty m:val="p"/>
          </m:rPr>
          <m:t>(</m:t>
        </m:r>
        <m:r>
          <m:t>t</m:t>
        </m:r>
        <m:r>
          <m:rPr>
            <m:sty m:val="p"/>
          </m:rPr>
          <m:t>)</m:t>
        </m:r>
      </m:oMath>
      <w:r>
        <w:t xml:space="preserve"> </w:t>
      </w:r>
      <w:r>
        <w:t xml:space="preserve">the estimate the transmitter holds. Fresh CSI reads</w:t>
      </w:r>
      <w:r>
        <w:t xml:space="preserve"> </w:t>
      </w:r>
      <m:oMath>
        <m:acc>
          <m:accPr>
            <m:chr m:val="̂"/>
          </m:accPr>
          <m:e>
            <m:r>
              <m:t>g</m:t>
            </m:r>
          </m:e>
        </m:acc>
        <m:r>
          <m:rPr>
            <m:sty m:val="p"/>
          </m:rPr>
          <m:t>(</m:t>
        </m:r>
        <m:r>
          <m:t>t</m:t>
        </m:r>
        <m:r>
          <m:rPr>
            <m:sty m:val="p"/>
          </m:rPr>
          <m:t>)</m:t>
        </m:r>
        <m:r>
          <m:rPr>
            <m:sty m:val="p"/>
          </m:rPr>
          <m:t>=</m:t>
        </m:r>
        <m:r>
          <m:t>γ</m:t>
        </m:r>
        <m:r>
          <m:rPr>
            <m:sty m:val="p"/>
          </m:rPr>
          <m:t>(</m:t>
        </m:r>
        <m:r>
          <m:t>t</m:t>
        </m:r>
        <m:r>
          <m:rPr>
            <m:sty m:val="p"/>
          </m:rPr>
          <m:t>)</m:t>
        </m:r>
        <m:r>
          <m:rPr>
            <m:sty m:val="p"/>
          </m:rPr>
          <m:t>+</m:t>
        </m:r>
        <m:r>
          <m:t>n</m:t>
        </m:r>
        <m:r>
          <m:rPr>
            <m:sty m:val="p"/>
          </m:rPr>
          <m:t>(</m:t>
        </m:r>
        <m:r>
          <m:t>t</m:t>
        </m:r>
        <m:r>
          <m:rPr>
            <m:sty m:val="p"/>
          </m:rPr>
          <m:t>)</m:t>
        </m:r>
      </m:oMath>
      <w:r>
        <w:t xml:space="preserve"> </w:t>
      </w:r>
      <w:r>
        <w:t xml:space="preserve">with</w:t>
      </w:r>
      <w:r>
        <w:t xml:space="preserve"> </w:t>
      </w:r>
      <m:oMath>
        <m:r>
          <m:t>n</m:t>
        </m:r>
        <m:r>
          <m:rPr>
            <m:sty m:val="p"/>
          </m:rPr>
          <m:t>∼</m:t>
        </m:r>
        <m:r>
          <m:rPr>
            <m:scr m:val="script"/>
            <m:sty m:val="p"/>
          </m:rPr>
          <m:t>N</m:t>
        </m:r>
        <m:r>
          <m:rPr>
            <m:sty m:val="p"/>
          </m:rPr>
          <m:t>(</m:t>
        </m:r>
        <m:r>
          <m:t>0</m:t>
        </m:r>
        <m:r>
          <m:rPr>
            <m:sty m:val="p"/>
          </m:rPr>
          <m:t>,</m:t>
        </m:r>
        <m:sSup>
          <m:e>
            <m:r>
              <m:t>σ</m:t>
            </m:r>
          </m:e>
          <m:sup>
            <m:r>
              <m:t>2</m:t>
            </m:r>
          </m:sup>
        </m:sSup>
        <m:r>
          <m:rPr>
            <m:sty m:val="p"/>
          </m:rPr>
          <m:t>)</m:t>
        </m:r>
      </m:oMath>
      <w:r>
        <w:t xml:space="preserve"> </w:t>
      </w:r>
      <w:r>
        <w:t xml:space="preserve">and</w:t>
      </w:r>
      <w:r>
        <w:t xml:space="preserve"> </w:t>
      </w:r>
      <m:oMath>
        <m:r>
          <m:t>σ</m:t>
        </m:r>
        <m:r>
          <m:rPr>
            <m:sty m:val="p"/>
          </m:rPr>
          <m:t>=</m:t>
        </m:r>
        <m:r>
          <m:t>1</m:t>
        </m:r>
      </m:oMath>
      <w:r>
        <w:t xml:space="preserve"> dB. A</w:t>
      </w:r>
      <w:r>
        <w:t xml:space="preserve"> </w:t>
      </w:r>
      <w:r>
        <w:t xml:space="preserve">report held with period</w:t>
      </w:r>
      <w:r>
        <w:t xml:space="preserve"> </w:t>
      </w:r>
      <m:oMath>
        <m:r>
          <m:t>P</m:t>
        </m:r>
      </m:oMath>
      <w:r>
        <w:t xml:space="preserve"> </w:t>
      </w:r>
      <w:r>
        <w:t xml:space="preserve">reads</w:t>
      </w:r>
      <w:r>
        <w:t xml:space="preserve"> </w:t>
      </w:r>
      <m:oMath>
        <m:acc>
          <m:accPr>
            <m:chr m:val="̂"/>
          </m:accPr>
          <m:e>
            <m:r>
              <m:t>g</m:t>
            </m:r>
          </m:e>
        </m:acc>
        <m:r>
          <m:rPr>
            <m:sty m:val="p"/>
          </m:rPr>
          <m:t>(</m:t>
        </m:r>
        <m:r>
          <m:t>t</m:t>
        </m:r>
        <m:r>
          <m:rPr>
            <m:sty m:val="p"/>
          </m:rPr>
          <m:t>)</m:t>
        </m:r>
        <m:r>
          <m:rPr>
            <m:sty m:val="p"/>
          </m:rPr>
          <m:t>=</m:t>
        </m:r>
        <m:r>
          <m:t>γ</m:t>
        </m:r>
        <m:r>
          <m:t>​</m:t>
        </m:r>
        <m:d>
          <m:dPr>
            <m:begChr m:val="("/>
            <m:sepChr m:val=""/>
            <m:endChr m:val=")"/>
            <m:grow/>
          </m:dPr>
          <m:e>
            <m:r>
              <m:t>P</m:t>
            </m:r>
            <m:r>
              <m:rPr>
                <m:sty m:val="p"/>
              </m:rPr>
              <m:t>⌊</m:t>
            </m:r>
            <m:r>
              <m:t>t</m:t>
            </m:r>
            <m:r>
              <m:rPr>
                <m:sty m:val="p"/>
              </m:rPr>
              <m:t>/</m:t>
            </m:r>
            <m:r>
              <m:t>P</m:t>
            </m:r>
            <m:r>
              <m:rPr>
                <m:sty m:val="p"/>
              </m:rPr>
              <m:t>⌋</m:t>
            </m:r>
          </m:e>
        </m:d>
      </m:oMath>
      <w:r>
        <w:t xml:space="preserve"> </w:t>
      </w:r>
      <w:r>
        <w:t xml:space="preserve">and ages between reports. Let</w:t>
      </w:r>
      <w:r>
        <w:t xml:space="preserve"> </w:t>
      </w:r>
      <m:oMath>
        <m:sSub>
          <m:e>
            <m:r>
              <m:t>ρ</m:t>
            </m:r>
          </m:e>
          <m:sub>
            <m:r>
              <m:t>m</m:t>
            </m:r>
          </m:sub>
        </m:sSub>
        <m:r>
          <m:rPr>
            <m:sty m:val="p"/>
          </m:rPr>
          <m:t>(</m:t>
        </m:r>
        <m:r>
          <m:t>β</m:t>
        </m:r>
        <m:r>
          <m:rPr>
            <m:sty m:val="p"/>
          </m:rPr>
          <m:t>)</m:t>
        </m:r>
        <m:r>
          <m:rPr>
            <m:sty m:val="p"/>
          </m:rPr>
          <m:t>=</m:t>
        </m:r>
        <m:r>
          <m:rPr>
            <m:sty m:val="p"/>
          </m:rPr>
          <m:t>min</m:t>
        </m:r>
        <m:r>
          <m:rPr>
            <m:sty m:val="p"/>
          </m:rPr>
          <m:t>{</m:t>
        </m:r>
        <m:r>
          <m:t>γ</m:t>
        </m:r>
        <m:r>
          <m:rPr>
            <m:sty m:val="p"/>
          </m:rPr>
          <m:t>:</m:t>
        </m:r>
        <m:sSub>
          <m:e>
            <m:r>
              <m:t>e</m:t>
            </m:r>
          </m:e>
          <m:sub>
            <m:r>
              <m:t>m</m:t>
            </m:r>
          </m:sub>
        </m:sSub>
        <m:r>
          <m:rPr>
            <m:sty m:val="p"/>
          </m:rPr>
          <m:t>(</m:t>
        </m:r>
        <m:r>
          <m:t>γ</m:t>
        </m:r>
        <m:r>
          <m:rPr>
            <m:sty m:val="p"/>
          </m:rPr>
          <m:t>)</m:t>
        </m:r>
        <m:r>
          <m:rPr>
            <m:sty m:val="p"/>
          </m:rPr>
          <m:t>≤</m:t>
        </m:r>
        <m:r>
          <m:t>β</m:t>
        </m:r>
        <m:r>
          <m:rPr>
            <m:sty m:val="p"/>
          </m:rPr>
          <m:t>}</m:t>
        </m:r>
      </m:oMath>
      <w:r>
        <w:t xml:space="preserve"> </w:t>
      </w:r>
      <w:r>
        <w:t xml:space="preserve">be the</w:t>
      </w:r>
      <w:r>
        <w:t xml:space="preserve"> </w:t>
      </w:r>
      <w:r>
        <w:t xml:space="preserve">SNR that MCS</w:t>
      </w:r>
      <w:r>
        <w:t xml:space="preserve"> </w:t>
      </w:r>
      <m:oMath>
        <m:r>
          <m:t>m</m:t>
        </m:r>
      </m:oMath>
      <w:r>
        <w:t xml:space="preserve"> </w:t>
      </w:r>
      <w:r>
        <w:t xml:space="preserve">needs to meet target</w:t>
      </w:r>
      <w:r>
        <w:t xml:space="preserve"> </w:t>
      </w:r>
      <m:oMath>
        <m:r>
          <m:t>β</m:t>
        </m:r>
      </m:oMath>
      <w:r>
        <w:t xml:space="preserve">. The certificate selects, at a fixed</w:t>
      </w:r>
      <w:r>
        <w:t xml:space="preserve"> </w:t>
      </w:r>
      <w:r>
        <w:t xml:space="preserve">reference target</w:t>
      </w:r>
      <w:r>
        <w:t xml:space="preserve"> </w:t>
      </w:r>
      <m:oMath>
        <m:sSub>
          <m:e>
            <m:r>
              <m:t>β</m:t>
            </m:r>
          </m:e>
          <m:sub>
            <m:r>
              <m:t>0</m:t>
            </m:r>
          </m:sub>
        </m:sSub>
        <m:r>
          <m:rPr>
            <m:sty m:val="p"/>
          </m:rPr>
          <m:t>=</m:t>
        </m:r>
        <m:sSup>
          <m:e>
            <m:r>
              <m:t>10</m:t>
            </m:r>
          </m:e>
          <m:sup>
            <m:r>
              <m:rPr>
                <m:sty m:val="p"/>
              </m:rPr>
              <m:t>−</m:t>
            </m:r>
            <m:r>
              <m:t>1</m:t>
            </m:r>
          </m:sup>
        </m:sSup>
      </m:oMath>
      <w:r>
        <w:t xml:space="preserve"> </w:t>
      </w:r>
      <w:r>
        <w:t xml:space="preserve">with backoff</w:t>
      </w:r>
      <w:r>
        <w:t xml:space="preserve"> </w:t>
      </w:r>
      <m:oMath>
        <m:r>
          <m:rPr>
            <m:sty m:val="p"/>
          </m:rPr>
          <m:t>Δ</m:t>
        </m:r>
      </m:oMath>
      <w:r>
        <w:t xml:space="preserve">,</w:t>
      </w:r>
    </w:p>
    <w:p>
      <w:pPr>
        <w:pStyle w:val="BodyText"/>
      </w:pPr>
      <m:oMathPara>
        <m:oMathParaPr>
          <m:jc m:val="center"/>
        </m:oMathParaPr>
        <m:oMath>
          <m:sSup>
            <m:e>
              <m:r>
                <m:t>m</m:t>
              </m:r>
            </m:e>
            <m:sup>
              <m:r>
                <m:rPr>
                  <m:sty m:val="p"/>
                </m:rPr>
                <m:t>⋆</m:t>
              </m:r>
            </m:sup>
          </m:sSup>
          <m:r>
            <m:rPr>
              <m:sty m:val="p"/>
            </m:rPr>
            <m:t>(</m:t>
          </m:r>
          <m:acc>
            <m:accPr>
              <m:chr m:val="̂"/>
            </m:accPr>
            <m:e>
              <m:r>
                <m:t>g</m:t>
              </m:r>
            </m:e>
          </m:acc>
          <m:r>
            <m:rPr>
              <m:sty m:val="p"/>
            </m:rPr>
            <m:t>)</m:t>
          </m:r>
          <m:r>
            <m:rPr>
              <m:sty m:val="p"/>
            </m:rPr>
            <m:t>=</m:t>
          </m:r>
          <m:r>
            <m:rPr>
              <m:sty m:val="p"/>
            </m:rPr>
            <m:t>max</m:t>
          </m:r>
          <m:r>
            <m:rPr>
              <m:sty m:val="p"/>
            </m:rPr>
            <m:t>{</m:t>
          </m:r>
          <m:r>
            <m:t>m</m:t>
          </m:r>
          <m:r>
            <m:rPr>
              <m:sty m:val="p"/>
            </m:rPr>
            <m:t>∈</m:t>
          </m:r>
          <m:r>
            <m:rPr>
              <m:scr m:val="script"/>
              <m:sty m:val="p"/>
            </m:rPr>
            <m:t>M</m:t>
          </m:r>
          <m:r>
            <m:rPr>
              <m:sty m:val="p"/>
            </m:rPr>
            <m:t>:</m:t>
          </m:r>
          <m:sSub>
            <m:e>
              <m:r>
                <m:t>ρ</m:t>
              </m:r>
            </m:e>
            <m:sub>
              <m:r>
                <m:t>m</m:t>
              </m:r>
            </m:sub>
          </m:sSub>
          <m:r>
            <m:rPr>
              <m:sty m:val="p"/>
            </m:rPr>
            <m:t>(</m:t>
          </m:r>
          <m:sSub>
            <m:e>
              <m:r>
                <m:t>β</m:t>
              </m:r>
            </m:e>
            <m:sub>
              <m:r>
                <m:t>0</m:t>
              </m:r>
            </m:sub>
          </m:sSub>
          <m:r>
            <m:rPr>
              <m:sty m:val="p"/>
            </m:rPr>
            <m:t>)</m:t>
          </m:r>
          <m:r>
            <m:rPr>
              <m:sty m:val="p"/>
            </m:rPr>
            <m:t>+</m:t>
          </m:r>
          <m:r>
            <m:rPr>
              <m:sty m:val="p"/>
            </m:rPr>
            <m:t>Δ</m:t>
          </m:r>
          <m:r>
            <m:rPr>
              <m:sty m:val="p"/>
            </m:rPr>
            <m:t>≤</m:t>
          </m:r>
          <m:acc>
            <m:accPr>
              <m:chr m:val="̂"/>
            </m:accPr>
            <m:e>
              <m:r>
                <m:t>g</m:t>
              </m:r>
            </m:e>
          </m:acc>
          <m:r>
            <m:rPr>
              <m:sty m:val="p"/>
            </m:rPr>
            <m:t>}</m:t>
          </m:r>
          <m:r>
            <m:rPr>
              <m:sty m:val="p"/>
            </m:rPr>
            <m:t>,</m:t>
          </m:r>
          <m:r>
            <m:t> </m:t>
          </m:r>
          <m:r>
            <m:rPr>
              <m:sty m:val="p"/>
            </m:rPr>
            <m:t>Δ</m:t>
          </m:r>
          <m:r>
            <m:rPr>
              <m:sty m:val="p"/>
            </m:rPr>
            <m:t>=</m:t>
          </m:r>
          <m:r>
            <m:t>0</m:t>
          </m:r>
          <m:r>
            <m:t> </m:t>
          </m:r>
          <m:r>
            <m:rPr>
              <m:nor/>
              <m:sty m:val="p"/>
            </m:rPr>
            <m:t>(naive)</m:t>
          </m:r>
          <m:r>
            <m:rPr>
              <m:sty m:val="p"/>
            </m:rPr>
            <m:t>.</m:t>
          </m:r>
        </m:oMath>
      </m:oMathPara>
    </w:p>
    <w:p>
      <w:pPr>
        <w:pStyle w:val="FirstParagraph"/>
      </w:pPr>
      <w:r>
        <w:t xml:space="preserve">The operating point is set by</w:t>
      </w:r>
      <w:r>
        <w:t xml:space="preserve"> </w:t>
      </w:r>
      <m:oMath>
        <m:sSub>
          <m:e>
            <m:r>
              <m:t>β</m:t>
            </m:r>
          </m:e>
          <m:sub>
            <m:r>
              <m:t>0</m:t>
            </m:r>
          </m:sub>
        </m:sSub>
      </m:oMath>
      <w:r>
        <w:t xml:space="preserve">. The outcome is judged against the consumer’s</w:t>
      </w:r>
      <w:r>
        <w:t xml:space="preserve"> </w:t>
      </w:r>
      <w:r>
        <w:t xml:space="preserve">own target</w:t>
      </w:r>
      <w:r>
        <w:t xml:space="preserve"> </w:t>
      </w:r>
      <m:oMath>
        <m:r>
          <m:t>β</m:t>
        </m:r>
      </m:oMath>
      <w:r>
        <w:t xml:space="preserve">, which may differ. The witness is the HARQ outcome,</w:t>
      </w:r>
      <w:r>
        <w:t xml:space="preserve"> </w:t>
      </w:r>
      <m:oMath>
        <m:r>
          <m:rPr>
            <m:sty m:val="p"/>
          </m:rPr>
          <m:t>N</m:t>
        </m:r>
        <m:r>
          <m:rPr>
            <m:sty m:val="p"/>
          </m:rPr>
          <m:t>A</m:t>
        </m:r>
        <m:r>
          <m:rPr>
            <m:sty m:val="p"/>
          </m:rPr>
          <m:t>C</m:t>
        </m:r>
        <m:r>
          <m:rPr>
            <m:sty m:val="p"/>
          </m:rPr>
          <m:t>K</m:t>
        </m:r>
        <m:r>
          <m:rPr>
            <m:sty m:val="p"/>
          </m:rPr>
          <m:t>(</m:t>
        </m:r>
        <m:r>
          <m:t>t</m:t>
        </m:r>
        <m:r>
          <m:rPr>
            <m:sty m:val="p"/>
          </m:rPr>
          <m:t>)</m:t>
        </m:r>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sSub>
          <m:e>
            <m:r>
              <m:t>e</m:t>
            </m:r>
          </m:e>
          <m:sub>
            <m:sSup>
              <m:e>
                <m:r>
                  <m:t>m</m:t>
                </m:r>
              </m:e>
              <m:sup>
                <m:r>
                  <m:rPr>
                    <m:sty m:val="p"/>
                  </m:rPr>
                  <m:t>⋆</m:t>
                </m:r>
              </m:sup>
            </m:sSup>
          </m:sub>
        </m:sSub>
        <m:r>
          <m:rPr>
            <m:sty m:val="p"/>
          </m:rPr>
          <m:t>(</m:t>
        </m:r>
        <m:r>
          <m:t>γ</m:t>
        </m:r>
        <m:r>
          <m:rPr>
            <m:sty m:val="p"/>
          </m:rPr>
          <m:t>(</m:t>
        </m:r>
        <m:r>
          <m:t>t</m:t>
        </m:r>
        <m:r>
          <m:rPr>
            <m:sty m:val="p"/>
          </m:rPr>
          <m:t>)</m:t>
        </m:r>
        <m:r>
          <m:rPr>
            <m:sty m:val="p"/>
          </m:rPr>
          <m:t>)</m:t>
        </m:r>
        <m:r>
          <m:rPr>
            <m:sty m:val="p"/>
          </m:rPr>
          <m:t>)</m:t>
        </m:r>
      </m:oMath>
      <w:r>
        <w:t xml:space="preserve">. A false-clear is a</w:t>
      </w:r>
      <w:r>
        <w:t xml:space="preserve"> </w:t>
      </w:r>
      <w:r>
        <w:t xml:space="preserve">cleared MCS the channel cannot support at</w:t>
      </w:r>
      <w:r>
        <w:t xml:space="preserve"> </w:t>
      </w:r>
      <m:oMath>
        <m:r>
          <m:t>β</m:t>
        </m:r>
      </m:oMath>
      <w:r>
        <w:t xml:space="preserve">, that is</w:t>
      </w:r>
      <w:r>
        <w:t xml:space="preserve"> </w:t>
      </w:r>
      <m:oMath>
        <m:sSub>
          <m:e>
            <m:r>
              <m:t>ρ</m:t>
            </m:r>
          </m:e>
          <m:sub>
            <m:sSup>
              <m:e>
                <m:r>
                  <m:t>m</m:t>
                </m:r>
              </m:e>
              <m:sup>
                <m:r>
                  <m:rPr>
                    <m:sty m:val="p"/>
                  </m:rPr>
                  <m:t>⋆</m:t>
                </m:r>
              </m:sup>
            </m:sSup>
          </m:sub>
        </m:sSub>
        <m:r>
          <m:rPr>
            <m:sty m:val="p"/>
          </m:rPr>
          <m:t>(</m:t>
        </m:r>
        <m:r>
          <m:t>β</m:t>
        </m:r>
        <m:r>
          <m:rPr>
            <m:sty m:val="p"/>
          </m:rPr>
          <m:t>)</m:t>
        </m:r>
        <m:r>
          <m:rPr>
            <m:sty m:val="p"/>
          </m:rPr>
          <m:t>&gt;</m:t>
        </m:r>
        <m:r>
          <m:t>γ</m:t>
        </m:r>
        <m:r>
          <m:rPr>
            <m:sty m:val="p"/>
          </m:rPr>
          <m:t>(</m:t>
        </m:r>
        <m:r>
          <m:t>t</m:t>
        </m:r>
        <m:r>
          <m:rPr>
            <m:sty m:val="p"/>
          </m:rPr>
          <m:t>)</m:t>
        </m:r>
      </m:oMath>
      <w:r>
        <w:t xml:space="preserve">. We report its rate with two estimators. The refresh</w:t>
      </w:r>
      <w:r>
        <w:t xml:space="preserve"> </w:t>
      </w:r>
      <w:r>
        <w:t xml:space="preserve">study (§</w:t>
      </w:r>
      <w:hyperlink w:anchor="sec:refresh">
        <w:r>
          <w:rPr>
            <w:rStyle w:val="Hyperlink"/>
          </w:rPr>
          <w:t xml:space="preserve">4</w:t>
        </w:r>
      </w:hyperlink>
      <w:r>
        <w:t xml:space="preserve">) counts actual NACKs,</w:t>
      </w:r>
    </w:p>
    <w:p>
      <w:pPr>
        <w:pStyle w:val="BodyText"/>
      </w:pPr>
      <m:oMathPara>
        <m:oMathParaPr>
          <m:jc m:val="center"/>
        </m:oMathParaPr>
        <m:oMath>
          <m:acc>
            <m:accPr>
              <m:chr m:val="̂"/>
            </m:accPr>
            <m:e>
              <m:r>
                <m:rPr>
                  <m:sty m:val="p"/>
                </m:rPr>
                <m:t>F</m:t>
              </m:r>
              <m:r>
                <m:rPr>
                  <m:sty m:val="p"/>
                </m:rPr>
                <m:t>C</m:t>
              </m:r>
            </m:e>
          </m:acc>
          <m:r>
            <m:rPr>
              <m:sty m:val="p"/>
            </m:rPr>
            <m:t>=</m:t>
          </m:r>
          <m:f>
            <m:fPr>
              <m:type m:val="lin"/>
            </m:fPr>
            <m:num>
              <m:r>
                <m:t>1</m:t>
              </m:r>
            </m:num>
            <m:den>
              <m:r>
                <m:t>T</m:t>
              </m:r>
            </m:den>
          </m:f>
          <m:nary>
            <m:naryPr>
              <m:chr m:val="∑"/>
              <m:limLoc m:val="undOvr"/>
              <m:subHide m:val="off"/>
              <m:supHide m:val="off"/>
            </m:naryPr>
            <m:sub>
              <m:r>
                <m:t>t</m:t>
              </m:r>
              <m:r>
                <m:rPr>
                  <m:sty m:val="p"/>
                </m:rPr>
                <m:t>=</m:t>
              </m:r>
              <m:r>
                <m:t>1</m:t>
              </m:r>
            </m:sub>
            <m:sup>
              <m:r>
                <m:t>T</m:t>
              </m:r>
            </m:sup>
            <m:e>
              <m:r>
                <m:rPr>
                  <m:sty m:val="b"/>
                </m:rPr>
                <m:t>1</m:t>
              </m:r>
            </m:e>
          </m:nary>
          <m:r>
            <m:rPr>
              <m:sty m:val="p"/>
            </m:rPr>
            <m:t>[</m:t>
          </m:r>
          <m:r>
            <m:rPr>
              <m:sty m:val="p"/>
            </m:rPr>
            <m:t>N</m:t>
          </m:r>
          <m:r>
            <m:rPr>
              <m:sty m:val="p"/>
            </m:rPr>
            <m:t>A</m:t>
          </m:r>
          <m:r>
            <m:rPr>
              <m:sty m:val="p"/>
            </m:rPr>
            <m:t>C</m:t>
          </m:r>
          <m:r>
            <m:rPr>
              <m:sty m:val="p"/>
            </m:rPr>
            <m:t>K</m:t>
          </m:r>
          <m:r>
            <m:rPr>
              <m:sty m:val="p"/>
            </m:rPr>
            <m:t>(</m:t>
          </m:r>
          <m:r>
            <m:t>t</m:t>
          </m:r>
          <m:r>
            <m:rPr>
              <m:sty m:val="p"/>
            </m:rPr>
            <m:t>)</m:t>
          </m:r>
          <m:r>
            <m:rPr>
              <m:sty m:val="p"/>
            </m:rPr>
            <m:t>]</m:t>
          </m:r>
          <m:r>
            <m:rPr>
              <m:sty m:val="p"/>
            </m:rPr>
            <m:t>,</m:t>
          </m:r>
        </m:oMath>
      </m:oMathPara>
    </w:p>
    <w:p>
      <w:pPr>
        <w:pStyle w:val="FirstParagraph"/>
      </w:pPr>
      <w:r>
        <w:t xml:space="preserve">which is also what the outer loop consumes. The target study (§</w:t>
      </w:r>
      <w:hyperlink w:anchor="sec:urllc">
        <w:r>
          <w:rPr>
            <w:rStyle w:val="Hyperlink"/>
          </w:rPr>
          <w:t xml:space="preserve">3</w:t>
        </w:r>
      </w:hyperlink>
      <w:r>
        <w:t xml:space="preserve">) uses</w:t>
      </w:r>
      <w:r>
        <w:t xml:space="preserve"> </w:t>
      </w:r>
      <w:r>
        <w:t xml:space="preserve">the expected rate</w:t>
      </w:r>
      <w:r>
        <w:t xml:space="preserve"> </w:t>
      </w:r>
      <m:oMath>
        <m:r>
          <m:rPr>
            <m:sty m:val="p"/>
          </m:rPr>
          <m:t>F</m:t>
        </m:r>
        <m:r>
          <m:rPr>
            <m:sty m:val="p"/>
          </m:rPr>
          <m:t>C</m:t>
        </m:r>
        <m:r>
          <m:rPr>
            <m:sty m:val="p"/>
          </m:rPr>
          <m:t>(</m:t>
        </m:r>
        <m:r>
          <m:t>β</m:t>
        </m:r>
        <m:r>
          <m:rPr>
            <m:sty m:val="p"/>
          </m:rPr>
          <m:t>)</m:t>
        </m:r>
        <m:r>
          <m:rPr>
            <m:sty m:val="p"/>
          </m:rPr>
          <m:t>=</m:t>
        </m:r>
        <m:f>
          <m:fPr>
            <m:type m:val="lin"/>
          </m:fPr>
          <m:num>
            <m:r>
              <m:t>1</m:t>
            </m:r>
          </m:num>
          <m:den>
            <m:r>
              <m:t>T</m:t>
            </m:r>
          </m:den>
        </m:f>
        <m:nary>
          <m:naryPr>
            <m:chr m:val="∑"/>
            <m:limLoc m:val="undOvr"/>
            <m:subHide m:val="off"/>
            <m:supHide m:val="on"/>
          </m:naryPr>
          <m:sub>
            <m:r>
              <m:t>t</m:t>
            </m:r>
          </m:sub>
          <m:sup>
            <m:r>
              <m:t>​</m:t>
            </m:r>
          </m:sup>
          <m:e>
            <m:sSub>
              <m:e>
                <m:r>
                  <m:t>e</m:t>
                </m:r>
              </m:e>
              <m:sub>
                <m:sSup>
                  <m:e>
                    <m:r>
                      <m:t>m</m:t>
                    </m:r>
                  </m:e>
                  <m:sup>
                    <m:r>
                      <m:rPr>
                        <m:sty m:val="p"/>
                      </m:rPr>
                      <m:t>⋆</m:t>
                    </m:r>
                  </m:sup>
                </m:sSup>
              </m:sub>
            </m:sSub>
          </m:e>
        </m:nary>
        <m:r>
          <m:rPr>
            <m:sty m:val="p"/>
          </m:rPr>
          <m:t>(</m:t>
        </m:r>
        <m:r>
          <m:t>γ</m:t>
        </m:r>
        <m:r>
          <m:rPr>
            <m:sty m:val="p"/>
          </m:rPr>
          <m:t>(</m:t>
        </m:r>
        <m:r>
          <m:t>t</m:t>
        </m:r>
        <m:r>
          <m:rPr>
            <m:sty m:val="p"/>
          </m:rPr>
          <m:t>)</m:t>
        </m:r>
        <m:r>
          <m:rPr>
            <m:sty m:val="p"/>
          </m:rPr>
          <m:t>)</m:t>
        </m:r>
      </m:oMath>
      <w:r>
        <w:t xml:space="preserve">,</w:t>
      </w:r>
      <w:r>
        <w:t xml:space="preserve"> </w:t>
      </w:r>
      <w:r>
        <w:t xml:space="preserve">because</w:t>
      </w:r>
      <w:r>
        <w:t xml:space="preserve"> </w:t>
      </w:r>
      <m:oMath>
        <m:r>
          <m:t>T</m:t>
        </m:r>
        <m:r>
          <m:rPr>
            <m:sty m:val="p"/>
          </m:rPr>
          <m:t>=</m:t>
        </m:r>
        <m:r>
          <m:t>6000</m:t>
        </m:r>
      </m:oMath>
      <w:r>
        <w:t xml:space="preserve"> </w:t>
      </w:r>
      <w:r>
        <w:t xml:space="preserve">TTI cannot resolve a</w:t>
      </w:r>
      <w:r>
        <w:t xml:space="preserve"> </w:t>
      </w:r>
      <m:oMath>
        <m:sSup>
          <m:e>
            <m:r>
              <m:t>10</m:t>
            </m:r>
          </m:e>
          <m:sup>
            <m:r>
              <m:rPr>
                <m:sty m:val="p"/>
              </m:rPr>
              <m:t>−</m:t>
            </m:r>
            <m:r>
              <m:t>3</m:t>
            </m:r>
          </m:sup>
        </m:sSup>
      </m:oMath>
      <w:r>
        <w:t xml:space="preserve"> </w:t>
      </w:r>
      <w:r>
        <w:t xml:space="preserve">tail by counting. Since</w:t>
      </w:r>
      <w:r>
        <w:t xml:space="preserve"> </w:t>
      </w:r>
      <w:hyperlink w:anchor="eq:cert">
        <w:r>
          <w:rPr>
            <w:rStyle w:val="Hyperlink"/>
          </w:rPr>
          <w:t xml:space="preserve">[eq:cert]</w:t>
        </w:r>
      </w:hyperlink>
      <w:r>
        <w:t xml:space="preserve"> </w:t>
      </w:r>
      <w:r>
        <w:t xml:space="preserve">fixes the operating point at</w:t>
      </w:r>
      <w:r>
        <w:t xml:space="preserve"> </w:t>
      </w:r>
      <m:oMath>
        <m:sSub>
          <m:e>
            <m:r>
              <m:t>β</m:t>
            </m:r>
          </m:e>
          <m:sub>
            <m:r>
              <m:t>0</m:t>
            </m:r>
          </m:sub>
        </m:sSub>
      </m:oMath>
      <w:r>
        <w:t xml:space="preserve"> </w:t>
      </w:r>
      <w:r>
        <w:t xml:space="preserve">while the verdict uses</w:t>
      </w:r>
      <w:r>
        <w:t xml:space="preserve"> </w:t>
      </w:r>
      <m:oMath>
        <m:r>
          <m:t>β</m:t>
        </m:r>
      </m:oMath>
      <w:r>
        <w:t xml:space="preserve">, one trace gives</w:t>
      </w:r>
      <w:r>
        <w:t xml:space="preserve"> </w:t>
      </w:r>
      <w:r>
        <w:t xml:space="preserve">different answers to the eMBB consumer (</w:t>
      </w:r>
      <m:oMath>
        <m:r>
          <m:t>β</m:t>
        </m:r>
        <m:r>
          <m:rPr>
            <m:sty m:val="p"/>
          </m:rPr>
          <m:t>=</m:t>
        </m:r>
        <m:sSup>
          <m:e>
            <m:r>
              <m:t>10</m:t>
            </m:r>
          </m:e>
          <m:sup>
            <m:r>
              <m:rPr>
                <m:sty m:val="p"/>
              </m:rPr>
              <m:t>−</m:t>
            </m:r>
            <m:r>
              <m:t>1</m:t>
            </m:r>
          </m:sup>
        </m:sSup>
      </m:oMath>
      <w:r>
        <w:t xml:space="preserve">) and the URLLC consumer</w:t>
      </w:r>
      <w:r>
        <w:t xml:space="preserve"> </w:t>
      </w:r>
      <w:r>
        <w:t xml:space="preserve">(</w:t>
      </w:r>
      <m:oMath>
        <m:r>
          <m:t>β</m:t>
        </m:r>
        <m:r>
          <m:rPr>
            <m:sty m:val="p"/>
          </m:rPr>
          <m:t>=</m:t>
        </m:r>
        <m:sSup>
          <m:e>
            <m:r>
              <m:t>10</m:t>
            </m:r>
          </m:e>
          <m:sup>
            <m:r>
              <m:rPr>
                <m:sty m:val="p"/>
              </m:rPr>
              <m:t>−</m:t>
            </m:r>
            <m:r>
              <m:t>3</m:t>
            </m:r>
          </m:sup>
        </m:sSup>
      </m:oMath>
      <w:r>
        <w:t xml:space="preserve">). That difference is what we measure.</w:t>
      </w:r>
    </w:p>
    <w:p>
      <w:pPr>
        <w:pStyle w:val="BodyText"/>
      </w:pPr>
      <w:r>
        <w:rPr>
          <w:b/>
          <w:bCs/>
        </w:rPr>
        <w:t xml:space="preserve">URLLC-aware policy.</w:t>
      </w:r>
      <w:r>
        <w:t xml:space="preserve"> </w:t>
      </w:r>
      <w:r>
        <w:t xml:space="preserve">It raises</w:t>
      </w:r>
      <w:r>
        <w:t xml:space="preserve"> </w:t>
      </w:r>
      <m:oMath>
        <m:r>
          <m:rPr>
            <m:sty m:val="p"/>
          </m:rPr>
          <m:t>Δ</m:t>
        </m:r>
      </m:oMath>
      <w:r>
        <w:t xml:space="preserve"> </w:t>
      </w:r>
      <w:r>
        <w:t xml:space="preserve">and combines</w:t>
      </w:r>
      <w:r>
        <w:t xml:space="preserve"> </w:t>
      </w:r>
      <m:oMath>
        <m:r>
          <m:t>K</m:t>
        </m:r>
        <m:r>
          <m:rPr>
            <m:sty m:val="p"/>
          </m:rPr>
          <m:t>=</m:t>
        </m:r>
        <m:r>
          <m:t>3</m:t>
        </m:r>
      </m:oMath>
      <w:r>
        <w:t xml:space="preserve"> </w:t>
      </w:r>
      <w:r>
        <w:t xml:space="preserve">diversity</w:t>
      </w:r>
      <w:r>
        <w:t xml:space="preserve"> </w:t>
      </w:r>
      <w:r>
        <w:t xml:space="preserve">branches. A backoff alone cannot reach</w:t>
      </w:r>
      <w:r>
        <w:t xml:space="preserve"> </w:t>
      </w:r>
      <m:oMath>
        <m:sSup>
          <m:e>
            <m:r>
              <m:t>10</m:t>
            </m:r>
          </m:e>
          <m:sup>
            <m:r>
              <m:rPr>
                <m:sty m:val="p"/>
              </m:rPr>
              <m:t>−</m:t>
            </m:r>
            <m:r>
              <m:t>3</m:t>
            </m:r>
          </m:sup>
        </m:sSup>
      </m:oMath>
      <w:r>
        <w:t xml:space="preserve">, because a single Rayleigh branch</w:t>
      </w:r>
      <w:r>
        <w:t xml:space="preserve"> </w:t>
      </w:r>
      <w:r>
        <w:t xml:space="preserve">spends about</w:t>
      </w:r>
      <w:r>
        <w:t xml:space="preserve"> </w:t>
      </w:r>
      <m:oMath>
        <m:r>
          <m:t>4</m:t>
        </m:r>
        <m:r>
          <m:rPr>
            <m:sty m:val="p"/>
          </m:rPr>
          <m:t>%</m:t>
        </m:r>
      </m:oMath>
      <w:r>
        <w:t xml:space="preserve"> </w:t>
      </w:r>
      <w:r>
        <w:t xml:space="preserve">of its time in fades too deep for any MCS. The branches</w:t>
      </w:r>
      <w:r>
        <w:t xml:space="preserve"> </w:t>
      </w:r>
      <m:oMath>
        <m:r>
          <m:rPr>
            <m:sty m:val="p"/>
          </m:rPr>
          <m:t>{</m:t>
        </m:r>
        <m:sSub>
          <m:e>
            <m:r>
              <m:t>γ</m:t>
            </m:r>
          </m:e>
          <m:sub>
            <m:r>
              <m:t>k</m:t>
            </m:r>
          </m:sub>
        </m:sSub>
        <m:r>
          <m:rPr>
            <m:sty m:val="p"/>
          </m:rPr>
          <m:t>(</m:t>
        </m:r>
        <m:r>
          <m:t>t</m:t>
        </m:r>
        <m:r>
          <m:rPr>
            <m:sty m:val="p"/>
          </m:rPr>
          <m:t>)</m:t>
        </m:r>
        <m:r>
          <m:rPr>
            <m:sty m:val="p"/>
          </m:rPr>
          <m:t>}</m:t>
        </m:r>
      </m:oMath>
      <w:r>
        <w:t xml:space="preserve"> </w:t>
      </w:r>
      <w:r>
        <w:t xml:space="preserve">are independent TDL-A realizations from distinct seeds, standing in</w:t>
      </w:r>
      <w:r>
        <w:t xml:space="preserve"> </w:t>
      </w:r>
      <w:r>
        <w:t xml:space="preserve">for frequency or spatial replicas rather than retransmissions, and a block fails only</w:t>
      </w:r>
      <w:r>
        <w:t xml:space="preserve"> </w:t>
      </w:r>
      <w:r>
        <w:t xml:space="preserve">if all branches fail:</w:t>
      </w:r>
      <w:r>
        <w:t xml:space="preserve"> </w:t>
      </w:r>
      <m:oMath>
        <m:sSub>
          <m:e>
            <m:r>
              <m:rPr>
                <m:sty m:val="p"/>
              </m:rPr>
              <m:t>F</m:t>
            </m:r>
            <m:r>
              <m:rPr>
                <m:sty m:val="p"/>
              </m:rPr>
              <m:t>C</m:t>
            </m:r>
          </m:e>
          <m:sub>
            <m:r>
              <m:rPr>
                <m:nor/>
                <m:sty m:val="p"/>
              </m:rPr>
              <m:t>aware</m:t>
            </m:r>
          </m:sub>
        </m:sSub>
        <m:r>
          <m:rPr>
            <m:sty m:val="p"/>
          </m:rPr>
          <m:t>=</m:t>
        </m:r>
        <m:f>
          <m:fPr>
            <m:type m:val="lin"/>
          </m:fPr>
          <m:num>
            <m:r>
              <m:t>1</m:t>
            </m:r>
          </m:num>
          <m:den>
            <m:r>
              <m:t>T</m:t>
            </m:r>
          </m:den>
        </m:f>
        <m:nary>
          <m:naryPr>
            <m:chr m:val="∑"/>
            <m:limLoc m:val="undOvr"/>
            <m:subHide m:val="off"/>
            <m:supHide m:val="on"/>
          </m:naryPr>
          <m:sub>
            <m:r>
              <m:t>t</m:t>
            </m:r>
          </m:sub>
          <m:sup>
            <m:r>
              <m:t>​</m:t>
            </m:r>
          </m:sup>
          <m:e>
            <m:nary>
              <m:naryPr>
                <m:chr m:val="∏"/>
                <m:limLoc m:val="undOvr"/>
                <m:subHide m:val="off"/>
                <m:supHide m:val="off"/>
              </m:naryPr>
              <m:sub>
                <m:r>
                  <m:t>k</m:t>
                </m:r>
                <m:r>
                  <m:rPr>
                    <m:sty m:val="p"/>
                  </m:rPr>
                  <m:t>=</m:t>
                </m:r>
                <m:r>
                  <m:t>1</m:t>
                </m:r>
              </m:sub>
              <m:sup>
                <m:r>
                  <m:t>K</m:t>
                </m:r>
              </m:sup>
              <m:e>
                <m:sSub>
                  <m:e>
                    <m:r>
                      <m:t>e</m:t>
                    </m:r>
                  </m:e>
                  <m:sub>
                    <m:sSup>
                      <m:e>
                        <m:r>
                          <m:t>m</m:t>
                        </m:r>
                      </m:e>
                      <m:sup>
                        <m:r>
                          <m:rPr>
                            <m:sty m:val="p"/>
                          </m:rPr>
                          <m:t>⋆</m:t>
                        </m:r>
                      </m:sup>
                    </m:sSup>
                  </m:sub>
                </m:sSub>
              </m:e>
            </m:nary>
          </m:e>
        </m:nary>
        <m:r>
          <m:rPr>
            <m:sty m:val="p"/>
          </m:rPr>
          <m:t>(</m:t>
        </m:r>
        <m:sSub>
          <m:e>
            <m:r>
              <m:t>γ</m:t>
            </m:r>
          </m:e>
          <m:sub>
            <m:r>
              <m:t>k</m:t>
            </m:r>
          </m:sub>
        </m:sSub>
        <m:r>
          <m:rPr>
            <m:sty m:val="p"/>
          </m:rPr>
          <m:t>(</m:t>
        </m:r>
        <m:r>
          <m:t>t</m:t>
        </m:r>
        <m:r>
          <m:rPr>
            <m:sty m:val="p"/>
          </m:rPr>
          <m:t>)</m:t>
        </m:r>
        <m:r>
          <m:rPr>
            <m:sty m:val="p"/>
          </m:rPr>
          <m:t>)</m:t>
        </m:r>
      </m:oMath>
      <w:r>
        <w:t xml:space="preserve">.</w:t>
      </w:r>
      <w:r>
        <w:t xml:space="preserve"> </w:t>
      </w:r>
      <w:r>
        <w:t xml:space="preserve">Independence makes this a best case. Correlated diversity fails together more often, so</w:t>
      </w:r>
      <w:r>
        <w:t xml:space="preserve"> </w:t>
      </w:r>
      <w:r>
        <w:t xml:space="preserve">the true cost of URLLC safety is at least what we report.</w:t>
      </w:r>
    </w:p>
    <w:p>
      <w:pPr>
        <w:pStyle w:val="BodyText"/>
      </w:pPr>
      <w:r>
        <w:rPr>
          <w:b/>
          <w:bCs/>
        </w:rPr>
        <w:t xml:space="preserve">OLLA.</w:t>
      </w:r>
      <w:r>
        <w:t xml:space="preserve"> </w:t>
      </w:r>
      <w:r>
        <w:t xml:space="preserve">The correction of §</w:t>
      </w:r>
      <w:hyperlink w:anchor="sec:refresh">
        <w:r>
          <w:rPr>
            <w:rStyle w:val="Hyperlink"/>
          </w:rPr>
          <w:t xml:space="preserve">4</w:t>
        </w:r>
      </w:hyperlink>
      <w:r>
        <w:t xml:space="preserve"> </w:t>
      </w:r>
      <w:r>
        <w:t xml:space="preserve">does not trust</w:t>
      </w:r>
      <w:r>
        <w:t xml:space="preserve"> </w:t>
      </w:r>
      <m:oMath>
        <m:acc>
          <m:accPr>
            <m:chr m:val="̂"/>
          </m:accPr>
          <m:e>
            <m:r>
              <m:t>g</m:t>
            </m:r>
          </m:e>
        </m:acc>
      </m:oMath>
      <w:r>
        <w:t xml:space="preserve">. It</w:t>
      </w:r>
      <w:r>
        <w:t xml:space="preserve"> </w:t>
      </w:r>
      <w:r>
        <w:t xml:space="preserve">selects</w:t>
      </w:r>
      <w:r>
        <w:t xml:space="preserve"> </w:t>
      </w:r>
      <m:oMath>
        <m:sSup>
          <m:e>
            <m:r>
              <m:t>m</m:t>
            </m:r>
          </m:e>
          <m:sup>
            <m:r>
              <m:rPr>
                <m:sty m:val="p"/>
              </m:rPr>
              <m:t>⋆</m:t>
            </m:r>
          </m:sup>
        </m:sSup>
        <m:r>
          <m:rPr>
            <m:sty m:val="p"/>
          </m:rPr>
          <m:t>(</m:t>
        </m:r>
        <m:acc>
          <m:accPr>
            <m:chr m:val="̂"/>
          </m:accPr>
          <m:e>
            <m:r>
              <m:t>g</m:t>
            </m:r>
          </m:e>
        </m:acc>
        <m:r>
          <m:rPr>
            <m:sty m:val="p"/>
          </m:rPr>
          <m:t>(</m:t>
        </m:r>
        <m:r>
          <m:t>t</m:t>
        </m:r>
        <m:r>
          <m:rPr>
            <m:sty m:val="p"/>
          </m:rPr>
          <m:t>)</m:t>
        </m:r>
        <m:r>
          <m:rPr>
            <m:sty m:val="p"/>
          </m:rPr>
          <m:t>−</m:t>
        </m:r>
        <m:r>
          <m:t>o</m:t>
        </m:r>
        <m:r>
          <m:rPr>
            <m:sty m:val="p"/>
          </m:rPr>
          <m:t>(</m:t>
        </m:r>
        <m:r>
          <m:t>t</m:t>
        </m:r>
        <m:r>
          <m:rPr>
            <m:sty m:val="p"/>
          </m:rPr>
          <m:t>)</m:t>
        </m:r>
        <m:r>
          <m:rPr>
            <m:sty m:val="p"/>
          </m:rPr>
          <m:t>)</m:t>
        </m:r>
      </m:oMath>
      <w:r>
        <w:t xml:space="preserve"> </w:t>
      </w:r>
      <w:r>
        <w:t xml:space="preserve">and moves the offset on HARQ feedback,</w:t>
      </w:r>
    </w:p>
    <w:p>
      <w:pPr>
        <w:pStyle w:val="BodyText"/>
      </w:pPr>
      <m:oMathPara>
        <m:oMathParaPr>
          <m:jc m:val="center"/>
        </m:oMathParaPr>
        <m:oMath>
          <m:r>
            <m:t>o</m:t>
          </m:r>
          <m:r>
            <m:rPr>
              <m:sty m:val="p"/>
            </m:rPr>
            <m:t>(</m:t>
          </m:r>
          <m:r>
            <m:t>t</m:t>
          </m:r>
          <m:r>
            <m:rPr>
              <m:sty m:val="p"/>
            </m:rPr>
            <m:t>+</m:t>
          </m:r>
          <m:r>
            <m:t>1</m:t>
          </m:r>
          <m:r>
            <m:rPr>
              <m:sty m:val="p"/>
            </m:rPr>
            <m:t>)</m:t>
          </m:r>
          <m:r>
            <m:rPr>
              <m:sty m:val="p"/>
            </m:rPr>
            <m:t>=</m:t>
          </m:r>
          <m:r>
            <m:t>o</m:t>
          </m:r>
          <m:r>
            <m:rPr>
              <m:sty m:val="p"/>
            </m:rPr>
            <m:t>(</m:t>
          </m:r>
          <m:r>
            <m:t>t</m:t>
          </m:r>
          <m:r>
            <m:rPr>
              <m:sty m:val="p"/>
            </m:rPr>
            <m:t>)</m:t>
          </m:r>
          <m:r>
            <m:rPr>
              <m:sty m:val="p"/>
            </m:rPr>
            <m:t>+</m:t>
          </m:r>
          <m:sSub>
            <m:e>
              <m:r>
                <m:t>δ</m:t>
              </m:r>
            </m:e>
            <m:sub>
              <m:r>
                <m:rPr>
                  <m:sty m:val="p"/>
                </m:rPr>
                <m:t>↑</m:t>
              </m:r>
            </m:sub>
          </m:sSub>
          <m:r>
            <m:rPr>
              <m:sty m:val="b"/>
            </m:rPr>
            <m:t>1</m:t>
          </m:r>
          <m:r>
            <m:rPr>
              <m:sty m:val="p"/>
            </m:rPr>
            <m:t>[</m:t>
          </m:r>
          <m:r>
            <m:rPr>
              <m:nor/>
              <m:sty m:val="p"/>
            </m:rPr>
            <m:t>ACK</m:t>
          </m:r>
          <m:r>
            <m:rPr>
              <m:sty m:val="p"/>
            </m:rPr>
            <m:t>(</m:t>
          </m:r>
          <m:r>
            <m:t>t</m:t>
          </m:r>
          <m:r>
            <m:rPr>
              <m:sty m:val="p"/>
            </m:rPr>
            <m:t>)</m:t>
          </m:r>
          <m:r>
            <m:rPr>
              <m:sty m:val="p"/>
            </m:rPr>
            <m:t>]</m:t>
          </m:r>
          <m:r>
            <m:rPr>
              <m:sty m:val="p"/>
            </m:rPr>
            <m:t>−</m:t>
          </m:r>
          <m:sSub>
            <m:e>
              <m:r>
                <m:t>δ</m:t>
              </m:r>
            </m:e>
            <m:sub>
              <m:r>
                <m:rPr>
                  <m:sty m:val="p"/>
                </m:rPr>
                <m:t>↓</m:t>
              </m:r>
            </m:sub>
          </m:sSub>
          <m:r>
            <m:rPr>
              <m:sty m:val="b"/>
            </m:rPr>
            <m:t>1</m:t>
          </m:r>
          <m:r>
            <m:rPr>
              <m:sty m:val="p"/>
            </m:rPr>
            <m:t>[</m:t>
          </m:r>
          <m:r>
            <m:rPr>
              <m:nor/>
              <m:sty m:val="p"/>
            </m:rPr>
            <m:t>NACK</m:t>
          </m:r>
          <m:r>
            <m:rPr>
              <m:sty m:val="p"/>
            </m:rPr>
            <m:t>(</m:t>
          </m:r>
          <m:r>
            <m:t>t</m:t>
          </m:r>
          <m:r>
            <m:rPr>
              <m:sty m:val="p"/>
            </m:rPr>
            <m:t>)</m:t>
          </m:r>
          <m:r>
            <m:rPr>
              <m:sty m:val="p"/>
            </m:rPr>
            <m:t>]</m:t>
          </m:r>
          <m:r>
            <m:rPr>
              <m:sty m:val="p"/>
            </m:rPr>
            <m:t>,</m:t>
          </m:r>
        </m:oMath>
      </m:oMathPara>
    </w:p>
    <w:p>
      <w:pPr>
        <w:pStyle w:val="FirstParagraph"/>
      </w:pPr>
      <w:r>
        <w:t xml:space="preserve">with</w:t>
      </w:r>
      <w:r>
        <w:t xml:space="preserve"> </w:t>
      </w:r>
      <m:oMath>
        <m:sSub>
          <m:e>
            <m:r>
              <m:t>δ</m:t>
            </m:r>
          </m:e>
          <m:sub>
            <m:r>
              <m:rPr>
                <m:sty m:val="p"/>
              </m:rPr>
              <m:t>↑</m:t>
            </m:r>
          </m:sub>
        </m:sSub>
        <m:r>
          <m:rPr>
            <m:sty m:val="p"/>
          </m:rPr>
          <m:t>=</m:t>
        </m:r>
        <m:r>
          <m:t>0.1</m:t>
        </m:r>
      </m:oMath>
      <w:r>
        <w:t xml:space="preserve"> dB and</w:t>
      </w:r>
      <w:r>
        <w:t xml:space="preserve"> </w:t>
      </w:r>
      <m:oMath>
        <m:sSub>
          <m:e>
            <m:r>
              <m:t>δ</m:t>
            </m:r>
          </m:e>
          <m:sub>
            <m:r>
              <m:rPr>
                <m:sty m:val="p"/>
              </m:rPr>
              <m:t>↓</m:t>
            </m:r>
          </m:sub>
        </m:sSub>
        <m:r>
          <m:rPr>
            <m:sty m:val="p"/>
          </m:rPr>
          <m:t>=</m:t>
        </m:r>
        <m:sSub>
          <m:e>
            <m:r>
              <m:t>δ</m:t>
            </m:r>
          </m:e>
          <m:sub>
            <m:r>
              <m:rPr>
                <m:sty m:val="p"/>
              </m:rPr>
              <m:t>↑</m:t>
            </m:r>
          </m:sub>
        </m:sSub>
        <m:r>
          <m:rPr>
            <m:sty m:val="p"/>
          </m:rPr>
          <m:t>(</m:t>
        </m:r>
        <m:r>
          <m:t>1</m:t>
        </m:r>
        <m:r>
          <m:rPr>
            <m:sty m:val="p"/>
          </m:rPr>
          <m:t>−</m:t>
        </m:r>
        <m:r>
          <m:t>β</m:t>
        </m:r>
        <m:r>
          <m:rPr>
            <m:sty m:val="p"/>
          </m:rPr>
          <m:t>)</m:t>
        </m:r>
        <m:r>
          <m:rPr>
            <m:sty m:val="p"/>
          </m:rPr>
          <m:t>/</m:t>
        </m:r>
        <m:r>
          <m:t>β</m:t>
        </m:r>
      </m:oMath>
      <w:r>
        <w:t xml:space="preserve">,</w:t>
      </w:r>
      <w:r>
        <w:t xml:space="preserve"> </w:t>
      </w:r>
      <w:r>
        <w:t xml:space="preserve">so the loop settles where the NACK rate equals</w:t>
      </w:r>
      <w:r>
        <w:t xml:space="preserve"> </w:t>
      </w:r>
      <m:oMath>
        <m:r>
          <m:t>β</m:t>
        </m:r>
      </m:oMath>
      <w:r>
        <w:t xml:space="preserve">. For held CSI the refresh floor</w:t>
      </w:r>
      <w:r>
        <w:t xml:space="preserve"> </w:t>
      </w:r>
      <w:r>
        <w:t xml:space="preserve">is</w:t>
      </w:r>
      <w:r>
        <w:t xml:space="preserve"> </w:t>
      </w:r>
      <m:oMath>
        <m:sSup>
          <m:e>
            <m:r>
              <m:t>P</m:t>
            </m:r>
          </m:e>
          <m:sup>
            <m:r>
              <m:rPr>
                <m:sty m:val="p"/>
              </m:rPr>
              <m:t>⋆</m:t>
            </m:r>
          </m:sup>
        </m:sSup>
        <m:r>
          <m:rPr>
            <m:sty m:val="p"/>
          </m:rPr>
          <m:t>(</m:t>
        </m:r>
        <m:sSub>
          <m:e>
            <m:r>
              <m:t>f</m:t>
            </m:r>
          </m:e>
          <m:sub>
            <m:r>
              <m:t>D</m:t>
            </m:r>
          </m:sub>
        </m:sSub>
        <m:r>
          <m:rPr>
            <m:sty m:val="p"/>
          </m:rPr>
          <m:t>)</m:t>
        </m:r>
        <m:r>
          <m:rPr>
            <m:sty m:val="p"/>
          </m:rPr>
          <m:t>=</m:t>
        </m:r>
        <m:r>
          <m:rPr>
            <m:sty m:val="p"/>
          </m:rPr>
          <m:t>max</m:t>
        </m:r>
        <m:r>
          <m:rPr>
            <m:sty m:val="p"/>
          </m:rPr>
          <m:t>{</m:t>
        </m:r>
        <m:r>
          <m:t>P</m:t>
        </m:r>
        <m:r>
          <m:rPr>
            <m:sty m:val="p"/>
          </m:rPr>
          <m:t>:</m:t>
        </m:r>
        <m:acc>
          <m:accPr>
            <m:chr m:val="̂"/>
          </m:accPr>
          <m:e>
            <m:r>
              <m:rPr>
                <m:sty m:val="p"/>
              </m:rPr>
              <m:t>F</m:t>
            </m:r>
            <m:r>
              <m:rPr>
                <m:sty m:val="p"/>
              </m:rPr>
              <m:t>C</m:t>
            </m:r>
          </m:e>
        </m:acc>
        <m:r>
          <m:rPr>
            <m:sty m:val="p"/>
          </m:rPr>
          <m:t>≤</m:t>
        </m:r>
        <m:r>
          <m:t>β</m:t>
        </m:r>
        <m:r>
          <m:rPr>
            <m:sty m:val="p"/>
          </m:rPr>
          <m:t>}</m:t>
        </m:r>
      </m:oMath>
      <w:r>
        <w:t xml:space="preserve">, the longest report period</w:t>
      </w:r>
      <w:r>
        <w:t xml:space="preserve"> </w:t>
      </w:r>
      <w:r>
        <w:t xml:space="preserve">that still meets the target.</w:t>
      </w:r>
    </w:p>
    <w:p>
      <w:pPr>
        <w:pStyle w:val="BodyText"/>
      </w:pPr>
      <w:r>
        <w:rPr>
          <w:b/>
          <w:bCs/>
        </w:rPr>
        <w:t xml:space="preserve">Discipline.</w:t>
      </w:r>
      <w:r>
        <w:t xml:space="preserve"> </w:t>
      </w:r>
      <w:r>
        <w:t xml:space="preserve">Each experiment is pre-registered. Numerical bars and manipulation</w:t>
      </w:r>
      <w:r>
        <w:t xml:space="preserve"> </w:t>
      </w:r>
      <w:r>
        <w:t xml:space="preserve">checks are fixed before the graded run, the sealed record is content-hashed, grading</w:t>
      </w:r>
      <w:r>
        <w:t xml:space="preserve"> </w:t>
      </w:r>
      <w:r>
        <w:t xml:space="preserve">uses seeds disjoint from those used during design, and failed or voided outcomes stay</w:t>
      </w:r>
      <w:r>
        <w:t xml:space="preserve"> </w:t>
      </w:r>
      <w:r>
        <w:t xml:space="preserve">in the record</w:t>
      </w:r>
      <w:r>
        <w:t xml:space="preserve"> </w:t>
      </w:r>
      <w:r>
        <w:t xml:space="preserve">. The numbers below are the graded values</w:t>
      </w:r>
      <w:r>
        <w:t xml:space="preserve"> </w:t>
      </w:r>
      <w:r>
        <w:t xml:space="preserve">(Table </w:t>
      </w:r>
      <w:hyperlink w:anchor="tab:results">
        <w:r>
          <w:rPr>
            <w:rStyle w:val="Hyperlink"/>
          </w:rPr>
          <w:t xml:space="preserve">2</w:t>
        </w:r>
      </w:hyperlink>
      <w:r>
        <w:t xml:space="preserve">).</w:t>
      </w:r>
    </w:p>
    <w:bookmarkStart w:id="10" w:name="tab:params"/>
    <w:p>
      <w:pPr>
        <w:pStyle w:val="TableCaption"/>
      </w:pPr>
      <w:r>
        <w:t xml:space="preserve">Link-level parameters (sealed cells)</w:t>
      </w:r>
    </w:p>
    <w:tbl>
      <w:tblPr>
        <w:tblStyle w:val="Table"/>
        <w:tblW w:type="auto" w:w="0"/>
        <w:tblLook w:firstRow="1" w:lastRow="0" w:firstColumn="0" w:lastColumn="0" w:noHBand="0" w:noVBand="0" w:val="0020"/>
        <w:tblCaption w:val="Link-level parameters (sealed cells)"/>
      </w:tblPr>
      <w:tblGrid>
        <w:gridCol w:w="3960"/>
        <w:gridCol w:w="3960"/>
      </w:tblGrid>
      <w:tr>
        <w:trPr>
          <w:tblHeader w:val="on"/>
        </w:trPr>
        <w:tc>
          <w:tcPr/>
          <w:p>
            <w:pPr>
              <w:pStyle w:val="Compact"/>
              <w:jc w:val="left"/>
            </w:pPr>
            <w:r>
              <w:t xml:space="preserve">Parameter</w:t>
            </w:r>
          </w:p>
        </w:tc>
        <w:tc>
          <w:tcPr/>
          <w:p>
            <w:pPr>
              <w:pStyle w:val="Compact"/>
              <w:jc w:val="left"/>
            </w:pPr>
            <w:r>
              <w:t xml:space="preserve">Value</w:t>
            </w:r>
          </w:p>
        </w:tc>
      </w:tr>
      <w:tr>
        <w:tc>
          <w:tcPr/>
          <w:p>
            <w:pPr>
              <w:pStyle w:val="Compact"/>
              <w:jc w:val="left"/>
            </w:pPr>
            <w:r>
              <w:t xml:space="preserve">Carrier frequency</w:t>
            </w:r>
          </w:p>
        </w:tc>
        <w:tc>
          <w:tcPr/>
          <w:p>
            <w:pPr>
              <w:pStyle w:val="Compact"/>
              <w:jc w:val="left"/>
            </w:pPr>
            <m:oMath>
              <m:r>
                <m:t>3.5</m:t>
              </m:r>
            </m:oMath>
            <w:r>
              <w:t xml:space="preserve"> GHz</w:t>
            </w:r>
          </w:p>
        </w:tc>
      </w:tr>
      <w:tr>
        <w:tc>
          <w:tcPr/>
          <w:p>
            <w:pPr>
              <w:pStyle w:val="Compact"/>
              <w:jc w:val="left"/>
            </w:pPr>
            <w:r>
              <w:t xml:space="preserve">TTI duration</w:t>
            </w:r>
          </w:p>
        </w:tc>
        <w:tc>
          <w:tcPr/>
          <w:p>
            <w:pPr>
              <w:pStyle w:val="Compact"/>
              <w:jc w:val="left"/>
            </w:pPr>
            <m:oMath>
              <m:r>
                <m:t>1</m:t>
              </m:r>
            </m:oMath>
            <w:r>
              <w:t xml:space="preserve"> ms</w:t>
            </w:r>
          </w:p>
        </w:tc>
      </w:tr>
      <w:tr>
        <w:tc>
          <w:tcPr/>
          <w:p>
            <w:pPr>
              <w:pStyle w:val="Compact"/>
              <w:jc w:val="left"/>
            </w:pPr>
            <w:r>
              <w:t xml:space="preserve">Channel model</w:t>
            </w:r>
          </w:p>
        </w:tc>
        <w:tc>
          <w:tcPr/>
          <w:p>
            <w:pPr>
              <w:pStyle w:val="Compact"/>
              <w:jc w:val="left"/>
            </w:pPr>
            <w:r>
              <w:t xml:space="preserve">3GPP TR38.901 TDL-A, DS</w:t>
            </w:r>
            <w:r>
              <w:t xml:space="preserve"> </w:t>
            </w:r>
            <m:oMath>
              <m:r>
                <m:rPr>
                  <m:sty m:val="p"/>
                </m:rPr>
                <m:t>=</m:t>
              </m:r>
              <m:r>
                <m:t>30</m:t>
              </m:r>
            </m:oMath>
            <w:r>
              <w:t xml:space="preserve"> ns</w:t>
            </w:r>
          </w:p>
        </w:tc>
      </w:tr>
      <w:tr>
        <w:tc>
          <w:tcPr/>
          <w:p>
            <w:pPr>
              <w:pStyle w:val="Compact"/>
              <w:jc w:val="left"/>
            </w:pPr>
            <w:r>
              <w:t xml:space="preserve">Mean SNR</w:t>
            </w:r>
          </w:p>
        </w:tc>
        <w:tc>
          <w:tcPr/>
          <w:p>
            <w:pPr>
              <w:pStyle w:val="Compact"/>
              <w:jc w:val="left"/>
            </w:pPr>
            <m:oMath>
              <m:r>
                <m:t>12</m:t>
              </m:r>
            </m:oMath>
            <w:r>
              <w:t xml:space="preserve"> dB</w:t>
            </w:r>
          </w:p>
        </w:tc>
      </w:tr>
      <w:tr>
        <w:tc>
          <w:tcPr/>
          <w:p>
            <w:pPr>
              <w:pStyle w:val="Compact"/>
              <w:jc w:val="left"/>
            </w:pPr>
            <w:r>
              <w:t xml:space="preserve">Decoder / code</w:t>
            </w:r>
          </w:p>
        </w:tc>
        <w:tc>
          <w:tcPr/>
          <w:p>
            <w:pPr>
              <w:pStyle w:val="Compact"/>
              <w:jc w:val="left"/>
            </w:pPr>
            <w:r>
              <w:t xml:space="preserve">Sionna 5G NR LDPC (real decode)</w:t>
            </w:r>
          </w:p>
        </w:tc>
      </w:tr>
      <w:tr>
        <w:tc>
          <w:tcPr/>
          <w:p>
            <w:pPr>
              <w:pStyle w:val="Compact"/>
              <w:jc w:val="left"/>
            </w:pPr>
            <w:r>
              <w:t xml:space="preserve">MCS set</w:t>
            </w:r>
          </w:p>
        </w:tc>
        <w:tc>
          <w:tcPr/>
          <w:p>
            <w:pPr>
              <w:pStyle w:val="Compact"/>
              <w:jc w:val="left"/>
            </w:pPr>
            <w:r>
              <w:t xml:space="preserve">NR TS 38.214 Tbl 5.1.3.1-1 (QPSK–64QAM)</w:t>
            </w:r>
          </w:p>
        </w:tc>
      </w:tr>
      <w:tr>
        <w:tc>
          <w:tcPr/>
          <w:p>
            <w:pPr>
              <w:pStyle w:val="Compact"/>
              <w:jc w:val="left"/>
            </w:pPr>
            <w:r>
              <w:t xml:space="preserve">BLER curves</w:t>
            </w:r>
          </w:p>
        </w:tc>
        <w:tc>
          <w:tcPr/>
          <w:p>
            <w:pPr>
              <w:pStyle w:val="Compact"/>
              <w:jc w:val="left"/>
            </w:pPr>
            <w:r>
              <w:t xml:space="preserve">400 blocks/pt, SNR</w:t>
            </w:r>
            <w:r>
              <w:t xml:space="preserve"> </w:t>
            </w:r>
            <m:oMath>
              <m:r>
                <m:rPr>
                  <m:sty m:val="p"/>
                </m:rPr>
                <m:t>−</m:t>
              </m:r>
              <m:r>
                <m:t>8</m:t>
              </m:r>
            </m:oMath>
            <w:r>
              <w:t xml:space="preserve">–</w:t>
            </w:r>
            <m:oMath>
              <m:r>
                <m:t>28</m:t>
              </m:r>
            </m:oMath>
            <w:r>
              <w:t xml:space="preserve"> dB @</w:t>
            </w:r>
            <w:r>
              <w:t xml:space="preserve"> </w:t>
            </w:r>
            <m:oMath>
              <m:r>
                <m:t>2</m:t>
              </m:r>
            </m:oMath>
            <w:r>
              <w:t xml:space="preserve"> dB</w:t>
            </w:r>
          </w:p>
        </w:tc>
      </w:tr>
      <w:tr>
        <w:tc>
          <w:tcPr/>
          <w:p>
            <w:pPr>
              <w:pStyle w:val="Compact"/>
              <w:jc w:val="left"/>
            </w:pPr>
            <w:r>
              <w:t xml:space="preserve">CQI report noise</w:t>
            </w:r>
            <w:r>
              <w:t xml:space="preserve"> </w:t>
            </w:r>
            <m:oMath>
              <m:r>
                <m:t>σ</m:t>
              </m:r>
            </m:oMath>
          </w:p>
        </w:tc>
        <w:tc>
          <w:tcPr/>
          <w:p>
            <w:pPr>
              <w:pStyle w:val="Compact"/>
              <w:jc w:val="left"/>
            </w:pPr>
            <m:oMath>
              <m:r>
                <m:t>1</m:t>
              </m:r>
            </m:oMath>
            <w:r>
              <w:t xml:space="preserve"> dB</w:t>
            </w:r>
          </w:p>
        </w:tc>
      </w:tr>
      <w:tr>
        <w:tc>
          <w:tcPr/>
          <w:p>
            <w:pPr>
              <w:pStyle w:val="Compact"/>
              <w:jc w:val="left"/>
            </w:pPr>
            <w:r>
              <w:t xml:space="preserve">Trace length</w:t>
            </w:r>
          </w:p>
        </w:tc>
        <w:tc>
          <w:tcPr/>
          <w:p>
            <w:pPr>
              <w:pStyle w:val="Compact"/>
              <w:jc w:val="left"/>
            </w:pPr>
            <m:oMath>
              <m:r>
                <m:t>6000</m:t>
              </m:r>
            </m:oMath>
            <w:r>
              <w:t xml:space="preserve"> </w:t>
            </w:r>
            <w:r>
              <w:t xml:space="preserve">TTI</w:t>
            </w:r>
          </w:p>
        </w:tc>
      </w:tr>
      <w:tr>
        <w:tc>
          <w:tcPr/>
          <w:p>
            <w:pPr>
              <w:pStyle w:val="Compact"/>
              <w:jc w:val="left"/>
            </w:pPr>
            <w:r>
              <w:t xml:space="preserve">eMBB / URLLC target</w:t>
            </w:r>
          </w:p>
        </w:tc>
        <w:tc>
          <w:tcPr/>
          <w:p>
            <w:pPr>
              <w:pStyle w:val="Compact"/>
              <w:jc w:val="left"/>
            </w:pPr>
            <m:oMath>
              <m:sSup>
                <m:e>
                  <m:r>
                    <m:t>10</m:t>
                  </m:r>
                </m:e>
                <m:sup>
                  <m:r>
                    <m:rPr>
                      <m:sty m:val="p"/>
                    </m:rPr>
                    <m:t>−</m:t>
                  </m:r>
                  <m:r>
                    <m:t>1</m:t>
                  </m:r>
                </m:sup>
              </m:sSup>
            </m:oMath>
            <w:r>
              <w:t xml:space="preserve"> </w:t>
            </w:r>
            <w:r>
              <w:t xml:space="preserve">/</w:t>
            </w:r>
            <w:r>
              <w:t xml:space="preserve"> </w:t>
            </w:r>
            <m:oMath>
              <m:sSup>
                <m:e>
                  <m:r>
                    <m:t>10</m:t>
                  </m:r>
                </m:e>
                <m:sup>
                  <m:r>
                    <m:rPr>
                      <m:sty m:val="p"/>
                    </m:rPr>
                    <m:t>−</m:t>
                  </m:r>
                  <m:r>
                    <m:t>3</m:t>
                  </m:r>
                </m:sup>
              </m:sSup>
            </m:oMath>
          </w:p>
        </w:tc>
      </w:tr>
      <w:tr>
        <w:tc>
          <w:tcPr/>
          <w:p>
            <w:pPr>
              <w:pStyle w:val="Compact"/>
              <w:jc w:val="left"/>
            </w:pPr>
            <w:r>
              <w:t xml:space="preserve">URLLC-aware policy</w:t>
            </w:r>
          </w:p>
        </w:tc>
        <w:tc>
          <w:tcPr/>
          <w:p>
            <w:pPr>
              <w:pStyle w:val="Compact"/>
              <w:jc w:val="left"/>
            </w:pPr>
            <w:r>
              <w:t xml:space="preserve">conservative MCS</w:t>
            </w:r>
            <w:r>
              <w:t xml:space="preserve"> </w:t>
            </w:r>
            <m:oMath>
              <m:r>
                <m:rPr>
                  <m:sty m:val="p"/>
                </m:rPr>
                <m:t>+</m:t>
              </m:r>
            </m:oMath>
            <w:r>
              <w:t xml:space="preserve"> </w:t>
            </w:r>
            <m:oMath>
              <m:r>
                <m:t>K</m:t>
              </m:r>
              <m:r>
                <m:rPr>
                  <m:sty m:val="p"/>
                </m:rPr>
                <m:t>=</m:t>
              </m:r>
              <m:r>
                <m:t>3</m:t>
              </m:r>
            </m:oMath>
            <w:r>
              <w:t xml:space="preserve"> </w:t>
            </w:r>
            <w:r>
              <w:t xml:space="preserve">diversity</w:t>
            </w:r>
          </w:p>
        </w:tc>
      </w:tr>
      <w:tr>
        <w:tc>
          <w:tcPr/>
          <w:p>
            <w:pPr>
              <w:pStyle w:val="Compact"/>
              <w:jc w:val="left"/>
            </w:pPr>
            <w:r>
              <w:t xml:space="preserve">OLLA step</w:t>
            </w:r>
            <w:r>
              <w:t xml:space="preserve"> </w:t>
            </w:r>
            <m:oMath>
              <m:sSub>
                <m:e>
                  <m:r>
                    <m:t>δ</m:t>
                  </m:r>
                </m:e>
                <m:sub>
                  <m:r>
                    <m:rPr>
                      <m:sty m:val="p"/>
                    </m:rPr>
                    <m:t>↑</m:t>
                  </m:r>
                </m:sub>
              </m:sSub>
            </m:oMath>
          </w:p>
        </w:tc>
        <w:tc>
          <w:tcPr/>
          <w:p>
            <w:pPr>
              <w:pStyle w:val="Compact"/>
              <w:jc w:val="left"/>
            </w:pPr>
            <m:oMath>
              <m:r>
                <m:t>0.1</m:t>
              </m:r>
            </m:oMath>
            <w:r>
              <w:t xml:space="preserve"> dB (</w:t>
            </w:r>
            <m:oMath>
              <m:sSub>
                <m:e>
                  <m:r>
                    <m:t>δ</m:t>
                  </m:r>
                </m:e>
                <m:sub>
                  <m:r>
                    <m:rPr>
                      <m:sty m:val="p"/>
                    </m:rPr>
                    <m:t>↓</m:t>
                  </m:r>
                </m:sub>
              </m:sSub>
              <m:r>
                <m:rPr>
                  <m:sty m:val="p"/>
                </m:rPr>
                <m:t>=</m:t>
              </m:r>
              <m:r>
                <m:t>0.9</m:t>
              </m:r>
            </m:oMath>
            <w:r>
              <w:t xml:space="preserve"> dB)</w:t>
            </w:r>
          </w:p>
        </w:tc>
      </w:tr>
      <w:tr>
        <w:tc>
          <w:tcPr/>
          <w:p>
            <w:pPr>
              <w:pStyle w:val="Compact"/>
              <w:jc w:val="left"/>
            </w:pPr>
            <w:r>
              <w:t xml:space="preserve">Main aging Doppler</w:t>
            </w:r>
          </w:p>
        </w:tc>
        <w:tc>
          <w:tcPr/>
          <w:p>
            <w:pPr>
              <w:pStyle w:val="Compact"/>
              <w:jc w:val="left"/>
            </w:pPr>
            <m:oMath>
              <m:r>
                <m:t>200</m:t>
              </m:r>
            </m:oMath>
            <w:r>
              <w:t xml:space="preserve"> Hz (</w:t>
            </w:r>
            <m:oMath>
              <m:sSub>
                <m:e>
                  <m:r>
                    <m:t>T</m:t>
                  </m:r>
                </m:e>
                <m:sub>
                  <m:r>
                    <m:rPr>
                      <m:sty m:val="p"/>
                    </m:rPr>
                    <m:t>c</m:t>
                  </m:r>
                  <m:r>
                    <m:rPr>
                      <m:sty m:val="p"/>
                    </m:rPr>
                    <m:t>o</m:t>
                  </m:r>
                  <m:r>
                    <m:rPr>
                      <m:sty m:val="p"/>
                    </m:rPr>
                    <m:t>h</m:t>
                  </m:r>
                </m:sub>
              </m:sSub>
              <m:r>
                <m:t>​</m:t>
              </m:r>
              <m:r>
                <m:rPr>
                  <m:sty m:val="p"/>
                </m:rPr>
                <m:t>≈</m:t>
              </m:r>
              <m:r>
                <m:t>​</m:t>
              </m:r>
              <m:r>
                <m:t>2.1</m:t>
              </m:r>
            </m:oMath>
            <w:r>
              <w:t xml:space="preserve"> ms,</w:t>
            </w:r>
            <w:r>
              <w:t xml:space="preserve"> </w:t>
            </w:r>
            <m:oMath>
              <m:r>
                <m:rPr>
                  <m:sty m:val="p"/>
                </m:rPr>
                <m:t>≈</m:t>
              </m:r>
            </m:oMath>
            <m:oMath>
              <m:r>
                <m:t>62</m:t>
              </m:r>
            </m:oMath>
            <w:r>
              <w:t xml:space="preserve"> km/h)</w:t>
            </w:r>
          </w:p>
        </w:tc>
      </w:tr>
      <w:tr>
        <w:tc>
          <w:tcPr/>
          <w:p>
            <w:pPr>
              <w:pStyle w:val="Compact"/>
              <w:jc w:val="left"/>
            </w:pPr>
            <w:r>
              <w:t xml:space="preserve">Refresh sweep</w:t>
            </w:r>
            <w:r>
              <w:t xml:space="preserve"> </w:t>
            </w:r>
            <m:oMath>
              <m:sSub>
                <m:e>
                  <m:r>
                    <m:t>f</m:t>
                  </m:r>
                </m:e>
                <m:sub>
                  <m:r>
                    <m:t>D</m:t>
                  </m:r>
                </m:sub>
              </m:sSub>
            </m:oMath>
          </w:p>
        </w:tc>
        <w:tc>
          <w:tcPr/>
          <w:p>
            <w:pPr>
              <w:pStyle w:val="Compact"/>
              <w:jc w:val="left"/>
            </w:pPr>
            <m:oMath>
              <m:r>
                <m:t>10</m:t>
              </m:r>
            </m:oMath>
            <w:r>
              <w:t xml:space="preserve">–</w:t>
            </w:r>
            <m:oMath>
              <m:r>
                <m:t>400</m:t>
              </m:r>
            </m:oMath>
            <w:r>
              <w:t xml:space="preserve"> Hz</w:t>
            </w:r>
          </w:p>
        </w:tc>
      </w:tr>
      <w:tr>
        <w:tc>
          <w:tcPr/>
          <w:p>
            <w:pPr>
              <w:pStyle w:val="Compact"/>
              <w:jc w:val="left"/>
            </w:pPr>
            <w:r>
              <w:t xml:space="preserve">Target-axis SNR sweep</w:t>
            </w:r>
          </w:p>
        </w:tc>
        <w:tc>
          <w:tcPr/>
          <w:p>
            <w:pPr>
              <w:pStyle w:val="Compact"/>
              <w:jc w:val="left"/>
            </w:pPr>
            <m:oMath>
              <m:r>
                <m:t>3</m:t>
              </m:r>
            </m:oMath>
            <w:r>
              <w:t xml:space="preserve">–</w:t>
            </w:r>
            <m:oMath>
              <m:r>
                <m:t>21</m:t>
              </m:r>
            </m:oMath>
            <w:r>
              <w:t xml:space="preserve"> dB</w:t>
            </w:r>
          </w:p>
        </w:tc>
      </w:tr>
    </w:tbl>
    <w:bookmarkEnd w:id="10"/>
    <w:bookmarkEnd w:id="11"/>
    <w:bookmarkStart w:id="20" w:name="sec:urllc"/>
    <w:p>
      <w:pPr>
        <w:pStyle w:val="Heading1"/>
      </w:pPr>
      <w:r>
        <w:t xml:space="preserve">The Reliability Target</w:t>
      </w:r>
    </w:p>
    <w:p>
      <w:pPr>
        <w:pStyle w:val="FirstParagraph"/>
      </w:pPr>
      <w:r>
        <w:t xml:space="preserve">A base station serving mixed traffic derives one CSI estimate per user and picks an MCS</w:t>
      </w:r>
      <w:r>
        <w:t xml:space="preserve"> </w:t>
      </w:r>
      <w:r>
        <w:t xml:space="preserve">from it. Consider the same estimate read under two targets,</w:t>
      </w:r>
      <w:r>
        <w:t xml:space="preserve"> </w:t>
      </w:r>
      <m:oMath>
        <m:sSup>
          <m:e>
            <m:r>
              <m:t>10</m:t>
            </m:r>
          </m:e>
          <m:sup>
            <m:r>
              <m:rPr>
                <m:sty m:val="p"/>
              </m:rPr>
              <m:t>−</m:t>
            </m:r>
            <m:r>
              <m:t>1</m:t>
            </m:r>
          </m:sup>
        </m:sSup>
      </m:oMath>
      <w:r>
        <w:t xml:space="preserve"> </w:t>
      </w:r>
      <w:r>
        <w:t xml:space="preserve">for eMBB and</w:t>
      </w:r>
      <w:r>
        <w:t xml:space="preserve"> </w:t>
      </w:r>
      <m:oMath>
        <m:sSup>
          <m:e>
            <m:r>
              <m:t>10</m:t>
            </m:r>
          </m:e>
          <m:sup>
            <m:r>
              <m:rPr>
                <m:sty m:val="p"/>
              </m:rPr>
              <m:t>−</m:t>
            </m:r>
            <m:r>
              <m:t>3</m:t>
            </m:r>
          </m:sup>
        </m:sSup>
      </m:oMath>
      <w:r>
        <w:t xml:space="preserve"> </w:t>
      </w:r>
      <w:r>
        <w:t xml:space="preserve">for URLLC. We apply the naive CSI-derived MCS on a real NR link and measure</w:t>
      </w:r>
      <w:r>
        <w:t xml:space="preserve"> </w:t>
      </w:r>
      <w:r>
        <w:t xml:space="preserve">the achieved BLER against each target. Then we compare a target-aware policy that sizes</w:t>
      </w:r>
      <w:r>
        <w:t xml:space="preserve"> </w:t>
      </w:r>
      <w:r>
        <w:t xml:space="preserve">its protection to the stricter target.</w:t>
      </w:r>
    </w:p>
    <w:p>
      <w:pPr>
        <w:pStyle w:val="BodyText"/>
      </w:pPr>
      <w:r>
        <w:t xml:space="preserve">Figure </w:t>
      </w:r>
      <w:hyperlink w:anchor="fig:urllc">
        <w:r>
          <w:rPr>
            <w:rStyle w:val="Hyperlink"/>
          </w:rPr>
          <w:t xml:space="preserve">2</w:t>
        </w:r>
      </w:hyperlink>
      <w:r>
        <w:t xml:space="preserve"> </w:t>
      </w:r>
      <w:r>
        <w:t xml:space="preserve">shows the sealed result, three graded seeds of</w:t>
      </w:r>
      <w:r>
        <w:t xml:space="preserve"> </w:t>
      </w:r>
      <m:oMath>
        <m:r>
          <m:t>6000</m:t>
        </m:r>
      </m:oMath>
      <w:r>
        <w:t xml:space="preserve"> </w:t>
      </w:r>
      <w:r>
        <w:t xml:space="preserve">TTI each</w:t>
      </w:r>
      <w:r>
        <w:t xml:space="preserve"> </w:t>
      </w:r>
      <w:r>
        <w:t xml:space="preserve">with fresh CSI. The naive certificate lands at a BLER near</w:t>
      </w:r>
      <w:r>
        <w:t xml:space="preserve"> </w:t>
      </w:r>
      <m:oMath>
        <m:r>
          <m:t>0.112</m:t>
        </m:r>
      </m:oMath>
      <w:r>
        <w:t xml:space="preserve">. The eMBB consumer</w:t>
      </w:r>
      <w:r>
        <w:t xml:space="preserve"> </w:t>
      </w:r>
      <w:r>
        <w:t xml:space="preserve">reads this as sound, since it sits at the target the MCS was chosen for. The URLLC</w:t>
      </w:r>
      <w:r>
        <w:t xml:space="preserve"> </w:t>
      </w:r>
      <w:r>
        <w:t xml:space="preserve">consumer reads the same</w:t>
      </w:r>
      <w:r>
        <w:t xml:space="preserve"> </w:t>
      </w:r>
      <m:oMath>
        <m:r>
          <m:t>0.112</m:t>
        </m:r>
      </m:oMath>
      <w:r>
        <w:t xml:space="preserve"> </w:t>
      </w:r>
      <w:r>
        <w:t xml:space="preserve">as a failure 112 times over budget. Each of those</w:t>
      </w:r>
      <w:r>
        <w:t xml:space="preserve"> </w:t>
      </w:r>
      <w:r>
        <w:t xml:space="preserve">blocks breaks a reliability agreement, and nothing in the scheduler’s view flags it,</w:t>
      </w:r>
      <w:r>
        <w:t xml:space="preserve"> </w:t>
      </w:r>
      <w:r>
        <w:t xml:space="preserve">because the report looked fine. The target-aware policy uses the same CSI with a</w:t>
      </w:r>
      <w:r>
        <w:t xml:space="preserve"> </w:t>
      </w:r>
      <w:r>
        <w:t xml:space="preserve">conservative MCS and the three independent branches of §</w:t>
      </w:r>
      <w:hyperlink w:anchor="sec:method">
        <w:r>
          <w:rPr>
            <w:rStyle w:val="Hyperlink"/>
          </w:rPr>
          <w:t xml:space="preserve">2</w:t>
        </w:r>
      </w:hyperlink>
      <w:r>
        <w:t xml:space="preserve">, and reaches</w:t>
      </w:r>
      <w:r>
        <w:t xml:space="preserve"> </w:t>
      </w:r>
      <m:oMath>
        <m:r>
          <m:t>1.2</m:t>
        </m:r>
        <m:r>
          <m:rPr>
            <m:sty m:val="p"/>
          </m:rPr>
          <m:t>×</m:t>
        </m:r>
        <m:sSup>
          <m:e>
            <m:r>
              <m:t>10</m:t>
            </m:r>
          </m:e>
          <m:sup>
            <m:r>
              <m:rPr>
                <m:sty m:val="p"/>
              </m:rPr>
              <m:t>−</m:t>
            </m:r>
            <m:r>
              <m:t>5</m:t>
            </m:r>
          </m:sup>
        </m:sSup>
      </m:oMath>
      <w:r>
        <w:t xml:space="preserve">, within target. It pays in spectral efficiency and in diversity</w:t>
      </w:r>
      <w:r>
        <w:t xml:space="preserve"> </w:t>
      </w:r>
      <w:r>
        <w:t xml:space="preserve">resources. So neither certificate serves both consumers well. The one sound for eMBB</w:t>
      </w:r>
      <w:r>
        <w:t xml:space="preserve"> </w:t>
      </w:r>
      <w:r>
        <w:t xml:space="preserve">fails URLLC by</w:t>
      </w:r>
      <w:r>
        <w:t xml:space="preserve"> </w:t>
      </w:r>
      <m:oMath>
        <m:r>
          <m:t>112</m:t>
        </m:r>
        <m:r>
          <m:rPr>
            <m:sty m:val="p"/>
          </m:rPr>
          <m:t>×</m:t>
        </m:r>
      </m:oMath>
      <w:r>
        <w:t xml:space="preserve">, and the one sound for URLLC over-provisions eMBB. The</w:t>
      </w:r>
      <w:r>
        <w:t xml:space="preserve"> </w:t>
      </w:r>
      <w:r>
        <w:t xml:space="preserve">false-clear rate prices the difference.</w:t>
      </w:r>
    </w:p>
    <w:p>
      <w:pPr>
        <w:pStyle w:val="BodyText"/>
      </w:pPr>
      <w:r>
        <w:t xml:space="preserve">The gap is not an artifact of the operating point we happened to pick. A separately</w:t>
      </w:r>
      <w:r>
        <w:t xml:space="preserve"> </w:t>
      </w:r>
      <w:r>
        <w:t xml:space="preserve">sealed cell sweeps the mean SNR from</w:t>
      </w:r>
      <w:r>
        <w:t xml:space="preserve"> </w:t>
      </w:r>
      <m:oMath>
        <m:r>
          <m:t>3</m:t>
        </m:r>
      </m:oMath>
      <w:r>
        <w:t xml:space="preserve"> </w:t>
      </w:r>
      <w:r>
        <w:t xml:space="preserve">to</w:t>
      </w:r>
      <w:r>
        <w:t xml:space="preserve"> </w:t>
      </w:r>
      <m:oMath>
        <m:r>
          <m:t>21</m:t>
        </m:r>
      </m:oMath>
      <w:r>
        <w:t xml:space="preserve"> dB (Fig. </w:t>
      </w:r>
      <w:hyperlink w:anchor="fig:snr">
        <w:r>
          <w:rPr>
            <w:rStyle w:val="Hyperlink"/>
          </w:rPr>
          <w:t xml:space="preserve">1</w:t>
        </w:r>
      </w:hyperlink>
      <w:r>
        <w:t xml:space="preserve">). The</w:t>
      </w:r>
      <w:r>
        <w:t xml:space="preserve"> </w:t>
      </w:r>
      <w:r>
        <w:t xml:space="preserve">certificate always selects the MCS that rides the eMBB target, so the URLLC consumer</w:t>
      </w:r>
      <w:r>
        <w:t xml:space="preserve"> </w:t>
      </w:r>
      <w:r>
        <w:t xml:space="preserve">reads a false-clear of</w:t>
      </w:r>
      <w:r>
        <w:t xml:space="preserve"> </w:t>
      </w:r>
      <m:oMath>
        <m:r>
          <m:t>0.08</m:t>
        </m:r>
      </m:oMath>
      <w:r>
        <w:t xml:space="preserve"> </w:t>
      </w:r>
      <w:r>
        <w:t xml:space="preserve">to</w:t>
      </w:r>
      <w:r>
        <w:t xml:space="preserve"> </w:t>
      </w:r>
      <m:oMath>
        <m:r>
          <m:t>0.14</m:t>
        </m:r>
      </m:oMath>
      <w:r>
        <w:t xml:space="preserve">, between 77 and 142 times its budget, at every</w:t>
      </w:r>
      <w:r>
        <w:t xml:space="preserve"> </w:t>
      </w:r>
      <w:r>
        <w:t xml:space="preserve">SNR in the working range of</w:t>
      </w:r>
      <w:r>
        <w:t xml:space="preserve"> </w:t>
      </w:r>
      <m:oMath>
        <m:r>
          <m:t>9</m:t>
        </m:r>
      </m:oMath>
      <w:r>
        <w:t xml:space="preserve"> </w:t>
      </w:r>
      <w:r>
        <w:t xml:space="preserve">to</w:t>
      </w:r>
      <w:r>
        <w:t xml:space="preserve"> </w:t>
      </w:r>
      <m:oMath>
        <m:r>
          <m:t>18</m:t>
        </m:r>
      </m:oMath>
      <w:r>
        <w:t xml:space="preserve"> dB, and still 54 times at</w:t>
      </w:r>
      <w:r>
        <w:t xml:space="preserve"> </w:t>
      </w:r>
      <m:oMath>
        <m:r>
          <m:t>21</m:t>
        </m:r>
      </m:oMath>
      <w:r>
        <w:t xml:space="preserve"> dB where the</w:t>
      </w:r>
      <w:r>
        <w:t xml:space="preserve"> </w:t>
      </w:r>
      <w:r>
        <w:t xml:space="preserve">MCS table tops out. The target-aware policy holds URLLC across the whole range. Below</w:t>
      </w:r>
      <w:r>
        <w:t xml:space="preserve"> </w:t>
      </w:r>
      <w:r>
        <w:t xml:space="preserve">about</w:t>
      </w:r>
      <w:r>
        <w:t xml:space="preserve"> </w:t>
      </w:r>
      <m:oMath>
        <m:r>
          <m:t>6</m:t>
        </m:r>
      </m:oMath>
      <w:r>
        <w:t xml:space="preserve"> dB the picture worsens in a different way. The lowest MCS is already too</w:t>
      </w:r>
      <w:r>
        <w:t xml:space="preserve"> </w:t>
      </w:r>
      <w:r>
        <w:t xml:space="preserve">fast for the channel, so the certificate fails even the eMBB consumer it was tuned for,</w:t>
      </w:r>
      <w:r>
        <w:t xml:space="preserve"> </w:t>
      </w:r>
      <w:r>
        <w:t xml:space="preserve">reaching a BLER of</w:t>
      </w:r>
      <w:r>
        <w:t xml:space="preserve"> </w:t>
      </w:r>
      <m:oMath>
        <m:r>
          <m:t>0.33</m:t>
        </m:r>
      </m:oMath>
      <w:r>
        <w:t xml:space="preserve"> </w:t>
      </w:r>
      <w:r>
        <w:t xml:space="preserve">at</w:t>
      </w:r>
      <w:r>
        <w:t xml:space="preserve"> </w:t>
      </w:r>
      <m:oMath>
        <m:r>
          <m:t>3</m:t>
        </m:r>
      </m:oMath>
      <w:r>
        <w:t xml:space="preserve"> dB. No margin repairs a certificate whose weakest</w:t>
      </w:r>
      <w:r>
        <w:t xml:space="preserve"> </w:t>
      </w:r>
      <w:r>
        <w:t xml:space="preserve">format is already too aggressive.</w:t>
      </w:r>
    </w:p>
    <w:bookmarkStart w:id="15" w:name="fig:snr"/>
    <w:p>
      <w:pPr>
        <w:pStyle w:val="CaptionedFigure"/>
      </w:pPr>
      <w:r>
        <w:drawing>
          <wp:inline>
            <wp:extent cx="3146881" cy="2504660"/>
            <wp:effectExtent b="0" l="0" r="0" t="0"/>
            <wp:docPr descr="" title="" id="13" name="Picture"/>
            <a:graphic>
              <a:graphicData uri="http://schemas.openxmlformats.org/drawingml/2006/picture">
                <pic:pic>
                  <pic:nvPicPr>
                    <pic:cNvPr descr="snr_robustness.png" id="14" name="Picture"/>
                    <pic:cNvPicPr>
                      <a:picLocks noChangeArrowheads="1" noChangeAspect="1"/>
                    </pic:cNvPicPr>
                  </pic:nvPicPr>
                  <pic:blipFill>
                    <a:blip r:embed="rId12"/>
                    <a:stretch>
                      <a:fillRect/>
                    </a:stretch>
                  </pic:blipFill>
                  <pic:spPr bwMode="auto">
                    <a:xfrm>
                      <a:off x="0" y="0"/>
                      <a:ext cx="3146881" cy="2504660"/>
                    </a:xfrm>
                    <a:prstGeom prst="rect">
                      <a:avLst/>
                    </a:prstGeom>
                    <a:noFill/>
                    <a:ln w="9525">
                      <a:noFill/>
                      <a:headEnd/>
                      <a:tailEnd/>
                    </a:ln>
                  </pic:spPr>
                </pic:pic>
              </a:graphicData>
            </a:graphic>
          </wp:inline>
        </w:drawing>
      </w:r>
    </w:p>
    <w:p>
      <w:pPr>
        <w:pStyle w:val="ImageCaption"/>
      </w:pPr>
      <w:r>
        <w:t xml:space="preserve">The target gap across mean SNR (real NR, Sionna LDPC; sealed sweep, 3 seeds,</w:t>
      </w:r>
      <w:r>
        <w:t xml:space="preserve"> </w:t>
      </w:r>
      <w:r>
        <w:t xml:space="preserve">whiskers min–max). The naive certificate rides the eMBB target, so the URLLC</w:t>
      </w:r>
      <w:r>
        <w:t xml:space="preserve"> </w:t>
      </w:r>
      <w:r>
        <w:t xml:space="preserve">consumer sees roughly a hundredfold false-clear at every in-range SNR. Below about</w:t>
      </w:r>
      <w:r>
        <w:t xml:space="preserve"> </w:t>
      </w:r>
      <m:oMath>
        <m:r>
          <m:t>6</m:t>
        </m:r>
      </m:oMath>
      <w:r>
        <w:t xml:space="preserve"> dB (shaded) even the eMBB consumer is failed. The target-aware policy holds</w:t>
      </w:r>
      <w:r>
        <w:t xml:space="preserve"> </w:t>
      </w:r>
      <w:r>
        <w:t xml:space="preserve">URLLC throughout.</w:t>
      </w:r>
    </w:p>
    <w:bookmarkEnd w:id="15"/>
    <w:bookmarkStart w:id="19" w:name="fig:urllc"/>
    <w:p>
      <w:pPr>
        <w:pStyle w:val="CaptionedFigure"/>
      </w:pPr>
      <w:r>
        <w:drawing>
          <wp:inline>
            <wp:extent cx="3146881" cy="2504660"/>
            <wp:effectExtent b="0" l="0" r="0" t="0"/>
            <wp:docPr descr="" title="" id="17" name="Picture"/>
            <a:graphic>
              <a:graphicData uri="http://schemas.openxmlformats.org/drawingml/2006/picture">
                <pic:pic>
                  <pic:nvPicPr>
                    <pic:cNvPr descr="urllc_relativity.png" id="18" name="Picture"/>
                    <pic:cNvPicPr>
                      <a:picLocks noChangeArrowheads="1" noChangeAspect="1"/>
                    </pic:cNvPicPr>
                  </pic:nvPicPr>
                  <pic:blipFill>
                    <a:blip r:embed="rId16"/>
                    <a:stretch>
                      <a:fillRect/>
                    </a:stretch>
                  </pic:blipFill>
                  <pic:spPr bwMode="auto">
                    <a:xfrm>
                      <a:off x="0" y="0"/>
                      <a:ext cx="3146881" cy="2504660"/>
                    </a:xfrm>
                    <a:prstGeom prst="rect">
                      <a:avLst/>
                    </a:prstGeom>
                    <a:noFill/>
                    <a:ln w="9525">
                      <a:noFill/>
                      <a:headEnd/>
                      <a:tailEnd/>
                    </a:ln>
                  </pic:spPr>
                </pic:pic>
              </a:graphicData>
            </a:graphic>
          </wp:inline>
        </w:drawing>
      </w:r>
    </w:p>
    <w:p>
      <w:pPr>
        <w:pStyle w:val="ImageCaption"/>
      </w:pPr>
      <w:r>
        <w:t xml:space="preserve">One report, two verdicts (real NR, Sionna LDPC; 3 sealed seeds,</w:t>
      </w:r>
      <w:r>
        <w:t xml:space="preserve"> </w:t>
      </w:r>
      <m:oMath>
        <m:r>
          <m:t>6000</m:t>
        </m:r>
      </m:oMath>
      <w:r>
        <w:t xml:space="preserve"> </w:t>
      </w:r>
      <w:r>
        <w:t xml:space="preserve">TTI</w:t>
      </w:r>
      <w:r>
        <w:t xml:space="preserve"> </w:t>
      </w:r>
      <w:r>
        <w:t xml:space="preserve">each; bars are means, whiskers min–max). The same CSI-derived MCS meets the eMBB</w:t>
      </w:r>
      <w:r>
        <w:t xml:space="preserve"> </w:t>
      </w:r>
      <w:r>
        <w:t xml:space="preserve">target and misses the URLLC target by</w:t>
      </w:r>
      <w:r>
        <w:t xml:space="preserve"> </w:t>
      </w:r>
      <m:oMath>
        <m:r>
          <m:t>112</m:t>
        </m:r>
        <m:r>
          <m:rPr>
            <m:sty m:val="p"/>
          </m:rPr>
          <m:t>×</m:t>
        </m:r>
      </m:oMath>
      <w:r>
        <w:t xml:space="preserve">. The target-aware policy meets</w:t>
      </w:r>
      <w:r>
        <w:t xml:space="preserve"> </w:t>
      </w:r>
      <w:r>
        <w:t xml:space="preserve">URLLC.</w:t>
      </w:r>
    </w:p>
    <w:bookmarkEnd w:id="19"/>
    <w:bookmarkEnd w:id="20"/>
    <w:bookmarkStart w:id="26" w:name="sec:refresh"/>
    <w:p>
      <w:pPr>
        <w:pStyle w:val="Heading1"/>
      </w:pPr>
      <w:r>
        <w:t xml:space="preserve">The Refresh Horizon</w:t>
      </w:r>
    </w:p>
    <w:p>
      <w:pPr>
        <w:pStyle w:val="FirstParagraph"/>
      </w:pPr>
      <w:r>
        <w:t xml:space="preserve">The second axis is time. A report is fresh when issued and ages as the channel</w:t>
      </w:r>
      <w:r>
        <w:t xml:space="preserve"> </w:t>
      </w:r>
      <w:r>
        <w:t xml:space="preserve">decorrelates. A certificate that was sound at report time false-clears once the channel</w:t>
      </w:r>
      <w:r>
        <w:t xml:space="preserve"> </w:t>
      </w:r>
      <w:r>
        <w:t xml:space="preserve">has moved on. Here we count actual HARQ NACKs, Eq. </w:t>
      </w:r>
      <w:hyperlink w:anchor="eq:fc_emp">
        <w:r>
          <w:rPr>
            <w:rStyle w:val="Hyperlink"/>
          </w:rPr>
          <w:t xml:space="preserve">[eq:fc_emp]</w:t>
        </w:r>
      </w:hyperlink>
      <w:r>
        <w:t xml:space="preserve">. At</w:t>
      </w:r>
      <w:r>
        <w:t xml:space="preserve"> </w:t>
      </w:r>
      <m:oMath>
        <m:r>
          <m:t>200</m:t>
        </m:r>
      </m:oMath>
      <w:r>
        <w:t xml:space="preserve"> Hz</w:t>
      </w:r>
      <w:r>
        <w:t xml:space="preserve"> </w:t>
      </w:r>
      <w:r>
        <w:t xml:space="preserve">Doppler, about</w:t>
      </w:r>
      <w:r>
        <w:t xml:space="preserve"> </w:t>
      </w:r>
      <m:oMath>
        <m:r>
          <m:t>62</m:t>
        </m:r>
      </m:oMath>
      <w:r>
        <w:t xml:space="preserve"> km/h at</w:t>
      </w:r>
      <w:r>
        <w:t xml:space="preserve"> </w:t>
      </w:r>
      <m:oMath>
        <m:r>
          <m:t>3.5</m:t>
        </m:r>
      </m:oMath>
      <w:r>
        <w:t xml:space="preserve"> GHz, with a report every</w:t>
      </w:r>
      <w:r>
        <w:t xml:space="preserve"> </w:t>
      </w:r>
      <m:oMath>
        <m:r>
          <m:t>20</m:t>
        </m:r>
      </m:oMath>
      <w:r>
        <w:t xml:space="preserve"> </w:t>
      </w:r>
      <w:r>
        <w:t xml:space="preserve">TTI, the held</w:t>
      </w:r>
      <w:r>
        <w:t xml:space="preserve"> </w:t>
      </w:r>
      <w:r>
        <w:t xml:space="preserve">estimate is off by</w:t>
      </w:r>
      <w:r>
        <w:t xml:space="preserve"> </w:t>
      </w:r>
      <m:oMath>
        <m:r>
          <m:t>5.7</m:t>
        </m:r>
      </m:oMath>
      <w:r>
        <w:t xml:space="preserve"> dB on average. Aging dominates that error; report noise</w:t>
      </w:r>
      <w:r>
        <w:t xml:space="preserve"> </w:t>
      </w:r>
      <w:r>
        <w:t xml:space="preserve">contributes about</w:t>
      </w:r>
      <w:r>
        <w:t xml:space="preserve"> </w:t>
      </w:r>
      <m:oMath>
        <m:r>
          <m:t>1</m:t>
        </m:r>
      </m:oMath>
      <w:r>
        <w:t xml:space="preserve"> dB. The naive certificate then runs at a BLER near</w:t>
      </w:r>
      <w:r>
        <w:t xml:space="preserve"> </w:t>
      </w:r>
      <m:oMath>
        <m:r>
          <m:t>0.36</m:t>
        </m:r>
      </m:oMath>
      <w:r>
        <w:t xml:space="preserve"> </w:t>
      </w:r>
      <w:r>
        <w:t xml:space="preserve">against a</w:t>
      </w:r>
      <w:r>
        <w:t xml:space="preserve"> </w:t>
      </w:r>
      <m:oMath>
        <m:r>
          <m:t>0.10</m:t>
        </m:r>
      </m:oMath>
      <w:r>
        <w:t xml:space="preserve"> </w:t>
      </w:r>
      <w:r>
        <w:t xml:space="preserve">target, a false-clear on roughly a quarter of transmissions. OLLA,</w:t>
      </w:r>
      <w:r>
        <w:t xml:space="preserve"> </w:t>
      </w:r>
      <w:r>
        <w:t xml:space="preserve">Eq. </w:t>
      </w:r>
      <w:hyperlink w:anchor="eq:olla">
        <w:r>
          <w:rPr>
            <w:rStyle w:val="Hyperlink"/>
          </w:rPr>
          <w:t xml:space="preserve">[eq:olla]</w:t>
        </w:r>
      </w:hyperlink>
      <w:r>
        <w:t xml:space="preserve">, corrects the same held report with HARQ feedback and holds</w:t>
      </w:r>
      <w:r>
        <w:t xml:space="preserve"> </w:t>
      </w:r>
      <m:oMath>
        <m:r>
          <m:t>0.10</m:t>
        </m:r>
      </m:oMath>
      <w:r>
        <w:t xml:space="preserve">. Figure </w:t>
      </w:r>
      <w:hyperlink w:anchor="fig:refresh">
        <w:r>
          <w:rPr>
            <w:rStyle w:val="Hyperlink"/>
          </w:rPr>
          <w:t xml:space="preserve">3</w:t>
        </w:r>
      </w:hyperlink>
      <w:r>
        <w:t xml:space="preserve">(a) shows the aging across mobility.</w:t>
      </w:r>
    </w:p>
    <w:p>
      <w:pPr>
        <w:pStyle w:val="BodyText"/>
      </w:pPr>
      <w:r>
        <w:t xml:space="preserve">The practical question is how often to report. We sweep Doppler from</w:t>
      </w:r>
      <w:r>
        <w:t xml:space="preserve"> </w:t>
      </w:r>
      <m:oMath>
        <m:r>
          <m:t>10</m:t>
        </m:r>
      </m:oMath>
      <w:r>
        <w:t xml:space="preserve"> </w:t>
      </w:r>
      <w:r>
        <w:t xml:space="preserve">to</w:t>
      </w:r>
      <w:r>
        <w:t xml:space="preserve"> </w:t>
      </w:r>
      <m:oMath>
        <m:r>
          <m:t>400</m:t>
        </m:r>
      </m:oMath>
      <w:r>
        <w:t xml:space="preserve"> Hz,</w:t>
      </w:r>
      <w:r>
        <w:t xml:space="preserve"> </w:t>
      </w:r>
      <w:r>
        <w:t xml:space="preserve">which spans coherence times from</w:t>
      </w:r>
      <w:r>
        <w:t xml:space="preserve"> </w:t>
      </w:r>
      <m:oMath>
        <m:r>
          <m:t>42</m:t>
        </m:r>
      </m:oMath>
      <w:r>
        <w:t xml:space="preserve"> ms down to</w:t>
      </w:r>
      <w:r>
        <w:t xml:space="preserve"> </w:t>
      </w:r>
      <m:oMath>
        <m:r>
          <m:t>1</m:t>
        </m:r>
      </m:oMath>
      <w:r>
        <w:t xml:space="preserve"> ms, and report periods from</w:t>
      </w:r>
      <w:r>
        <w:t xml:space="preserve"> </w:t>
      </w:r>
      <m:oMath>
        <m:r>
          <m:t>1</m:t>
        </m:r>
      </m:oMath>
      <w:r>
        <w:t xml:space="preserve"> </w:t>
      </w:r>
      <w:r>
        <w:t xml:space="preserve">to</w:t>
      </w:r>
      <w:r>
        <w:t xml:space="preserve"> </w:t>
      </w:r>
      <m:oMath>
        <m:r>
          <m:t>80</m:t>
        </m:r>
      </m:oMath>
      <w:r>
        <w:t xml:space="preserve"> </w:t>
      </w:r>
      <w:r>
        <w:t xml:space="preserve">TTI. The refresh floor</w:t>
      </w:r>
      <w:r>
        <w:t xml:space="preserve"> </w:t>
      </w:r>
      <m:oMath>
        <m:sSup>
          <m:e>
            <m:r>
              <m:t>P</m:t>
            </m:r>
          </m:e>
          <m:sup>
            <m:r>
              <m:rPr>
                <m:sty m:val="p"/>
              </m:rPr>
              <m:t>⋆</m:t>
            </m:r>
          </m:sup>
        </m:sSup>
        <m:r>
          <m:rPr>
            <m:sty m:val="p"/>
          </m:rPr>
          <m:t>(</m:t>
        </m:r>
        <m:sSub>
          <m:e>
            <m:r>
              <m:t>f</m:t>
            </m:r>
          </m:e>
          <m:sub>
            <m:r>
              <m:t>D</m:t>
            </m:r>
          </m:sub>
        </m:sSub>
        <m:r>
          <m:rPr>
            <m:sty m:val="p"/>
          </m:rPr>
          <m:t>)</m:t>
        </m:r>
      </m:oMath>
      <w:r>
        <w:t xml:space="preserve"> </w:t>
      </w:r>
      <w:r>
        <w:t xml:space="preserve">is the longest period that keeps BLER at</w:t>
      </w:r>
      <w:r>
        <w:t xml:space="preserve"> </w:t>
      </w:r>
      <w:r>
        <w:t xml:space="preserve">target. A least-squares fit through the origin against the Clarke coherence time</w:t>
      </w:r>
      <w:r>
        <w:t xml:space="preserve"> </w:t>
      </w:r>
      <m:oMath>
        <m:sSub>
          <m:e>
            <m:r>
              <m:t>T</m:t>
            </m:r>
          </m:e>
          <m:sub>
            <m:r>
              <m:rPr>
                <m:sty m:val="p"/>
              </m:rPr>
              <m:t>c</m:t>
            </m:r>
            <m:r>
              <m:rPr>
                <m:sty m:val="p"/>
              </m:rPr>
              <m:t>o</m:t>
            </m:r>
            <m:r>
              <m:rPr>
                <m:sty m:val="p"/>
              </m:rPr>
              <m:t>h</m:t>
            </m:r>
          </m:sub>
        </m:sSub>
        <m:r>
          <m:rPr>
            <m:sty m:val="p"/>
          </m:rPr>
          <m:t>=</m:t>
        </m:r>
        <m:r>
          <m:t>0.423</m:t>
        </m:r>
        <m:r>
          <m:rPr>
            <m:sty m:val="p"/>
          </m:rPr>
          <m:t>/</m:t>
        </m:r>
        <m:sSub>
          <m:e>
            <m:r>
              <m:t>f</m:t>
            </m:r>
          </m:e>
          <m:sub>
            <m:r>
              <m:t>D</m:t>
            </m:r>
          </m:sub>
        </m:sSub>
      </m:oMath>
      <w:r>
        <w:t xml:space="preserve"> </w:t>
      </w:r>
      <w:r>
        <w:t xml:space="preserve">gives</w:t>
      </w:r>
    </w:p>
    <w:p>
      <w:pPr>
        <w:pStyle w:val="BodyText"/>
      </w:pPr>
      <m:oMathPara>
        <m:oMathParaPr>
          <m:jc m:val="center"/>
        </m:oMathParaPr>
        <m:oMath>
          <m:sSup>
            <m:e>
              <m:r>
                <m:t>P</m:t>
              </m:r>
            </m:e>
            <m:sup>
              <m:r>
                <m:rPr>
                  <m:sty m:val="p"/>
                </m:rPr>
                <m:t>⋆</m:t>
              </m:r>
            </m:sup>
          </m:sSup>
          <m:r>
            <m:t> </m:t>
          </m:r>
          <m:r>
            <m:rPr>
              <m:sty m:val="p"/>
            </m:rPr>
            <m:t>≈</m:t>
          </m:r>
          <m:r>
            <m:t> </m:t>
          </m:r>
          <m:r>
            <m:t>0.177</m:t>
          </m:r>
          <m:r>
            <m:t> </m:t>
          </m:r>
          <m:sSub>
            <m:e>
              <m:r>
                <m:t>T</m:t>
              </m:r>
            </m:e>
            <m:sub>
              <m:r>
                <m:rPr>
                  <m:sty m:val="p"/>
                </m:rPr>
                <m:t>c</m:t>
              </m:r>
              <m:r>
                <m:rPr>
                  <m:sty m:val="p"/>
                </m:rPr>
                <m:t>o</m:t>
              </m:r>
              <m:r>
                <m:rPr>
                  <m:sty m:val="p"/>
                </m:rPr>
                <m:t>h</m:t>
              </m:r>
            </m:sub>
          </m:sSub>
          <m:r>
            <m:rPr>
              <m:sty m:val="p"/>
            </m:rPr>
            <m:t>,</m:t>
          </m:r>
          <m:r>
            <m:t>  </m:t>
          </m:r>
          <m:sSup>
            <m:e>
              <m:r>
                <m:t>R</m:t>
              </m:r>
            </m:e>
            <m:sup>
              <m:r>
                <m:t>2</m:t>
              </m:r>
            </m:sup>
          </m:sSup>
          <m:r>
            <m:rPr>
              <m:sty m:val="p"/>
            </m:rPr>
            <m:t>=</m:t>
          </m:r>
          <m:r>
            <m:t>0.915</m:t>
          </m:r>
        </m:oMath>
      </m:oMathPara>
    </w:p>
    <w:p>
      <w:pPr>
        <w:pStyle w:val="FirstParagraph"/>
      </w:pPr>
      <w:r>
        <w:t xml:space="preserve">(Fig. </w:t>
      </w:r>
      <w:hyperlink w:anchor="fig:refresh">
        <w:r>
          <w:rPr>
            <w:rStyle w:val="Hyperlink"/>
          </w:rPr>
          <w:t xml:space="preserve">3</w:t>
        </w:r>
      </w:hyperlink>
      <w:r>
        <w:t xml:space="preserve">(b)). The low-mobility points dominate the fit. At high Doppler</w:t>
      </w:r>
      <w:r>
        <w:t xml:space="preserve"> </w:t>
      </w:r>
      <w:r>
        <w:t xml:space="preserve">the floor stops at one TTI, the shortest period the frame allows, and that stop</w:t>
      </w:r>
      <w:r>
        <w:t xml:space="preserve"> </w:t>
      </w:r>
      <w:r>
        <w:t xml:space="preserve">matters. Above roughly</w:t>
      </w:r>
      <w:r>
        <w:t xml:space="preserve"> </w:t>
      </w:r>
      <m:oMath>
        <m:r>
          <m:t>200</m:t>
        </m:r>
      </m:oMath>
      <w:r>
        <w:t xml:space="preserve"> Hz no reporting cadence keeps the naive certificate at</w:t>
      </w:r>
      <w:r>
        <w:t xml:space="preserve"> </w:t>
      </w:r>
      <w:r>
        <w:t xml:space="preserve">target, so a HARQ-driven correction is no longer an optimization but a requirement.</w:t>
      </w:r>
      <w:r>
        <w:t xml:space="preserve"> </w:t>
      </w:r>
      <w:r>
        <w:t xml:space="preserve">Below that threshold the fit is a usable rule. Report again before the channel</w:t>
      </w:r>
      <w:r>
        <w:t xml:space="preserve"> </w:t>
      </w:r>
      <w:r>
        <w:t xml:space="preserve">decorrelates by about</w:t>
      </w:r>
      <w:r>
        <w:t xml:space="preserve"> </w:t>
      </w:r>
      <m:oMath>
        <m:r>
          <m:t>0.18</m:t>
        </m:r>
        <m:r>
          <m:t> </m:t>
        </m:r>
        <m:sSub>
          <m:e>
            <m:r>
              <m:t>T</m:t>
            </m:r>
          </m:e>
          <m:sub>
            <m:r>
              <m:rPr>
                <m:sty m:val="p"/>
              </m:rPr>
              <m:t>c</m:t>
            </m:r>
            <m:r>
              <m:rPr>
                <m:sty m:val="p"/>
              </m:rPr>
              <m:t>o</m:t>
            </m:r>
            <m:r>
              <m:rPr>
                <m:sty m:val="p"/>
              </m:rPr>
              <m:t>h</m:t>
            </m:r>
          </m:sub>
        </m:sSub>
      </m:oMath>
      <w:r>
        <w:t xml:space="preserve">, rather than on a fixed schedule.</w:t>
      </w:r>
    </w:p>
    <w:bookmarkStart w:id="24" w:name="fig:refresh"/>
    <w:p>
      <w:pPr>
        <w:pStyle w:val="CaptionedFigure"/>
      </w:pPr>
      <w:r>
        <w:drawing>
          <wp:inline>
            <wp:extent cx="5334000" cy="2022089"/>
            <wp:effectExtent b="0" l="0" r="0" t="0"/>
            <wp:docPr descr="" title="" id="22" name="Picture"/>
            <a:graphic>
              <a:graphicData uri="http://schemas.openxmlformats.org/drawingml/2006/picture">
                <pic:pic>
                  <pic:nvPicPr>
                    <pic:cNvPr descr="refresh_floor.png" id="23" name="Picture"/>
                    <pic:cNvPicPr>
                      <a:picLocks noChangeArrowheads="1" noChangeAspect="1"/>
                    </pic:cNvPicPr>
                  </pic:nvPicPr>
                  <pic:blipFill>
                    <a:blip r:embed="rId21"/>
                    <a:stretch>
                      <a:fillRect/>
                    </a:stretch>
                  </pic:blipFill>
                  <pic:spPr bwMode="auto">
                    <a:xfrm>
                      <a:off x="0" y="0"/>
                      <a:ext cx="5334000" cy="2022089"/>
                    </a:xfrm>
                    <a:prstGeom prst="rect">
                      <a:avLst/>
                    </a:prstGeom>
                    <a:noFill/>
                    <a:ln w="9525">
                      <a:noFill/>
                      <a:headEnd/>
                      <a:tailEnd/>
                    </a:ln>
                  </pic:spPr>
                </pic:pic>
              </a:graphicData>
            </a:graphic>
          </wp:inline>
        </w:drawing>
      </w:r>
    </w:p>
    <w:p>
      <w:pPr>
        <w:pStyle w:val="ImageCaption"/>
      </w:pPr>
      <w:r>
        <w:t xml:space="preserve">The refresh horizon (real NR, Sionna LDPC; sealed sweep). (a) BLER grows</w:t>
      </w:r>
      <w:r>
        <w:t xml:space="preserve"> </w:t>
      </w:r>
      <w:r>
        <w:t xml:space="preserve">with report period, faster at higher Doppler. (b) The refresh floor is proportional</w:t>
      </w:r>
      <w:r>
        <w:t xml:space="preserve"> </w:t>
      </w:r>
      <w:r>
        <w:t xml:space="preserve">to the Clarke coherence time (</w:t>
      </w:r>
      <m:oMath>
        <m:r>
          <m:t>0.177</m:t>
        </m:r>
        <m:r>
          <m:t> </m:t>
        </m:r>
        <m:sSub>
          <m:e>
            <m:r>
              <m:t>T</m:t>
            </m:r>
          </m:e>
          <m:sub>
            <m:r>
              <m:rPr>
                <m:sty m:val="p"/>
              </m:rPr>
              <m:t>c</m:t>
            </m:r>
            <m:r>
              <m:rPr>
                <m:sty m:val="p"/>
              </m:rPr>
              <m:t>o</m:t>
            </m:r>
            <m:r>
              <m:rPr>
                <m:sty m:val="p"/>
              </m:rPr>
              <m:t>h</m:t>
            </m:r>
          </m:sub>
        </m:sSub>
      </m:oMath>
      <w:r>
        <w:t xml:space="preserve">,</w:t>
      </w:r>
      <w:r>
        <w:t xml:space="preserve"> </w:t>
      </w:r>
      <m:oMath>
        <m:sSup>
          <m:e>
            <m:r>
              <m:t>R</m:t>
            </m:r>
          </m:e>
          <m:sup>
            <m:r>
              <m:t>2</m:t>
            </m:r>
          </m:sup>
        </m:sSup>
        <m:r>
          <m:rPr>
            <m:sty m:val="p"/>
          </m:rPr>
          <m:t>=</m:t>
        </m:r>
        <m:r>
          <m:t>0.915</m:t>
        </m:r>
      </m:oMath>
      <w:r>
        <w:t xml:space="preserve">) and saturates</w:t>
      </w:r>
      <w:r>
        <w:t xml:space="preserve"> </w:t>
      </w:r>
      <w:r>
        <w:t xml:space="preserve">at one TTI at high Doppler.</w:t>
      </w:r>
    </w:p>
    <w:bookmarkEnd w:id="24"/>
    <w:bookmarkStart w:id="25" w:name="tab:results"/>
    <w:p>
      <w:pPr>
        <w:pStyle w:val="TableCaption"/>
      </w:pPr>
      <w:r>
        <w:t xml:space="preserve">Sealed per-seed results (achieved BLER)</w:t>
      </w:r>
    </w:p>
    <w:tbl>
      <w:tblPr>
        <w:tblStyle w:val="Table"/>
        <w:tblW w:type="auto" w:w="0"/>
        <w:tblLook w:firstRow="1" w:lastRow="0" w:firstColumn="0" w:lastColumn="0" w:noHBand="0" w:noVBand="0" w:val="0020"/>
        <w:tblCaption w:val="Sealed per-seed results (achieved BLER)"/>
      </w:tblPr>
      <w:tblGrid>
        <w:gridCol w:w="1584"/>
        <w:gridCol w:w="1584"/>
        <w:gridCol w:w="1584"/>
        <w:gridCol w:w="1584"/>
        <w:gridCol w:w="1584"/>
      </w:tblGrid>
      <w:tr>
        <w:trPr>
          <w:tblHeader w:val="on"/>
        </w:trPr>
        <w:tc>
          <w:tcPr>
            <w:gridSpan w:val="5"/>
          </w:tcPr>
          <w:p>
            <w:pPr>
              <w:pStyle w:val="Compact"/>
              <w:jc w:val="left"/>
            </w:pPr>
            <w:r>
              <w:rPr>
                <w:i/>
                <w:iCs/>
              </w:rPr>
              <w:t xml:space="preserve">(a) Reliability target</w:t>
            </w:r>
            <w:r>
              <w:t xml:space="preserve"> </w:t>
            </w:r>
            <w:r>
              <w:t xml:space="preserve">(§</w:t>
            </w:r>
            <w:hyperlink w:anchor="sec:urllc">
              <w:r>
                <w:rPr>
                  <w:rStyle w:val="Hyperlink"/>
                </w:rPr>
                <w:t xml:space="preserve">3</w:t>
              </w:r>
            </w:hyperlink>
            <w:r>
              <w:t xml:space="preserve">), fresh CSI</w:t>
            </w:r>
          </w:p>
        </w:tc>
      </w:tr>
      <w:tr>
        <w:tc>
          <w:tcPr/>
          <w:p>
            <w:pPr>
              <w:pStyle w:val="Compact"/>
              <w:jc w:val="left"/>
            </w:pPr>
            <w:r>
              <w:t xml:space="preserve">seed</w:t>
            </w:r>
          </w:p>
        </w:tc>
        <w:tc>
          <w:tcPr/>
          <w:p>
            <w:pPr>
              <w:pStyle w:val="Compact"/>
              <w:jc w:val="left"/>
            </w:pPr>
            <w:r>
              <w:t xml:space="preserve">eMBB</w:t>
            </w:r>
          </w:p>
        </w:tc>
        <w:tc>
          <w:tcPr/>
          <w:p>
            <w:pPr>
              <w:pStyle w:val="Compact"/>
              <w:jc w:val="left"/>
            </w:pPr>
            <w:r>
              <w:t xml:space="preserve">URLLC-naive</w:t>
            </w:r>
          </w:p>
        </w:tc>
        <w:tc>
          <w:tcPr/>
          <w:p>
            <w:pPr>
              <w:pStyle w:val="Compact"/>
              <w:jc w:val="left"/>
            </w:pPr>
            <w:r>
              <w:t xml:space="preserve">URLLC-aware</w:t>
            </w:r>
          </w:p>
        </w:tc>
        <w:tc>
          <w:tcPr/>
          <w:p>
            <w:pPr>
              <w:pStyle w:val="Compact"/>
            </w:pPr>
          </w:p>
        </w:tc>
      </w:tr>
      <w:tr>
        <w:tc>
          <w:tcPr/>
          <w:p>
            <w:pPr>
              <w:pStyle w:val="Compact"/>
              <w:jc w:val="left"/>
            </w:pPr>
            <w:r>
              <w:t xml:space="preserve">20260824</w:t>
            </w:r>
          </w:p>
        </w:tc>
        <w:tc>
          <w:tcPr/>
          <w:p>
            <w:pPr>
              <w:pStyle w:val="Compact"/>
              <w:jc w:val="left"/>
            </w:pPr>
            <m:oMath>
              <m:r>
                <m:t>0.1119</m:t>
              </m:r>
            </m:oMath>
          </w:p>
        </w:tc>
        <w:tc>
          <w:tcPr/>
          <w:p>
            <w:pPr>
              <w:pStyle w:val="Compact"/>
              <w:jc w:val="left"/>
            </w:pPr>
            <m:oMath>
              <m:r>
                <m:t>0.1119</m:t>
              </m:r>
            </m:oMath>
          </w:p>
        </w:tc>
        <w:tc>
          <w:tcPr/>
          <w:p>
            <w:pPr>
              <w:pStyle w:val="Compact"/>
              <w:jc w:val="left"/>
            </w:pPr>
            <m:oMath>
              <m:r>
                <m:t>1.7</m:t>
              </m:r>
              <m:r>
                <m:rPr>
                  <m:sty m:val="p"/>
                </m:rPr>
                <m:t>×</m:t>
              </m:r>
              <m:sSup>
                <m:e>
                  <m:r>
                    <m:t>10</m:t>
                  </m:r>
                </m:e>
                <m:sup>
                  <m:r>
                    <m:rPr>
                      <m:sty m:val="p"/>
                    </m:rPr>
                    <m:t>−</m:t>
                  </m:r>
                  <m:r>
                    <m:t>5</m:t>
                  </m:r>
                </m:sup>
              </m:sSup>
            </m:oMath>
          </w:p>
        </w:tc>
        <w:tc>
          <w:tcPr/>
          <w:p>
            <w:pPr>
              <w:pStyle w:val="Compact"/>
            </w:pPr>
          </w:p>
        </w:tc>
      </w:tr>
      <w:tr>
        <w:tc>
          <w:tcPr/>
          <w:p>
            <w:pPr>
              <w:pStyle w:val="Compact"/>
              <w:jc w:val="left"/>
            </w:pPr>
            <w:r>
              <w:t xml:space="preserve">20260825</w:t>
            </w:r>
          </w:p>
        </w:tc>
        <w:tc>
          <w:tcPr/>
          <w:p>
            <w:pPr>
              <w:pStyle w:val="Compact"/>
              <w:jc w:val="left"/>
            </w:pPr>
            <m:oMath>
              <m:r>
                <m:t>0.1103</m:t>
              </m:r>
            </m:oMath>
          </w:p>
        </w:tc>
        <w:tc>
          <w:tcPr/>
          <w:p>
            <w:pPr>
              <w:pStyle w:val="Compact"/>
              <w:jc w:val="left"/>
            </w:pPr>
            <m:oMath>
              <m:r>
                <m:t>0.1103</m:t>
              </m:r>
            </m:oMath>
          </w:p>
        </w:tc>
        <w:tc>
          <w:tcPr/>
          <w:p>
            <w:pPr>
              <w:pStyle w:val="Compact"/>
              <w:jc w:val="left"/>
            </w:pPr>
            <m:oMath>
              <m:r>
                <m:t>1.9</m:t>
              </m:r>
              <m:r>
                <m:rPr>
                  <m:sty m:val="p"/>
                </m:rPr>
                <m:t>×</m:t>
              </m:r>
              <m:sSup>
                <m:e>
                  <m:r>
                    <m:t>10</m:t>
                  </m:r>
                </m:e>
                <m:sup>
                  <m:r>
                    <m:rPr>
                      <m:sty m:val="p"/>
                    </m:rPr>
                    <m:t>−</m:t>
                  </m:r>
                  <m:r>
                    <m:t>5</m:t>
                  </m:r>
                </m:sup>
              </m:sSup>
            </m:oMath>
          </w:p>
        </w:tc>
        <w:tc>
          <w:tcPr/>
          <w:p>
            <w:pPr>
              <w:pStyle w:val="Compact"/>
            </w:pPr>
          </w:p>
        </w:tc>
      </w:tr>
      <w:tr>
        <w:tc>
          <w:tcPr/>
          <w:p>
            <w:pPr>
              <w:pStyle w:val="Compact"/>
              <w:jc w:val="left"/>
            </w:pPr>
            <w:r>
              <w:t xml:space="preserve">20260826</w:t>
            </w:r>
          </w:p>
        </w:tc>
        <w:tc>
          <w:tcPr/>
          <w:p>
            <w:pPr>
              <w:pStyle w:val="Compact"/>
              <w:jc w:val="left"/>
            </w:pPr>
            <m:oMath>
              <m:r>
                <m:t>0.1125</m:t>
              </m:r>
            </m:oMath>
          </w:p>
        </w:tc>
        <w:tc>
          <w:tcPr/>
          <w:p>
            <w:pPr>
              <w:pStyle w:val="Compact"/>
              <w:jc w:val="left"/>
            </w:pPr>
            <m:oMath>
              <m:r>
                <m:t>0.1125</m:t>
              </m:r>
            </m:oMath>
          </w:p>
        </w:tc>
        <w:tc>
          <w:tcPr/>
          <w:p>
            <w:pPr>
              <w:pStyle w:val="Compact"/>
              <w:jc w:val="left"/>
            </w:pPr>
            <m:oMath>
              <m:r>
                <m:rPr>
                  <m:sty m:val="p"/>
                </m:rPr>
                <m:t>&lt;</m:t>
              </m:r>
              <m:sSup>
                <m:e>
                  <m:r>
                    <m:t>10</m:t>
                  </m:r>
                </m:e>
                <m:sup>
                  <m:r>
                    <m:rPr>
                      <m:sty m:val="p"/>
                    </m:rPr>
                    <m:t>−</m:t>
                  </m:r>
                  <m:r>
                    <m:t>5</m:t>
                  </m:r>
                </m:sup>
              </m:sSup>
            </m:oMath>
          </w:p>
        </w:tc>
        <w:tc>
          <w:tcPr/>
          <w:p>
            <w:pPr>
              <w:pStyle w:val="Compact"/>
            </w:pPr>
          </w:p>
        </w:tc>
      </w:tr>
      <w:tr>
        <w:tc>
          <w:tcPr>
            <w:gridSpan w:val="5"/>
          </w:tcPr>
          <w:p>
            <w:pPr>
              <w:pStyle w:val="Compact"/>
              <w:jc w:val="left"/>
            </w:pPr>
            <w:r>
              <w:rPr>
                <w:i/>
                <w:iCs/>
              </w:rPr>
              <w:t xml:space="preserve">(b) Refresh horizon</w:t>
            </w:r>
            <w:r>
              <w:t xml:space="preserve"> </w:t>
            </w:r>
            <w:r>
              <w:t xml:space="preserve">(§</w:t>
            </w:r>
            <w:hyperlink w:anchor="sec:refresh">
              <w:r>
                <w:rPr>
                  <w:rStyle w:val="Hyperlink"/>
                </w:rPr>
                <w:t xml:space="preserve">4</w:t>
              </w:r>
            </w:hyperlink>
            <w:r>
              <w:t xml:space="preserve">),</w:t>
            </w:r>
            <w:r>
              <w:t xml:space="preserve"> </w:t>
            </w:r>
            <m:oMath>
              <m:sSub>
                <m:e>
                  <m:r>
                    <m:t>f</m:t>
                  </m:r>
                </m:e>
                <m:sub>
                  <m:r>
                    <m:t>D</m:t>
                  </m:r>
                </m:sub>
              </m:sSub>
              <m:r>
                <m:rPr>
                  <m:sty m:val="p"/>
                </m:rPr>
                <m:t>=</m:t>
              </m:r>
              <m:r>
                <m:t>200</m:t>
              </m:r>
            </m:oMath>
            <w:r>
              <w:t xml:space="preserve"> Hz,</w:t>
            </w:r>
            <w:r>
              <w:t xml:space="preserve"> </w:t>
            </w:r>
            <m:oMath>
              <m:r>
                <m:t>20</m:t>
              </m:r>
            </m:oMath>
            <w:r>
              <w:t xml:space="preserve">-TTI</w:t>
            </w:r>
          </w:p>
        </w:tc>
      </w:tr>
      <w:tr>
        <w:tc>
          <w:tcPr/>
          <w:p>
            <w:pPr>
              <w:pStyle w:val="Compact"/>
              <w:jc w:val="left"/>
            </w:pPr>
            <w:r>
              <w:t xml:space="preserve">seed</w:t>
            </w:r>
          </w:p>
        </w:tc>
        <w:tc>
          <w:tcPr/>
          <w:p>
            <w:pPr>
              <w:pStyle w:val="Compact"/>
              <w:jc w:val="left"/>
            </w:pPr>
            <w:r>
              <w:t xml:space="preserve">naive</w:t>
            </w:r>
          </w:p>
        </w:tc>
        <w:tc>
          <w:tcPr/>
          <w:p>
            <w:pPr>
              <w:pStyle w:val="Compact"/>
              <w:jc w:val="left"/>
            </w:pPr>
            <w:r>
              <w:t xml:space="preserve">OLLA</w:t>
            </w:r>
          </w:p>
        </w:tc>
        <w:tc>
          <w:tcPr/>
          <w:p>
            <w:pPr>
              <w:pStyle w:val="Compact"/>
              <w:jc w:val="left"/>
            </w:pPr>
            <w:r>
              <w:t xml:space="preserve">fresh</w:t>
            </w:r>
          </w:p>
        </w:tc>
        <w:tc>
          <w:tcPr/>
          <w:p>
            <w:pPr>
              <w:pStyle w:val="Compact"/>
              <w:jc w:val="left"/>
            </w:pPr>
            <w:r>
              <w:t xml:space="preserve">CQI err</w:t>
            </w:r>
          </w:p>
        </w:tc>
      </w:tr>
      <w:tr>
        <w:tc>
          <w:tcPr/>
          <w:p>
            <w:pPr>
              <w:pStyle w:val="Compact"/>
              <w:jc w:val="left"/>
            </w:pPr>
            <w:r>
              <w:t xml:space="preserve">20260823</w:t>
            </w:r>
          </w:p>
        </w:tc>
        <w:tc>
          <w:tcPr/>
          <w:p>
            <w:pPr>
              <w:pStyle w:val="Compact"/>
              <w:jc w:val="left"/>
            </w:pPr>
            <m:oMath>
              <m:r>
                <m:t>0.366</m:t>
              </m:r>
            </m:oMath>
          </w:p>
        </w:tc>
        <w:tc>
          <w:tcPr/>
          <w:p>
            <w:pPr>
              <w:pStyle w:val="Compact"/>
              <w:jc w:val="left"/>
            </w:pPr>
            <m:oMath>
              <m:r>
                <m:t>0.101</m:t>
              </m:r>
            </m:oMath>
          </w:p>
        </w:tc>
        <w:tc>
          <w:tcPr/>
          <w:p>
            <w:pPr>
              <w:pStyle w:val="Compact"/>
              <w:jc w:val="left"/>
            </w:pPr>
            <m:oMath>
              <m:r>
                <m:t>0.116</m:t>
              </m:r>
            </m:oMath>
          </w:p>
        </w:tc>
        <w:tc>
          <w:tcPr/>
          <w:p>
            <w:pPr>
              <w:pStyle w:val="Compact"/>
              <w:jc w:val="left"/>
            </w:pPr>
            <m:oMath>
              <m:r>
                <m:t>5.61</m:t>
              </m:r>
            </m:oMath>
            <w:r>
              <w:t xml:space="preserve"> dB</w:t>
            </w:r>
          </w:p>
        </w:tc>
      </w:tr>
      <w:tr>
        <w:tc>
          <w:tcPr/>
          <w:p>
            <w:pPr>
              <w:pStyle w:val="Compact"/>
              <w:jc w:val="left"/>
            </w:pPr>
            <w:r>
              <w:t xml:space="preserve">20260824</w:t>
            </w:r>
          </w:p>
        </w:tc>
        <w:tc>
          <w:tcPr/>
          <w:p>
            <w:pPr>
              <w:pStyle w:val="Compact"/>
              <w:jc w:val="left"/>
            </w:pPr>
            <m:oMath>
              <m:r>
                <m:t>0.340</m:t>
              </m:r>
            </m:oMath>
          </w:p>
        </w:tc>
        <w:tc>
          <w:tcPr/>
          <w:p>
            <w:pPr>
              <w:pStyle w:val="Compact"/>
              <w:jc w:val="left"/>
            </w:pPr>
            <m:oMath>
              <m:r>
                <m:t>0.102</m:t>
              </m:r>
            </m:oMath>
          </w:p>
        </w:tc>
        <w:tc>
          <w:tcPr/>
          <w:p>
            <w:pPr>
              <w:pStyle w:val="Compact"/>
              <w:jc w:val="left"/>
            </w:pPr>
            <m:oMath>
              <m:r>
                <m:t>0.115</m:t>
              </m:r>
            </m:oMath>
          </w:p>
        </w:tc>
        <w:tc>
          <w:tcPr/>
          <w:p>
            <w:pPr>
              <w:pStyle w:val="Compact"/>
              <w:jc w:val="left"/>
            </w:pPr>
            <m:oMath>
              <m:r>
                <m:t>5.86</m:t>
              </m:r>
            </m:oMath>
            <w:r>
              <w:t xml:space="preserve"> dB</w:t>
            </w:r>
          </w:p>
        </w:tc>
      </w:tr>
      <w:tr>
        <w:tc>
          <w:tcPr/>
          <w:p>
            <w:pPr>
              <w:pStyle w:val="Compact"/>
              <w:jc w:val="left"/>
            </w:pPr>
            <w:r>
              <w:t xml:space="preserve">20260825</w:t>
            </w:r>
          </w:p>
        </w:tc>
        <w:tc>
          <w:tcPr/>
          <w:p>
            <w:pPr>
              <w:pStyle w:val="Compact"/>
              <w:jc w:val="left"/>
            </w:pPr>
            <m:oMath>
              <m:r>
                <m:t>0.373</m:t>
              </m:r>
            </m:oMath>
          </w:p>
        </w:tc>
        <w:tc>
          <w:tcPr/>
          <w:p>
            <w:pPr>
              <w:pStyle w:val="Compact"/>
              <w:jc w:val="left"/>
            </w:pPr>
            <m:oMath>
              <m:r>
                <m:t>0.101</m:t>
              </m:r>
            </m:oMath>
          </w:p>
        </w:tc>
        <w:tc>
          <w:tcPr/>
          <w:p>
            <w:pPr>
              <w:pStyle w:val="Compact"/>
              <w:jc w:val="left"/>
            </w:pPr>
            <m:oMath>
              <m:r>
                <m:t>0.113</m:t>
              </m:r>
            </m:oMath>
          </w:p>
        </w:tc>
        <w:tc>
          <w:tcPr/>
          <w:p>
            <w:pPr>
              <w:pStyle w:val="Compact"/>
              <w:jc w:val="left"/>
            </w:pPr>
            <m:oMath>
              <m:r>
                <m:t>5.76</m:t>
              </m:r>
            </m:oMath>
            <w:r>
              <w:t xml:space="preserve"> dB</w:t>
            </w:r>
          </w:p>
        </w:tc>
      </w:tr>
      <w:tr>
        <w:tc>
          <w:tcPr>
            <w:gridSpan w:val="5"/>
          </w:tcPr>
          <w:p>
            <w:pPr>
              <w:pStyle w:val="Compact"/>
              <w:jc w:val="left"/>
            </w:pPr>
            <w:r>
              <w:t xml:space="preserve">Seed IDs are campaign date-stamps.</w:t>
            </w:r>
            <w:r>
              <w:t xml:space="preserve"> </w:t>
            </w:r>
            <w:r>
              <w:t xml:space="preserve">(a) expected rate; (b) empirical NACK rate.</w:t>
            </w:r>
          </w:p>
        </w:tc>
      </w:tr>
    </w:tbl>
    <w:bookmarkEnd w:id="25"/>
    <w:bookmarkEnd w:id="26"/>
    <w:bookmarkStart w:id="27" w:name="related-work"/>
    <w:p>
      <w:pPr>
        <w:pStyle w:val="Heading1"/>
      </w:pPr>
      <w:r>
        <w:t xml:space="preserve">Related Work</w:t>
      </w:r>
    </w:p>
    <w:p>
      <w:pPr>
        <w:pStyle w:val="FirstParagraph"/>
      </w:pPr>
      <w:r>
        <w:t xml:space="preserve">Link adaptation, CSI aging and outer-loop correction are old subjects. OLLA</w:t>
      </w:r>
      <w:r>
        <w:t xml:space="preserve"> </w:t>
      </w:r>
      <w:r>
        <w:t xml:space="preserve"> </w:t>
      </w:r>
      <w:r>
        <w:t xml:space="preserve">holds a BLER target under imperfect or stale CSI by adjusting an SINR offset from HARQ</w:t>
      </w:r>
      <w:r>
        <w:t xml:space="preserve"> </w:t>
      </w:r>
      <w:r>
        <w:t xml:space="preserve">feedback. It is exactly the correction our refresh result quantifies. Short-packet</w:t>
      </w:r>
      <w:r>
        <w:t xml:space="preserve"> </w:t>
      </w:r>
      <w:r>
        <w:t xml:space="preserve">analysis</w:t>
      </w:r>
      <w:r>
        <w:t xml:space="preserve"> </w:t>
      </w:r>
      <w:r>
        <w:t xml:space="preserve"> </w:t>
      </w:r>
      <w:r>
        <w:t xml:space="preserve">establishes the reliability regime where the eMBB-to-URLLC gap</w:t>
      </w:r>
      <w:r>
        <w:t xml:space="preserve"> </w:t>
      </w:r>
      <w:r>
        <w:t xml:space="preserve">lives. Deployed systems configure CQI reporting at a fixed periodicity</w:t>
      </w:r>
      <w:r>
        <w:t xml:space="preserve"> </w:t>
      </w:r>
      <w:r>
        <w:t xml:space="preserve">; our refresh floor turns that period into a coherence-time budget</w:t>
      </w:r>
      <w:r>
        <w:t xml:space="preserve"> </w:t>
      </w:r>
      <w:r>
        <w:t xml:space="preserve">instead. Learned CSI feedback trained on reconstruction error</w:t>
      </w:r>
      <w:r>
        <w:t xml:space="preserve"> </w:t>
      </w:r>
      <w:r>
        <w:t xml:space="preserve"> </w:t>
      </w:r>
      <w:r>
        <w:t xml:space="preserve">is an</w:t>
      </w:r>
      <w:r>
        <w:t xml:space="preserve"> </w:t>
      </w:r>
      <w:r>
        <w:t xml:space="preserve">active direction. In our own controlled tests the objective gap it might suggest did</w:t>
      </w:r>
      <w:r>
        <w:t xml:space="preserve"> </w:t>
      </w:r>
      <w:r>
        <w:t xml:space="preserve">not appear at practical operating points, so we claim nothing about it. We do not offer</w:t>
      </w:r>
      <w:r>
        <w:t xml:space="preserve"> </w:t>
      </w:r>
      <w:r>
        <w:t xml:space="preserve">a better estimator, scheduler or offset rule. We offer the measurement, and the two</w:t>
      </w:r>
      <w:r>
        <w:t xml:space="preserve"> </w:t>
      </w:r>
      <w:r>
        <w:t xml:space="preserve">dependences and one law it exposes.</w:t>
      </w:r>
    </w:p>
    <w:bookmarkEnd w:id="27"/>
    <w:bookmarkStart w:id="29" w:name="discussion-and-conclusion"/>
    <w:p>
      <w:pPr>
        <w:pStyle w:val="Heading1"/>
      </w:pPr>
      <w:r>
        <w:t xml:space="preserve">Discussion and Conclusion</w:t>
      </w:r>
    </w:p>
    <w:p>
      <w:pPr>
        <w:pStyle w:val="FirstParagraph"/>
      </w:pPr>
      <w:r>
        <w:t xml:space="preserve">The unit of correctness in link adaptation is not the CSI report. It is the pair of</w:t>
      </w:r>
      <w:r>
        <w:t xml:space="preserve"> </w:t>
      </w:r>
      <w:r>
        <w:t xml:space="preserve">report and consumer. Margin and reporting cadence sized to the consumer’s target and</w:t>
      </w:r>
      <w:r>
        <w:t xml:space="preserve"> </w:t>
      </w:r>
      <w:r>
        <w:t xml:space="preserve">coherence time keep a certificate honest. Sized to a nominal channel they do not, and</w:t>
      </w:r>
      <w:r>
        <w:t xml:space="preserve"> </w:t>
      </w:r>
      <w:r>
        <w:t xml:space="preserve">the cost is measurable: a factor of 112 for a mismatched target, and a coherence-scaled</w:t>
      </w:r>
      <w:r>
        <w:t xml:space="preserve"> </w:t>
      </w:r>
      <w:r>
        <w:t xml:space="preserve">horizon past which a stale report cannot be saved by any cadence. The evidence stands</w:t>
      </w:r>
      <w:r>
        <w:t xml:space="preserve"> </w:t>
      </w:r>
      <w:r>
        <w:t xml:space="preserve">on Sionna link-level simulation with real LDPC decoding. Over-the-air HARQ traces are</w:t>
      </w:r>
      <w:r>
        <w:t xml:space="preserve"> </w:t>
      </w:r>
      <w:r>
        <w:t xml:space="preserve">the natural next step.</w:t>
      </w:r>
    </w:p>
    <w:p>
      <w:pPr>
        <w:pStyle w:val="BodyText"/>
      </w:pPr>
      <w:r>
        <w:t xml:space="preserve">The evidence has limits worth stating. It uses one TDL-A profile at</w:t>
      </w:r>
      <w:r>
        <w:t xml:space="preserve"> </w:t>
      </w:r>
      <m:oMath>
        <m:r>
          <m:t>30</m:t>
        </m:r>
      </m:oMath>
      <w:r>
        <w:t xml:space="preserve"> ns delay</w:t>
      </w:r>
      <w:r>
        <w:t xml:space="preserve"> </w:t>
      </w:r>
      <w:r>
        <w:t xml:space="preserve">spread, one MCS table topping out at 64-QAM, and one mobility for the target axis. The</w:t>
      </w:r>
      <w:r>
        <w:t xml:space="preserve"> </w:t>
      </w:r>
      <w:r>
        <w:t xml:space="preserve">refresh law is fit across</w:t>
      </w:r>
      <w:r>
        <w:t xml:space="preserve"> </w:t>
      </w:r>
      <m:oMath>
        <m:r>
          <m:t>10</m:t>
        </m:r>
      </m:oMath>
      <w:r>
        <w:t xml:space="preserve"> </w:t>
      </w:r>
      <w:r>
        <w:t xml:space="preserve">to</w:t>
      </w:r>
      <w:r>
        <w:t xml:space="preserve"> </w:t>
      </w:r>
      <m:oMath>
        <m:r>
          <m:t>400</m:t>
        </m:r>
      </m:oMath>
      <w:r>
        <w:t xml:space="preserve"> Hz, and the target gap is measured across</w:t>
      </w:r>
      <w:r>
        <w:t xml:space="preserve"> </w:t>
      </w:r>
      <m:oMath>
        <m:r>
          <m:t>3</m:t>
        </m:r>
      </m:oMath>
      <w:r>
        <w:t xml:space="preserve"> </w:t>
      </w:r>
      <w:r>
        <w:t xml:space="preserve">to</w:t>
      </w:r>
      <w:r>
        <w:t xml:space="preserve"> </w:t>
      </w:r>
      <m:oMath>
        <m:r>
          <m:t>21</m:t>
        </m:r>
      </m:oMath>
      <w:r>
        <w:t xml:space="preserve"> dB, including the cell edge where the certificate fails its own eMBB consumer.</w:t>
      </w:r>
      <w:r>
        <w:t xml:space="preserve"> </w:t>
      </w:r>
      <w:r>
        <w:t xml:space="preserve">The factors we left out push the numbers the same way. 256-QAM adds steeper cliffs that</w:t>
      </w:r>
      <w:r>
        <w:t xml:space="preserve"> </w:t>
      </w:r>
      <w:r>
        <w:t xml:space="preserve">worsen aging, and correlated diversity raises the aware policy’s failure rate. On</w:t>
      </w:r>
      <w:r>
        <w:t xml:space="preserve"> </w:t>
      </w:r>
      <w:r>
        <w:t xml:space="preserve">implementation, the refresh floor needs no new machinery. Event-triggered CSI reporting</w:t>
      </w:r>
      <w:r>
        <w:t xml:space="preserve"> </w:t>
      </w:r>
      <w:r>
        <w:t xml:space="preserve">with a relative threshold already exists in NR</w:t>
      </w:r>
      <w:r>
        <w:t xml:space="preserve"> </w:t>
      </w:r>
      <w:r>
        <w:t xml:space="preserve"> </w:t>
      </w:r>
      <w:r>
        <w:t xml:space="preserve">and is an instance of</w:t>
      </w:r>
      <w:r>
        <w:t xml:space="preserve"> </w:t>
      </w:r>
      <w:r>
        <w:t xml:space="preserve">send-on-delta sampling</w:t>
      </w:r>
      <w:r>
        <w:t xml:space="preserve"> </w:t>
      </w:r>
      <w:r>
        <w:t xml:space="preserve">. In exploratory runs such a trigger reproduced the</w:t>
      </w:r>
      <w:r>
        <w:t xml:space="preserve"> </w:t>
      </w:r>
      <w:r>
        <w:t xml:space="preserve">floor constant, near</w:t>
      </w:r>
      <w:r>
        <w:t xml:space="preserve"> </w:t>
      </w:r>
      <m:oMath>
        <m:r>
          <m:t>0.2</m:t>
        </m:r>
        <m:r>
          <m:t> </m:t>
        </m:r>
        <m:sSub>
          <m:e>
            <m:r>
              <m:t>T</m:t>
            </m:r>
          </m:e>
          <m:sub>
            <m:r>
              <m:rPr>
                <m:sty m:val="p"/>
              </m:rPr>
              <m:t>c</m:t>
            </m:r>
            <m:r>
              <m:rPr>
                <m:sty m:val="p"/>
              </m:rPr>
              <m:t>o</m:t>
            </m:r>
            <m:r>
              <m:rPr>
                <m:sty m:val="p"/>
              </m:rPr>
              <m:t>h</m:t>
            </m:r>
          </m:sub>
        </m:sSub>
      </m:oMath>
      <w:r>
        <w:t xml:space="preserve">, but our sealed confirmation attempt was</w:t>
      </w:r>
      <w:r>
        <w:t xml:space="preserve"> </w:t>
      </w:r>
      <w:r>
        <w:t xml:space="preserve">voided by a control-sanity check at very low Doppler, so we report that outcome and</w:t>
      </w:r>
      <w:r>
        <w:t xml:space="preserve"> </w:t>
      </w:r>
      <w:r>
        <w:t xml:space="preserve">claim nothing beyond the prior art. The method itself is not specific to radio. The</w:t>
      </w:r>
      <w:r>
        <w:t xml:space="preserve"> </w:t>
      </w:r>
      <w:r>
        <w:t xml:space="preserve">same consumer-relative failure shows up in optical quality-of-transmission and in</w:t>
      </w:r>
      <w:r>
        <w:t xml:space="preserve"> </w:t>
      </w:r>
      <w:r>
        <w:t xml:space="preserve">database replication</w:t>
      </w:r>
      <w:r>
        <w:t xml:space="preserve"> </w:t>
      </w:r>
      <w:r>
        <w:t xml:space="preserve">. The results here stand on the NR CSI</w:t>
      </w:r>
      <w:r>
        <w:t xml:space="preserve"> </w:t>
      </w:r>
      <w:r>
        <w:t xml:space="preserve">certificate alone.</w:t>
      </w:r>
    </w:p>
    <w:p>
      <w:pPr>
        <w:pStyle w:val="BodyText"/>
      </w:pPr>
      <w:r>
        <w:t xml:space="preserve">1</w:t>
      </w:r>
      <w:r>
        <w:t xml:space="preserve"> </w:t>
      </w:r>
      <w:r>
        <w:t xml:space="preserve">A. Sampath, P. Sarath Kumar, and J. M. Holtzman,</w:t>
      </w:r>
      <w:r>
        <w:t xml:space="preserve"> </w:t>
      </w:r>
      <w:r>
        <w:t xml:space="preserve">“On setting reverse link</w:t>
      </w:r>
      <w:r>
        <w:t xml:space="preserve"> </w:t>
      </w:r>
      <w:r>
        <w:t xml:space="preserve">target SIR in a CDMA system,”</w:t>
      </w:r>
      <w:r>
        <w:t xml:space="preserve"> </w:t>
      </w:r>
      <w:r>
        <w:t xml:space="preserve">in</w:t>
      </w:r>
      <w:r>
        <w:t xml:space="preserve"> </w:t>
      </w:r>
      <w:r>
        <w:rPr>
          <w:i/>
          <w:iCs/>
        </w:rPr>
        <w:t xml:space="preserve">Proc. IEEE 47th Veh. Technol. Conf. (VTC)</w:t>
      </w:r>
      <w:r>
        <w:t xml:space="preserve">,</w:t>
      </w:r>
      <w:r>
        <w:t xml:space="preserve"> </w:t>
      </w:r>
      <w:r>
        <w:t xml:space="preserve">vol. 2, 1997, pp. 929–933.</w:t>
      </w:r>
      <w:r>
        <w:t xml:space="preserve"> </w:t>
      </w:r>
      <w:r>
        <w:t xml:space="preserve">J. Hoydis</w:t>
      </w:r>
      <w:r>
        <w:t xml:space="preserve"> </w:t>
      </w:r>
      <w:r>
        <w:rPr>
          <w:i/>
          <w:iCs/>
        </w:rPr>
        <w:t xml:space="preserve">et al.</w:t>
      </w:r>
      <w:r>
        <w:t xml:space="preserve">,</w:t>
      </w:r>
      <w:r>
        <w:t xml:space="preserve"> </w:t>
      </w:r>
      <w:r>
        <w:t xml:space="preserve">“Sionna: An open-source library for</w:t>
      </w:r>
      <w:r>
        <w:t xml:space="preserve"> </w:t>
      </w:r>
      <w:r>
        <w:t xml:space="preserve">next-generation physical layer research,”</w:t>
      </w:r>
      <w:r>
        <w:t xml:space="preserve"> </w:t>
      </w:r>
      <w:r>
        <w:t xml:space="preserve">arXiv:2203.11854, 2022.</w:t>
      </w:r>
      <w:r>
        <w:t xml:space="preserve"> </w:t>
      </w:r>
      <w:r>
        <w:t xml:space="preserve">G. Durisi, T. Koch, and P. Popovski,</w:t>
      </w:r>
      <w:r>
        <w:t xml:space="preserve"> </w:t>
      </w:r>
      <w:r>
        <w:t xml:space="preserve">“Toward massive, ultrareliable, and</w:t>
      </w:r>
      <w:r>
        <w:t xml:space="preserve"> </w:t>
      </w:r>
      <w:r>
        <w:t xml:space="preserve">low-latency wireless communication with short packets,”</w:t>
      </w:r>
      <w:r>
        <w:t xml:space="preserve"> </w:t>
      </w:r>
      <w:r>
        <w:rPr>
          <w:i/>
          <w:iCs/>
        </w:rPr>
        <w:t xml:space="preserve">Proc. IEEE</w:t>
      </w:r>
      <w:r>
        <w:t xml:space="preserve">, vol. 104,</w:t>
      </w:r>
      <w:r>
        <w:t xml:space="preserve"> </w:t>
      </w:r>
      <w:r>
        <w:t xml:space="preserve">no. 9, pp. 1711–1726, 2016.</w:t>
      </w:r>
      <w:r>
        <w:t xml:space="preserve"> </w:t>
      </w:r>
      <w:r>
        <w:t xml:space="preserve">3GPP TS 38.214,</w:t>
      </w:r>
      <w:r>
        <w:t xml:space="preserve"> </w:t>
      </w:r>
      <w:r>
        <w:t xml:space="preserve">“NR; Physical layer procedures for data,”</w:t>
      </w:r>
      <w:r>
        <w:t xml:space="preserve"> </w:t>
      </w:r>
      <w:r>
        <w:t xml:space="preserve">v17,</w:t>
      </w:r>
      <w:r>
        <w:t xml:space="preserve"> </w:t>
      </w:r>
      <w:r>
        <w:t xml:space="preserve">clause 5.2 (CSI/CQI reporting), 2022.</w:t>
      </w:r>
      <w:r>
        <w:t xml:space="preserve"> </w:t>
      </w:r>
      <w:r>
        <w:t xml:space="preserve">M. Miskowicz,</w:t>
      </w:r>
      <w:r>
        <w:t xml:space="preserve"> </w:t>
      </w:r>
      <w:r>
        <w:t xml:space="preserve">“Send-on-delta concept: An event-based data reporting</w:t>
      </w:r>
      <w:r>
        <w:t xml:space="preserve"> </w:t>
      </w:r>
      <w:r>
        <w:t xml:space="preserve">strategy,”</w:t>
      </w:r>
      <w:r>
        <w:t xml:space="preserve"> </w:t>
      </w:r>
      <w:r>
        <w:rPr>
          <w:i/>
          <w:iCs/>
        </w:rPr>
        <w:t xml:space="preserve">Sensors</w:t>
      </w:r>
      <w:r>
        <w:t xml:space="preserve">, vol. 6, no. 1, pp. 49–63, 2006.</w:t>
      </w:r>
      <w:r>
        <w:t xml:space="preserve"> </w:t>
      </w:r>
      <w:r>
        <w:t xml:space="preserve">C.-K. Wen, W.-T. Shih, and S. Jin,</w:t>
      </w:r>
      <w:r>
        <w:t xml:space="preserve"> </w:t>
      </w:r>
      <w:r>
        <w:t xml:space="preserve">“Deep learning for massive MIMO CSI</w:t>
      </w:r>
      <w:r>
        <w:t xml:space="preserve"> </w:t>
      </w:r>
      <w:r>
        <w:t xml:space="preserve">feedback,”</w:t>
      </w:r>
      <w:r>
        <w:t xml:space="preserve"> </w:t>
      </w:r>
      <w:r>
        <w:rPr>
          <w:i/>
          <w:iCs/>
        </w:rPr>
        <w:t xml:space="preserve">IEEE Wireless Commun. Lett.</w:t>
      </w:r>
      <w:r>
        <w:t xml:space="preserve">, vol. 7, no. 5, pp. 748–751, 2018.</w:t>
      </w:r>
      <w:r>
        <w:t xml:space="preserve"> </w:t>
      </w:r>
      <w:r>
        <w:t xml:space="preserve">A. H. Bond,</w:t>
      </w:r>
      <w:r>
        <w:t xml:space="preserve"> </w:t>
      </w:r>
      <w:r>
        <w:t xml:space="preserve">“Observation Theory: consumer-relative witnessed</w:t>
      </w:r>
      <w:r>
        <w:t xml:space="preserve"> </w:t>
      </w:r>
      <w:r>
        <w:t xml:space="preserve">certificates,”</w:t>
      </w:r>
      <w:r>
        <w:t xml:space="preserve"> </w:t>
      </w:r>
      <w:r>
        <w:t xml:space="preserve">sealed pre-registrations and code,</w:t>
      </w:r>
      <w:r>
        <w:t xml:space="preserve"> </w:t>
      </w:r>
      <w:hyperlink r:id="rId28">
        <w:r>
          <w:rPr>
            <w:rStyle w:val="Hyperlink"/>
          </w:rPr>
          <w:t xml:space="preserve">https://github.com/ahb-sjsu/observation-theory-campaigns</w:t>
        </w:r>
      </w:hyperlink>
      <w:r>
        <w:t xml:space="preserve">, 2026.</w:t>
      </w:r>
    </w:p>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12" Target="media/rId12.png" /><Relationship Type="http://schemas.openxmlformats.org/officeDocument/2006/relationships/image" Id="rId16" Target="media/rId16.png" /><Relationship Type="http://schemas.openxmlformats.org/officeDocument/2006/relationships/hyperlink" Id="rId28" Target="https://github.com/ahb-sjsu/observation-theory-campaigns" TargetMode="External" /></Relationships>
</file>

<file path=word/_rels/footnotes.xml.rels><?xml version="1.0" encoding="UTF-8"?><Relationships xmlns="http://schemas.openxmlformats.org/package/2006/relationships"><Relationship Type="http://schemas.openxmlformats.org/officeDocument/2006/relationships/hyperlink" Id="rId28" Target="https://github.com/ahb-sjsu/observation-theory-campaig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One CSI Report Cannot Serve Every Consumer: The Consumer-Relative False-Clear Rate in 5G/6G Link Adaptation</dc:title>
  <dc:creator/>
  <cp:keywords/>
  <dcterms:created xsi:type="dcterms:W3CDTF">2026-08-26T15:34:57Z</dcterms:created>
  <dcterms:modified xsi:type="dcterms:W3CDTF">2026-08-26T15:34:57Z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CSI report carries a promise: the channel will support the rate selected from it. Whether the promise holds depends on who relies on it. We measure how often it fails, on a 5G NR link with real LDPC decoding, and show that the failure rate depends on the reader in two ways. First, the reliability target. An MCS choice that meets an eMBB error target of 10^{-1} misses a URLLC target of 10^{-3} on the same channel by a factor of 112, and it does so at every SNR from cell edge to cell centre. A policy that knows the stricter target meets it. Second, time. As a report ages the failure rate grows, and the longest safe report period is about 0.177 of the Clarke coherence time (R^2=0.915), until at high mobility no period the frame permits is short enough. The corrections are standard, outer-loop link adaptation and faster reporting. What we add is the measured failure rate that says how much each correction is worth and when it stops being optional. Every number comes from a sealed, pre-registered record.</vt:lpwstr>
  </property>
</Properties>
</file>