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a single CSI-derived MCS that</w:t>
      </w:r>
      <w:r>
        <w:t xml:space="preserve"> </w:t>
      </w:r>
      <w:r>
        <w:t xml:space="preserve">is adequate for enhanced mobile broadband (eMBB) is catastrophically optimistic for</w:t>
      </w:r>
      <w:r>
        <w:t xml:space="preserve"> </w:t>
      </w:r>
      <w:r>
        <w:t xml:space="preserve">ultra-reliable low-latency communication (URLLC),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the false-clear rate grows as</w:t>
      </w:r>
      <w:r>
        <w:t xml:space="preserve"> </w:t>
      </w:r>
      <w:r>
        <w:t xml:space="preserve">the certificate ages, and the safe refresh period scales with the channel coherence</w:t>
      </w:r>
      <w:r>
        <w:t xml:space="preserve"> </w:t>
      </w:r>
      <w:r>
        <w:t xml:space="preserve">time by a 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a real 5G NR link-level chain in</w:t>
      </w:r>
      <w:r>
        <w:t xml:space="preserve"> </w:t>
      </w:r>
      <w:r>
        <w:t xml:space="preserve">Sionna </w:t>
      </w:r>
      <w:r>
        <w:t xml:space="preserve">: LDPC-coded QAM over the NR PDSCH, with block error rate (BLER)</w:t>
      </w:r>
      <w:r>
        <w:t xml:space="preserve"> </w:t>
      </w:r>
      <w:r>
        <w:t xml:space="preserve">measured from the actual 5G LDPC decoder rather than an SINR-to-BLER formula. We first</w:t>
      </w:r>
      <w:r>
        <w:t xml:space="preserve"> </w:t>
      </w:r>
      <w:r>
        <w:t xml:space="preserve">measure a real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curve per MCS (400 coded blocks per SNR</w:t>
      </w:r>
      <w:r>
        <w:t xml:space="preserve"> </w:t>
      </w:r>
      <w:r>
        <w:t xml:space="preserve">point over the 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 in</w:t>
      </w:r>
      <w:r>
        <w:t xml:space="preserve"> </w:t>
      </w:r>
      <m:oMath>
        <m:r>
          <m:t>2</m:t>
        </m:r>
      </m:oMath>
      <w:r>
        <w:t xml:space="preserve"> dB steps), then drive a per-TTI SNR trace</w:t>
      </w:r>
      <w:r>
        <w:t xml:space="preserve"> </w:t>
      </w:r>
      <w:r>
        <w:t xml:space="preserve">through a 3GPP TR38.901 TDL-A channel at carrier</w:t>
      </w:r>
      <w:r>
        <w:t xml:space="preserve"> </w:t>
      </w:r>
      <m:oMath>
        <m:r>
          <m:t>3.5</m:t>
        </m:r>
      </m:oMath>
      <w:r>
        <w:t xml:space="preserve"> GHz with a chosen Doppler, and</w:t>
      </w:r>
      <w:r>
        <w:t xml:space="preserve"> </w:t>
      </w:r>
      <w:r>
        <w:t xml:space="preserve">evaluate each policy’s selected MCS against the true instantaneous SNR through the</w:t>
      </w:r>
      <w:r>
        <w:t xml:space="preserve"> </w:t>
      </w:r>
      <w:r>
        <w:t xml:space="preserve">measured curve. The MCS set is the 3GPP NR table (TS 38.214 Table 5.1.3.1-1; QPSK</w:t>
      </w:r>
      <w:r>
        <w:t xml:space="preserve"> </w:t>
      </w:r>
      <w:r>
        <w:t xml:space="preserve">through 64-QAM, code rates floored at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for the 5G LDPC base graph). The decoder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witness</w:t>
      </w:r>
      <w:r>
        <w:t xml:space="preserve">: it independently determines whether the consumer decoded.</w:t>
      </w:r>
      <w:r>
        <w:t xml:space="preserve"> </w:t>
      </w:r>
      <w:r>
        <w:t xml:space="preserve">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An AMC certificate selects the highest MCS whose</w:t>
      </w:r>
      <w:r>
        <w:t xml:space="preserve"> </w:t>
      </w:r>
      <w:r>
        <w:t xml:space="preserve">required SINR the CSI clears at a given BLER target.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 that rate</w:t>
      </w:r>
      <w:r>
        <w:t xml:space="preserve"> </w:t>
      </w:r>
      <w:r>
        <w:t xml:space="preserve">decision under a specific reliability target;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LDPC decode</w:t>
      </w:r>
      <w:r>
        <w:t xml:space="preserve"> </w:t>
      </w:r>
      <w:r>
        <w:t xml:space="preserve">outcome. A false-clear is a certificate that clears an MCS the witness then fails.</w:t>
      </w:r>
    </w:p>
    <w:p>
      <w:pPr>
        <w:pStyle w:val="BodyText"/>
      </w:pPr>
      <w:r>
        <w:rPr>
          <w:b/>
          <w:bCs/>
        </w:rPr>
        <w:t xml:space="preserve">Policies.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certificate selects the highest MCS clearing the</w:t>
      </w:r>
      <w:r>
        <w:t xml:space="preserve"> </w:t>
      </w:r>
      <w:r>
        <w:t xml:space="preserve">eMBB target from a (fresh or held) CQI report. The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URLLC policy</w:t>
      </w:r>
      <w:r>
        <w:t xml:space="preserve"> </w:t>
      </w:r>
      <w:r>
        <w:t xml:space="preserve">selects a conservative MCS (a fixed SINR backoff)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frequency/spatial diversity branches (a block errs only if all branches err); a backoff</w:t>
      </w:r>
      <w:r>
        <w:t xml:space="preserve"> </w:t>
      </w:r>
      <w:r>
        <w:t xml:space="preserve">alone cannot reach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a single branch, so the honest URLLC certificate</w:t>
      </w:r>
      <w:r>
        <w:t xml:space="preserve"> </w:t>
      </w:r>
      <w:r>
        <w:t xml:space="preserve">combines both. The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policy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adds an SINR offset driven by</w:t>
      </w:r>
      <w:r>
        <w:t xml:space="preserve"> </w:t>
      </w:r>
      <w:r>
        <w:t xml:space="preserve">HARQ ACK/NACK to a held report.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Doppler (aging expt.)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 ms)</w:t>
            </w:r>
          </w:p>
        </w:tc>
      </w:tr>
    </w:tbl>
    <w:bookmarkEnd w:id="10"/>
    <w:bookmarkEnd w:id="11"/>
    <w:bookmarkStart w:id="16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 introduced in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 correct for both consumers: the</w:t>
      </w:r>
      <w:r>
        <w:t xml:space="preserve"> </w:t>
      </w:r>
      <w:r>
        <w:t xml:space="preserve">eMBB-adequate one fails URLLC, and the URLLC-safe one over-provisions eMBB. The</w:t>
      </w:r>
      <w:r>
        <w:t xml:space="preserve"> </w:t>
      </w:r>
      <w:r>
        <w:t xml:space="preserve">false-clear rate is the number that prices the difference.</w:t>
      </w:r>
    </w:p>
    <w:bookmarkStart w:id="15" w:name="fig:urllc"/>
    <w:p>
      <w:pPr>
        <w:pStyle w:val="CaptionedFigure"/>
      </w:pPr>
      <w:r>
        <w:drawing>
          <wp:inline>
            <wp:extent cx="3055135" cy="24129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urllc_relativ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135" cy="241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three sealed seeds). The identical CSI-derived MCS meets the</w:t>
      </w:r>
      <w:r>
        <w:t xml:space="preserve"> </w:t>
      </w:r>
      <w:r>
        <w:t xml:space="preserve">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 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</w:t>
      </w:r>
      <w:r>
        <w:t xml:space="preserve"> </w:t>
      </w:r>
      <w:r>
        <w:t xml:space="preserve">a target-aware policy meets URLLC at the cost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2 dB margin.</w:t>
      </w:r>
    </w:p>
    <w:bookmarkEnd w:id="15"/>
    <w:bookmarkEnd w:id="16"/>
    <w:bookmarkStart w:id="22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 with a</w:t>
      </w:r>
      <w:r>
        <w:t xml:space="preserve"> </w:t>
      </w:r>
      <m:oMath>
        <m:r>
          <m:t>20</m:t>
        </m:r>
      </m:oMath>
      <w:r>
        <w:t xml:space="preserve">-TTI report period,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OLLA, the deployed witnessed correction that</w:t>
      </w:r>
      <w:r>
        <w:t xml:space="preserve"> </w:t>
      </w:r>
      <w:r>
        <w:t xml:space="preserve">adjusts an offset from HARQ feedback,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 the aging across mobility).</w:t>
      </w:r>
    </w:p>
    <w:p>
      <w:pPr>
        <w:pStyle w:val="BodyText"/>
      </w:pPr>
      <w:r>
        <w:t xml:space="preserve">The operational question is how often to refresh. Sweeping Doppler and report period,</w:t>
      </w:r>
      <w:r>
        <w:t xml:space="preserve"> </w:t>
      </w:r>
      <w:r>
        <w:t xml:space="preserve">we define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as the largest report period keeping BLER at target,</w:t>
      </w:r>
      <w:r>
        <w:t xml:space="preserve"> </w:t>
      </w:r>
      <w:r>
        <w:t xml:space="preserve">and find it proportional to the Clarke 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refresh floor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across an order of magnitude of mobility 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At high Doppler the</w:t>
      </w:r>
      <w:r>
        <w:t xml:space="preserve"> </w:t>
      </w:r>
      <w:r>
        <w:t xml:space="preserve">floor saturates at the minimum report period (one TTI): the certificate cannot be</w:t>
      </w:r>
      <w:r>
        <w:t xml:space="preserve"> </w:t>
      </w:r>
      <w:r>
        <w:t xml:space="preserve">refreshed faster than the frame allows, so above a mobility threshold no reporting</w:t>
      </w:r>
      <w:r>
        <w:t xml:space="preserve"> </w:t>
      </w:r>
      <w:r>
        <w:t xml:space="preserve">cadence suffices and a witnessed (HARQ-driven) correction becomes mandatory rather than</w:t>
      </w:r>
      <w:r>
        <w:t xml:space="preserve"> </w:t>
      </w:r>
      <w:r>
        <w:t xml:space="preserve">optional. Equation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gives a concrete provisioning rule: re-report before</w:t>
      </w:r>
      <w:r>
        <w:t xml:space="preserve"> </w:t>
      </w:r>
      <w:r>
        <w:t xml:space="preserve">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0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efresh_floo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0"/>
    <w:bookmarkStart w:id="21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</w:tbl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Learned CSI feedback trained on</w:t>
      </w:r>
      <w:r>
        <w:t xml:space="preserve"> </w:t>
      </w:r>
      <w:r>
        <w:t xml:space="preserve">reconstruction error </w:t>
      </w:r>
      <w:r>
        <w:t xml:space="preserve"> </w:t>
      </w:r>
      <w:r>
        <w:t xml:space="preserve">is an active direction; we note only that the</w:t>
      </w:r>
      <w:r>
        <w:t xml:space="preserve"> </w:t>
      </w:r>
      <w:r>
        <w:t xml:space="preserve">reconstruction-versus-consumer objective gap it might imply did not appear at practical</w:t>
      </w:r>
      <w:r>
        <w:t xml:space="preserve"> </w:t>
      </w:r>
      <w:r>
        <w:t xml:space="preserve">operating points in our controlled tests, and we make no claim on it here. Our</w:t>
      </w:r>
      <w:r>
        <w:t xml:space="preserve"> </w:t>
      </w:r>
      <w:r>
        <w:t xml:space="preserve">contribution is orthogonal to all three: not a better estimator, scheduler, or offset</w:t>
      </w:r>
      <w:r>
        <w:t xml:space="preserve"> </w:t>
      </w:r>
      <w:r>
        <w:t xml:space="preserve">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 rate as a first-class, consumer-relative</w:t>
      </w:r>
      <w:r>
        <w:t xml:space="preserve"> </w:t>
      </w:r>
      <w:r>
        <w:t xml:space="preserve">KPI—and the two relativities and the refresh law it exposes.</w:t>
      </w:r>
    </w:p>
    <w:bookmarkEnd w:id="23"/>
    <w:bookmarkStart w:id="25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 The methodology is not radio-specific—the same</w:t>
      </w:r>
      <w:r>
        <w:t xml:space="preserve"> </w:t>
      </w:r>
      <w:r>
        <w:t xml:space="preserve">consumer-relative false-clear appears in optical quality-of-transmission and database</w:t>
      </w:r>
      <w:r>
        <w:t xml:space="preserve"> </w:t>
      </w:r>
      <w:r>
        <w:t xml:space="preserve">replication </w:t>
      </w:r>
      <w:r>
        <w:t xml:space="preserve">—but the results here stand on the 5G NR CSI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S.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VTC</w:t>
      </w:r>
      <w:r>
        <w:t xml:space="preserve">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2026-08-25T19:44:04Z</dcterms:created>
  <dcterms:modified xsi:type="dcterms:W3CDTF">2026-08-25T19:44:04Z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