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Consumer-Aligned Learning for Quality-of-Transmission:</w:t>
      </w:r>
      <w:r>
        <w:br/>
      </w:r>
      <w:r>
        <w:rPr>
          <w:b/>
          <w:bCs/>
        </w:rPr>
        <w:t xml:space="preserve">The False-Clear Rate at the FEC Cliff</w:t>
      </w:r>
    </w:p>
    <w:p>
      <w:pPr>
        <w:pStyle w:val="Author"/>
      </w:pPr>
      <w:r>
        <w:t xml:space="preserve">Andrew H. Bond</w:t>
      </w:r>
      <w:r>
        <w:br/>
      </w:r>
      <w:r>
        <w:t xml:space="preserve">Department of Computer Engineering, San José State University, San José, CA 95192, USA</w:t>
      </w:r>
      <w:r>
        <w:br/>
      </w:r>
      <w:r>
        <w:t xml:space="preserve">andrew.bond@sjsu.edu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Machine-learning quality-of-transmission (ML-QoT) estimation is a leading route to</w:t>
      </w:r>
      <w:r>
        <w:t xml:space="preserve"> </w:t>
      </w:r>
      <w:r>
        <w:t xml:space="preserve">reducing the system margin that optical operators carry against uncertain reach</w:t>
      </w:r>
      <w:r>
        <w:t xml:space="preserve"> </w:t>
      </w:r>
      <w:r>
        <w:t xml:space="preserve">performance </w:t>
      </w:r>
      <w:r>
        <w:t xml:space="preserve">. That margin is deliberately stranded capacity, so</w:t>
      </w:r>
      <w:r>
        <w:t xml:space="preserve"> </w:t>
      </w:r>
      <w:r>
        <w:t xml:space="preserve">every fraction of a dB matters. ML-QoT models are almost always trained to minimise a</w:t>
      </w:r>
      <w:r>
        <w:t xml:space="preserve"> </w:t>
      </w:r>
      <w:r>
        <w:t xml:space="preserve">prediction error, mean-squared or mean-absolute GSNR error. We argue, and then</w:t>
      </w:r>
      <w:r>
        <w:t xml:space="preserve"> </w:t>
      </w:r>
      <w:r>
        <w:t xml:space="preserve">measure, that this objective serves the wrong master. The consumer of a QoT estimate</w:t>
      </w:r>
      <w:r>
        <w:t xml:space="preserve"> </w:t>
      </w:r>
      <w:r>
        <w:t xml:space="preserve">is the format-selection decision, and behind it the FEC decoder, and the decoder reads</w:t>
      </w:r>
      <w:r>
        <w:t xml:space="preserve"> </w:t>
      </w:r>
      <w:r>
        <w:t xml:space="preserve">a threshold. A lightpath either meets its format’s required GSNR or it does not. An</w:t>
      </w:r>
      <w:r>
        <w:t xml:space="preserve"> </w:t>
      </w:r>
      <w:r>
        <w:t xml:space="preserve">estimator can be excellent on average and still, near a format boundary, over-predict</w:t>
      </w:r>
      <w:r>
        <w:t xml:space="preserve"> </w:t>
      </w:r>
      <w:r>
        <w:t xml:space="preserve">by just enough to select a rate the link cannot support. The result is an in-service</w:t>
      </w:r>
      <w:r>
        <w:t xml:space="preserve"> </w:t>
      </w:r>
      <w:r>
        <w:t xml:space="preserve">outage even though the mean error was small. We call this a false-clear.</w:t>
      </w:r>
    </w:p>
    <w:p>
      <w:pPr>
        <w:pStyle w:val="BodyText"/>
      </w:pPr>
      <w:r>
        <w:t xml:space="preserve">We measure the false-clear rate on the GN-model physical layer of GNPy </w:t>
      </w:r>
      <w:r>
        <w:t xml:space="preserve"> </w:t>
      </w:r>
      <w:r>
        <w:t xml:space="preserve">over the CORONET-CONUS reference network and show three things. An average-error</w:t>
      </w:r>
      <w:r>
        <w:t xml:space="preserve"> </w:t>
      </w:r>
      <w:r>
        <w:t xml:space="preserve">ML-QoT objective false-clears at the FEC cliff while a threshold-aware objective does</w:t>
      </w:r>
      <w:r>
        <w:t xml:space="preserve"> </w:t>
      </w:r>
      <w:r>
        <w:t xml:space="preserve">not, at equal capacity. Which lightpaths are at risk is set by spectral position and</w:t>
      </w:r>
      <w:r>
        <w:t xml:space="preserve"> </w:t>
      </w:r>
      <w:r>
        <w:t xml:space="preserve">reach, so no single blanket margin fits all of them. And the risk grows with the fill</w:t>
      </w:r>
      <w:r>
        <w:t xml:space="preserve"> </w:t>
      </w:r>
      <w:r>
        <w:t xml:space="preserve">added after provisioning, which gives the certificate a refresh horizon.</w:t>
      </w:r>
    </w:p>
    <w:bookmarkEnd w:id="9"/>
    <w:bookmarkStart w:id="10" w:name="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Substrate.</w:t>
      </w:r>
      <w:r>
        <w:t xml:space="preserve"> </w:t>
      </w:r>
      <w:r>
        <w:t xml:space="preserve">Lightpaths are transparent shortest-path routes of the</w:t>
      </w:r>
      <w:r>
        <w:t xml:space="preserve"> </w:t>
      </w:r>
      <w:r>
        <w:t xml:space="preserve">CORONET-CONUS reference topology (75 nodes; up to</w:t>
      </w:r>
      <w:r>
        <w:t xml:space="preserve"> </w:t>
      </w:r>
      <m:oMath>
        <m:r>
          <m:t>2500</m:t>
        </m:r>
      </m:oMath>
      <w:r>
        <w:t xml:space="preserve"> km, 2–31 spans of</w:t>
      </w:r>
      <w:r>
        <w:t xml:space="preserve"> </w:t>
      </w:r>
      <w:r>
        <w:t xml:space="preserve">80 km). Per-channel GSNR comes from the GN model in GNPy </w:t>
      </w:r>
      <w:r>
        <w:t xml:space="preserve"> </w:t>
      </w:r>
      <w:r>
        <w:t xml:space="preserve">on standard</w:t>
      </w:r>
      <w:r>
        <w:t xml:space="preserve"> </w:t>
      </w:r>
      <w:r>
        <w:t xml:space="preserve">single-mode fibre (0.2 dB/km,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17</m:t>
        </m:r>
      </m:oMath>
      <w:r>
        <w:t xml:space="preserve"> ps/nm/km) with 6 dB-NF EDFAs,</w:t>
      </w:r>
      <w: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t xml:space="preserve"> dBm per</w:t>
      </w:r>
      <w:r>
        <w:t xml:space="preserve"> </w:t>
      </w:r>
      <w:r>
        <w:t xml:space="preserve">channel, 32 GBd on a 50 GHz grid. The band runs from a lightly filled provisioning</w:t>
      </w:r>
      <w:r>
        <w:t xml:space="preserve"> </w:t>
      </w:r>
      <w:r>
        <w:t xml:space="preserve">state of 6 channels to a full C-band of 76.</w:t>
      </w:r>
    </w:p>
    <w:p>
      <w:pPr>
        <w:pStyle w:val="BodyText"/>
      </w:pPr>
      <w:r>
        <w:rPr>
          <w:b/>
          <w:bCs/>
        </w:rPr>
        <w:t xml:space="preserve">Certificate, consumer, witness.</w:t>
      </w:r>
      <w:r>
        <w:t xml:space="preserve"> </w:t>
      </w:r>
      <w:r>
        <w:t xml:space="preserve">A certificate selects the highest format</w:t>
      </w:r>
      <w:r>
        <w:t xml:space="preserve"> </w:t>
      </w:r>
      <w:r>
        <w:t xml:space="preserve">whose required GSNR the estimate clears. The consumer is that decision. The witness is</w:t>
      </w:r>
      <w:r>
        <w:t xml:space="preserve"> </w:t>
      </w:r>
      <w:r>
        <w:t xml:space="preserve">the true deployed GSNR, in practice the receiver’s pre-FEC BER. For the ML study the</w:t>
      </w:r>
      <w:r>
        <w:t xml:space="preserve"> </w:t>
      </w:r>
      <w:r>
        <w:t xml:space="preserve">features are the provisioning-time GSNR plus spectral position, reach and fill, the</w:t>
      </w:r>
      <w:r>
        <w:t xml:space="preserve"> </w:t>
      </w:r>
      <w:r>
        <w:t xml:space="preserve">label carries an irreducible term for unmeasured network state, and two</w:t>
      </w:r>
      <w:r>
        <w:t xml:space="preserve"> </w:t>
      </w:r>
      <w:r>
        <w:t xml:space="preserve">gradient-boosted objectives compete: average-error (squared loss) and consumer-aware</w:t>
      </w:r>
      <w:r>
        <w:t xml:space="preserve"> </w:t>
      </w:r>
      <w:r>
        <w:t xml:space="preserve">(a conservative lower-quantile loss that protects the decision rather than the mean).</w:t>
      </w:r>
      <w:r>
        <w:t xml:space="preserve"> </w:t>
      </w:r>
      <w:r>
        <w:t xml:space="preserve">Bars and manipulation checks are pre-registered. The sealed record is content-hashed</w:t>
      </w:r>
      <w:r>
        <w:t xml:space="preserve"> </w:t>
      </w:r>
      <w:r>
        <w:t xml:space="preserve">and graded on seeds disjoint from those used during design </w:t>
      </w:r>
      <w:r>
        <w:t xml:space="preserve">.</w:t>
      </w:r>
    </w:p>
    <w:bookmarkEnd w:id="10"/>
    <w:bookmarkStart w:id="22" w:name="results"/>
    <w:p>
      <w:pPr>
        <w:pStyle w:val="Heading1"/>
      </w:pPr>
      <w:r>
        <w:t xml:space="preserve">Results</w:t>
      </w:r>
    </w:p>
    <w:bookmarkStart w:id="15" w:name="ml-qot-trained-on-the-wrong-metric"/>
    <w:p>
      <w:pPr>
        <w:pStyle w:val="Heading2"/>
      </w:pPr>
      <w:r>
        <w:t xml:space="preserve">ML-QoT trained on the wrong metric</w:t>
      </w:r>
    </w:p>
    <w:p>
      <w:pPr>
        <w:pStyle w:val="FirstParagraph"/>
      </w:pPr>
      <w:r>
        <w:t xml:space="preserve">Under irreducible prediction uncertainty the average-error estimator wins the metric</w:t>
      </w:r>
      <w:r>
        <w:t xml:space="preserve"> </w:t>
      </w:r>
      <w:r>
        <w:t xml:space="preserve">it was trained on and loses the one that matters. Its MAE is</w:t>
      </w:r>
      <w:r>
        <w:t xml:space="preserve"> </w:t>
      </w:r>
      <m:oMath>
        <m:r>
          <m:t>0.65</m:t>
        </m:r>
      </m:oMath>
      <w:r>
        <w:t xml:space="preserve"> dB against</w:t>
      </w:r>
      <w:r>
        <w:t xml:space="preserve"> </w:t>
      </w:r>
      <m:oMath>
        <m:r>
          <m:t>0.95</m:t>
        </m:r>
      </m:oMath>
      <w:r>
        <w:t xml:space="preserve"> dB for the consumer-aware objective, yet its false-clear rate is about</w:t>
      </w:r>
      <w:r>
        <w:t xml:space="preserve"> </w:t>
      </w:r>
      <m:oMath>
        <m:r>
          <m:t>0.041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0.008</m:t>
        </m:r>
      </m:oMath>
      <w:r>
        <w:t xml:space="preserve">, five times higher, at comparable delivered spectral</w:t>
      </w:r>
      <w:r>
        <w:t xml:space="preserve"> </w:t>
      </w:r>
      <w:r>
        <w:t xml:space="preserve">efficiency near</w:t>
      </w:r>
      <w:r>
        <w:t xml:space="preserve"> </w:t>
      </w:r>
      <m:oMath>
        <m:r>
          <m:t>3.9</m:t>
        </m:r>
      </m:oMath>
      <w:r>
        <w:t xml:space="preserve"> bits/symbol. Figure </w:t>
      </w:r>
      <w:hyperlink w:anchor="fig:ml">
        <w:r>
          <w:rPr>
            <w:rStyle w:val="Hyperlink"/>
          </w:rPr>
          <w:t xml:space="preserve">1</w:t>
        </w:r>
      </w:hyperlink>
      <w:r>
        <w:t xml:space="preserve">(a) shows the two objectives</w:t>
      </w:r>
      <w:r>
        <w:t xml:space="preserve"> </w:t>
      </w:r>
      <w:r>
        <w:t xml:space="preserve">trading places between the two metrics. Figure </w:t>
      </w:r>
      <w:hyperlink w:anchor="fig:ml">
        <w:r>
          <w:rPr>
            <w:rStyle w:val="Hyperlink"/>
          </w:rPr>
          <w:t xml:space="preserve">1</w:t>
        </w:r>
      </w:hyperlink>
      <w:r>
        <w:t xml:space="preserve">(b) shows where the</w:t>
      </w:r>
      <w:r>
        <w:t xml:space="preserve"> </w:t>
      </w:r>
      <w:r>
        <w:t xml:space="preserve">failures live: the average-error false-clears concentrate where the GSNR headroom</w:t>
      </w:r>
      <w:r>
        <w:t xml:space="preserve"> </w:t>
      </w:r>
      <w:r>
        <w:t xml:space="preserve">above the nearest format threshold is small. That is the cliff, and it is exactly</w:t>
      </w:r>
      <w:r>
        <w:t xml:space="preserve"> </w:t>
      </w:r>
      <w:r>
        <w:t xml:space="preserve">where a symmetric error metric is blind. The fix is to train ML-QoT on the consumer’s</w:t>
      </w:r>
      <w:r>
        <w:t xml:space="preserve"> </w:t>
      </w:r>
      <w:r>
        <w:t xml:space="preserve">threshold decision rather than on volume-averaged fidelity.</w:t>
      </w:r>
    </w:p>
    <w:bookmarkStart w:id="14" w:name="fig:ml"/>
    <w:p>
      <w:pPr>
        <w:pStyle w:val="CaptionedFigure"/>
      </w:pPr>
      <w:r>
        <w:drawing>
          <wp:inline>
            <wp:extent cx="5334000" cy="22098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l_clif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objectives, two metrics (GNPy, gradient-boosted regressors). (a) The</w:t>
      </w:r>
      <w:r>
        <w:t xml:space="preserve"> </w:t>
      </w:r>
      <w:r>
        <w:t xml:space="preserve">average-error objective has lower MAE and higher false-clear than the consumer-aware</w:t>
      </w:r>
      <w:r>
        <w:t xml:space="preserve"> </w:t>
      </w:r>
      <w:r>
        <w:t xml:space="preserve">objective. (b) Its false-clears sit at the FEC cliff, where headroom is small.</w:t>
      </w:r>
      <w:r>
        <w:t xml:space="preserve"> </w:t>
      </w:r>
      <w:r>
        <w:t xml:space="preserve">Marker shape distinguishes objectives.</w:t>
      </w:r>
    </w:p>
    <w:bookmarkEnd w:id="14"/>
    <w:bookmarkEnd w:id="15"/>
    <w:bookmarkStart w:id="20" w:name="the-margin-is-consumer-relative"/>
    <w:p>
      <w:pPr>
        <w:pStyle w:val="Heading2"/>
      </w:pPr>
      <w:r>
        <w:t xml:space="preserve">The margin is consumer-relative</w:t>
      </w:r>
    </w:p>
    <w:p>
      <w:pPr>
        <w:pStyle w:val="FirstParagraph"/>
      </w:pPr>
      <w:r>
        <w:t xml:space="preserve">The same threshold-blindness afflicts the margin itself as the band fills. A</w:t>
      </w:r>
      <w:r>
        <w:t xml:space="preserve"> </w:t>
      </w:r>
      <w:r>
        <w:t xml:space="preserve">lightpath’s GSNR drops as neighbours arrive, and whether it crosses a format threshold</w:t>
      </w:r>
      <w:r>
        <w:t xml:space="preserve"> </w:t>
      </w:r>
      <w:r>
        <w:t xml:space="preserve">depends on where it sits: false-clears concentrate on services whose spectral position</w:t>
      </w:r>
      <w:r>
        <w:t xml:space="preserve"> </w:t>
      </w:r>
      <w:r>
        <w:t xml:space="preserve">and reach leave their GSNR near a boundary, and are absent elsewhere</w:t>
      </w:r>
      <w:r>
        <w:t xml:space="preserve"> </w:t>
      </w:r>
      <w:r>
        <w:t xml:space="preserve">(Fig. </w:t>
      </w:r>
      <w:hyperlink w:anchor="fig:fc">
        <w:r>
          <w:rPr>
            <w:rStyle w:val="Hyperlink"/>
          </w:rPr>
          <w:t xml:space="preserve">2</w:t>
        </w:r>
      </w:hyperlink>
      <w:r>
        <w:t xml:space="preserve">). So a single blanket margin cannot be right for every lightpath.</w:t>
      </w:r>
      <w:r>
        <w:t xml:space="preserve"> </w:t>
      </w:r>
      <w:r>
        <w:t xml:space="preserve">We price this against today’s practice of one uniform system margin sized to keep the</w:t>
      </w:r>
      <w:r>
        <w:t xml:space="preserve"> </w:t>
      </w:r>
      <w:r>
        <w:t xml:space="preserve">whole fleet safe. The deployed fill is real. Each lightpath’s channel load is drawn</w:t>
      </w:r>
      <w:r>
        <w:t xml:space="preserve"> </w:t>
      </w:r>
      <w:r>
        <w:t xml:space="preserve">from the per-link fill distribution of the SNDlib janos-us-ca demand</w:t>
      </w:r>
      <w:r>
        <w:t xml:space="preserve"> </w:t>
      </w:r>
      <w:r>
        <w:t xml:space="preserve">matrix </w:t>
      </w:r>
      <w:r>
        <w:t xml:space="preserve"> </w:t>
      </w:r>
      <w:r>
        <w:t xml:space="preserve">(61 links; median 10 channels, 90th percentile 35, of 76). Real</w:t>
      </w:r>
      <w:r>
        <w:t xml:space="preserve"> </w:t>
      </w:r>
      <w:r>
        <w:t xml:space="preserve">traffic is heavy-tailed. A uniform margin sized for the few near-full links</w:t>
      </w:r>
      <w:r>
        <w:t xml:space="preserve"> </w:t>
      </w:r>
      <w:r>
        <w:t xml:space="preserve">over-provisions the lightly filled majority. We give both policies the same</w:t>
      </w:r>
      <w:r>
        <w:t xml:space="preserve"> </w:t>
      </w:r>
      <w:r>
        <w:t xml:space="preserve">QoT-estimator uncertainty of</w:t>
      </w:r>
      <w:r>
        <w:t xml:space="preserve"> </w:t>
      </w:r>
      <m:oMath>
        <m:r>
          <m:t>0.5</m:t>
        </m:r>
      </m:oMath>
      <w:r>
        <w:t xml:space="preserve"> dB RMSE, so the footprint-aware certificate is</w:t>
      </w:r>
      <w:r>
        <w:t xml:space="preserve"> </w:t>
      </w:r>
      <w:r>
        <w:t xml:space="preserve">not assumed perfect. Sizing each margin to the lightpath’s own fill then recovers</w:t>
      </w:r>
      <w:r>
        <w:t xml:space="preserve"> </w:t>
      </w:r>
      <w:r>
        <w:t xml:space="preserve">about</w:t>
      </w:r>
      <w:r>
        <w:t xml:space="preserve"> </w:t>
      </w:r>
      <m:oMath>
        <m:r>
          <m:t>8</m:t>
        </m:r>
        <m:r>
          <m:rPr>
            <m:sty m:val="p"/>
          </m:rPr>
          <m:t>%</m:t>
        </m:r>
      </m:oMath>
      <w:r>
        <w:t xml:space="preserve"> </w:t>
      </w:r>
      <w:r>
        <w:t xml:space="preserve">of spectral efficiency, near</w:t>
      </w:r>
      <w:r>
        <w:t xml:space="preserve"> </w:t>
      </w:r>
      <m:oMath>
        <m:r>
          <m:t>0.33</m:t>
        </m:r>
      </m:oMath>
      <w:r>
        <w:t xml:space="preserve"> b/sym or</w:t>
      </w:r>
      <w:r>
        <w:t xml:space="preserve"> </w:t>
      </w:r>
      <m:oMath>
        <m:r>
          <m:t>21</m:t>
        </m:r>
      </m:oMath>
      <w:r>
        <w:t xml:space="preserve"> Gb/s per channel, at</w:t>
      </w:r>
      <w:r>
        <w:t xml:space="preserve"> </w:t>
      </w:r>
      <w:r>
        <w:t xml:space="preserve">matched safety (false-clear at most</w:t>
      </w:r>
      <w:r>
        <w:t xml:space="preserve"> </w:t>
      </w:r>
      <m:oMath>
        <m:r>
          <m:t>0.01</m:t>
        </m:r>
      </m:oMath>
      <w:r>
        <w:t xml:space="preserve">) on a rate-flexible transceiver model. The</w:t>
      </w:r>
      <w:r>
        <w:t xml:space="preserve"> </w:t>
      </w:r>
      <w:r>
        <w:t xml:space="preserve">gain is modest and free. It is capacity the uniform margin strands on links that</w:t>
      </w:r>
      <w:r>
        <w:t xml:space="preserve"> </w:t>
      </w:r>
      <w:r>
        <w:t xml:space="preserve">never fill.</w:t>
      </w:r>
    </w:p>
    <w:bookmarkStart w:id="19" w:name="fig:fc"/>
    <w:p>
      <w:pPr>
        <w:pStyle w:val="CaptionedFigure"/>
      </w:pPr>
      <w:r>
        <w:drawing>
          <wp:inline>
            <wp:extent cx="5334000" cy="22098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c_footprint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the margin fails (GNPy over CORONET-CONUS). Per-service false-clear</w:t>
      </w:r>
      <w:r>
        <w:t xml:space="preserve"> </w:t>
      </w:r>
      <w:r>
        <w:t xml:space="preserve">over spectral position and reach concentrates on threshold-adjacent services. A</w:t>
      </w:r>
      <w:r>
        <w:t xml:space="preserve"> </w:t>
      </w:r>
      <w:r>
        <w:t xml:space="preserve">footprint-aware certificate removes it. Marker shape distinguishes classes.</w:t>
      </w:r>
    </w:p>
    <w:bookmarkEnd w:id="19"/>
    <w:bookmarkEnd w:id="20"/>
    <w:bookmarkStart w:id="21" w:name="the-refresh-floor"/>
    <w:p>
      <w:pPr>
        <w:pStyle w:val="Heading2"/>
      </w:pPr>
      <w:r>
        <w:t xml:space="preserve">The refresh floor</w:t>
      </w:r>
    </w:p>
    <w:p>
      <w:pPr>
        <w:pStyle w:val="FirstParagraph"/>
      </w:pPr>
      <w:r>
        <w:t xml:space="preserve">The risk is driven by the fill added between provisioning and use, so a certificate</w:t>
      </w:r>
      <w:r>
        <w:t xml:space="preserve"> </w:t>
      </w:r>
      <w:r>
        <w:t xml:space="preserve">has a refresh horizon. Sweeping the deployed fill from 6 to 76 channels, the naive</w:t>
      </w:r>
      <w:r>
        <w:t xml:space="preserve"> </w:t>
      </w:r>
      <w:r>
        <w:t xml:space="preserve">false-clear rises roughly linearly with the number of added channels,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  <m:r>
          <m:rPr>
            <m:sty m:val="p"/>
          </m:rPr>
          <m:t>≈</m:t>
        </m:r>
        <m:r>
          <m:t>0.008</m:t>
        </m:r>
        <m:r>
          <m:t> </m:t>
        </m:r>
        <m:r>
          <m:rPr>
            <m:sty m:val="p"/>
          </m:rPr>
          <m:t>Δ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0.95</m:t>
        </m:r>
      </m:oMath>
      <w:r>
        <w:t xml:space="preserve">. At a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target the floor is</w:t>
      </w:r>
      <w:r>
        <w:t xml:space="preserve"> </w:t>
      </w:r>
      <w:r>
        <w:t xml:space="preserve">about 8 added channels. The rule is concrete. Re-certify a service before the band</w:t>
      </w:r>
      <w:r>
        <w:t xml:space="preserve"> </w:t>
      </w:r>
      <w:r>
        <w:t xml:space="preserve">around it grows by about 8 channels, rather than on a fixed calendar.</w:t>
      </w:r>
    </w:p>
    <w:bookmarkEnd w:id="21"/>
    <w:bookmarkEnd w:id="22"/>
    <w:bookmarkStart w:id="23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QoT estimation and physical-layer-aware routing and spectrum assignment are</w:t>
      </w:r>
      <w:r>
        <w:t xml:space="preserve"> </w:t>
      </w:r>
      <w:r>
        <w:t xml:space="preserve">mature </w:t>
      </w:r>
      <w:r>
        <w:t xml:space="preserve">. ML-QoT is active, and its estimators are trained mostly on</w:t>
      </w:r>
      <w:r>
        <w:t xml:space="preserve"> </w:t>
      </w:r>
      <w:r>
        <w:t xml:space="preserve">prediction error </w:t>
      </w:r>
      <w:r>
        <w:t xml:space="preserve">. We do not offer a better estimator or allocator. We</w:t>
      </w:r>
      <w:r>
        <w:t xml:space="preserve"> </w:t>
      </w:r>
      <w:r>
        <w:t xml:space="preserve">offer the measurement, the false-clear rate read against the consumer, and the finding</w:t>
      </w:r>
      <w:r>
        <w:t xml:space="preserve"> </w:t>
      </w:r>
      <w:r>
        <w:t xml:space="preserve">that both the ML-QoT training objective and the margin allocation should target the</w:t>
      </w:r>
      <w:r>
        <w:t xml:space="preserve"> </w:t>
      </w:r>
      <w:r>
        <w:t xml:space="preserve">decoder’s threshold.</w:t>
      </w:r>
    </w:p>
    <w:bookmarkEnd w:id="23"/>
    <w:bookmarkStart w:id="2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Train QoT models, and size QoT margin, for the decision the FEC decoder makes rather</w:t>
      </w:r>
      <w:r>
        <w:t xml:space="preserve"> </w:t>
      </w:r>
      <w:r>
        <w:t xml:space="preserve">than for average fidelity. The evidence stands on the GN model. A coherent-receiver</w:t>
      </w:r>
      <w:r>
        <w:t xml:space="preserve"> </w:t>
      </w:r>
      <w:r>
        <w:t xml:space="preserve">pre-FEC-BER witness on a fibre testbed, and the EGN or split-step model, are the</w:t>
      </w:r>
      <w:r>
        <w:t xml:space="preserve"> </w:t>
      </w:r>
      <w:r>
        <w:t xml:space="preserve">natural next steps. The method is not specific to optics. The same consumer-relative</w:t>
      </w:r>
      <w:r>
        <w:t xml:space="preserve"> </w:t>
      </w:r>
      <w:r>
        <w:t xml:space="preserve">false-clear appears in radio link adaptation and in database</w:t>
      </w:r>
      <w:r>
        <w:t xml:space="preserve"> </w:t>
      </w:r>
      <w:r>
        <w:t xml:space="preserve">replication </w:t>
      </w:r>
      <w:r>
        <w:t xml:space="preserve">. The results here stand on the optical QoT certificate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9</w:t>
      </w:r>
      <w:r>
        <w:t xml:space="preserve"> </w:t>
      </w:r>
      <w:r>
        <w:t xml:space="preserve">A. Ferrari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“GNPy: an open source application for</w:t>
      </w:r>
      <w:r>
        <w:t xml:space="preserve"> </w:t>
      </w:r>
      <w:r>
        <w:t xml:space="preserve">physical layer aware open optical networks,”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12</w:t>
      </w:r>
      <w:r>
        <w:t xml:space="preserve">,</w:t>
      </w:r>
      <w:r>
        <w:t xml:space="preserve"> </w:t>
      </w:r>
      <w:r>
        <w:t xml:space="preserve">C31–C40 (2020).</w:t>
      </w:r>
      <w:r>
        <w:t xml:space="preserve"> </w:t>
      </w:r>
      <w:r>
        <w:t xml:space="preserve">C. Rottondi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“Machine-learning method for quality of</w:t>
      </w:r>
      <w:r>
        <w:t xml:space="preserve"> </w:t>
      </w:r>
      <w:r>
        <w:t xml:space="preserve">transmission prediction of unestablished lightpaths,”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10</w:t>
      </w:r>
      <w:r>
        <w:t xml:space="preserve">, A286–A297 (2018).</w:t>
      </w:r>
      <w:r>
        <w:t xml:space="preserve"> </w:t>
      </w:r>
      <w:r>
        <w:t xml:space="preserve">Y. Pointurier,</w:t>
      </w:r>
      <w:r>
        <w:t xml:space="preserve"> </w:t>
      </w:r>
      <w:r>
        <w:t xml:space="preserve">“Design of low-margin optical networks,”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9</w:t>
      </w:r>
      <w:r>
        <w:t xml:space="preserve">, A9–A17 (2017).</w:t>
      </w:r>
      <w:r>
        <w:t xml:space="preserve"> </w:t>
      </w:r>
      <w:r>
        <w:t xml:space="preserve">S. Orlowski, R. Wessäly, M. Pióro, and A. Tomaszewski,</w:t>
      </w:r>
      <w:r>
        <w:t xml:space="preserve"> </w:t>
      </w:r>
      <w:r>
        <w:t xml:space="preserve">“SNDlib 1.0—Survivable Network Design Library,”</w:t>
      </w:r>
      <w:r>
        <w:t xml:space="preserve"> </w:t>
      </w:r>
      <w:r>
        <w:t xml:space="preserve">Networks</w:t>
      </w:r>
      <w:r>
        <w:t xml:space="preserve"> </w:t>
      </w:r>
      <w:r>
        <w:rPr>
          <w:b/>
          <w:bCs/>
        </w:rPr>
        <w:t xml:space="preserve">55</w:t>
      </w:r>
      <w:r>
        <w:t xml:space="preserve">, 276–286 (2010).</w:t>
      </w:r>
      <w:r>
        <w:t xml:space="preserve"> </w:t>
      </w:r>
      <w:r>
        <w:t xml:space="preserve">A. H. Bond,</w:t>
      </w:r>
      <w:r>
        <w:t xml:space="preserve"> </w:t>
      </w:r>
      <w:r>
        <w:t xml:space="preserve">“Observation Theory: consumer-relative witnessed</w:t>
      </w:r>
      <w:r>
        <w:t xml:space="preserve"> </w:t>
      </w:r>
      <w:r>
        <w:t xml:space="preserve">certificates,”</w:t>
      </w:r>
      <w:r>
        <w:t xml:space="preserve"> </w:t>
      </w:r>
      <w:r>
        <w:t xml:space="preserve">sealed pre-registrations and code,</w:t>
      </w:r>
      <w:r>
        <w:t xml:space="preserve"> </w:t>
      </w:r>
      <w:hyperlink r:id="rId24">
        <w:r>
          <w:rPr>
            <w:rStyle w:val="Hyperlink"/>
          </w:rPr>
          <w:t xml:space="preserve">https://github.com/ahb-sjsu/observation-theory-campaigns</w:t>
        </w:r>
      </w:hyperlink>
      <w:r>
        <w:t xml:space="preserve"> </w:t>
      </w:r>
      <w:r>
        <w:t xml:space="preserve">(2026).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24" Target="https://github.com/ahb-sjsu/observation-theory-campaig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ithub.com/ahb-sjsu/observation-theory-campaig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Consumer-Aligned Learning for Quality-of-Transmission: The False-Clear Rate at the FEC Cliff</dc:title>
  <dc:creator>Andrew H. Bond Department of Computer Engineering, San José State University, San José, CA 95192, USA andrew.bond@sjsu.edu</dc:creator>
  <cp:keywords/>
  <dcterms:created xsi:type="dcterms:W3CDTF">2026-08-26T15:38:02Z</dcterms:created>
  <dcterms:modified xsi:type="dcterms:W3CDTF">2026-08-26T15:38:02Z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