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one CSI-derived MCS adequate for</w:t>
      </w:r>
      <w:r>
        <w:t xml:space="preserve"> </w:t>
      </w:r>
      <w:r>
        <w:t xml:space="preserve">enhanced mobile broadband (eMBB) is catastrophically optimistic for ultra-reliable</w:t>
      </w:r>
      <w:r>
        <w:t xml:space="preserve"> </w:t>
      </w:r>
      <w:r>
        <w:t xml:space="preserve">low-latency communication (URLLC)—a false-clear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as the report ages the false-clear</w:t>
      </w:r>
      <w:r>
        <w:t xml:space="preserve"> </w:t>
      </w:r>
      <w:r>
        <w:t xml:space="preserve">rate grows, and the safe refresh period scales with the channel coherence time by a</w:t>
      </w:r>
      <w:r>
        <w:t xml:space="preserve"> </w:t>
      </w:r>
      <w:r>
        <w:t xml:space="preserve">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1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the real 5G NR LDPC decoder in Sionna </w:t>
      </w:r>
      <w:r>
        <w:t xml:space="preserve"> </w:t>
      </w:r>
      <w:r>
        <w:t xml:space="preserve">as the</w:t>
      </w:r>
      <w:r>
        <w:t xml:space="preserve"> </w:t>
      </w:r>
      <w:r>
        <w:t xml:space="preserve">error witness. For each MCS we first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a block-error curve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decoding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coded blocks per SNR point (grid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 dB,</w:t>
      </w:r>
      <w:r>
        <w:t xml:space="preserve"> </w:t>
      </w:r>
      <m:oMath>
        <m:r>
          <m:t>2</m:t>
        </m:r>
      </m:oMath>
      <w:r>
        <w:t xml:space="preserve"> dB spacing) over</w:t>
      </w:r>
      <w:r>
        <w:t xml:space="preserve"> </w:t>
      </w:r>
      <w:r>
        <w:t xml:space="preserve">AWGN. The time-domain link then drives a per-TTI SNR trace through a 3GPP TR38.901 TDL-A</w:t>
      </w:r>
      <w:r>
        <w:t xml:space="preserve"> </w:t>
      </w:r>
      <w:r>
        <w:t xml:space="preserve">channel (carrier</w:t>
      </w:r>
      <w:r>
        <w:t xml:space="preserve"> </w:t>
      </w:r>
      <m:oMath>
        <m:r>
          <m:t>3.5</m:t>
        </m:r>
      </m:oMath>
      <w:r>
        <w:t xml:space="preserve"> GHz, delay spread</w:t>
      </w:r>
      <w:r>
        <w:t xml:space="preserve"> </w:t>
      </w:r>
      <m:oMath>
        <m:r>
          <m:t>30</m:t>
        </m:r>
      </m:oMath>
      <w:r>
        <w:t xml:space="preserve"> ns) and, at each TTI, resolves the HARQ</w:t>
      </w:r>
      <w:r>
        <w:t xml:space="preserve"> </w:t>
      </w:r>
      <w:r>
        <w:t xml:space="preserve">outcome of the selected MCS from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 the instantaneous SNR—a standard</w:t>
      </w:r>
      <w:r>
        <w:t xml:space="preserve"> </w:t>
      </w:r>
      <w:r>
        <w:t xml:space="preserve">link-to-system mapping built on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LDPC curves, not a fabricated formula.</w:t>
      </w:r>
      <w:r>
        <w:t xml:space="preserve"> </w:t>
      </w:r>
      <w:r>
        <w:t xml:space="preserve">The MCS set is the 3GPP NR table (TS 38.214 Table 5.1.3.1-1; QPSK–64-QAM, code rates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Table </w:t>
      </w:r>
      <w:hyperlink w:anchor="tab:para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</w:t>
      </w:r>
    </w:p>
    <w:p>
      <w:pPr>
        <w:pStyle w:val="BodyText"/>
      </w:pPr>
      <w:r>
        <w:rPr>
          <w:b/>
          <w:bCs/>
        </w:rPr>
        <w:t xml:space="preserve">System model.</w:t>
      </w:r>
      <w:r>
        <w:t xml:space="preserve"> </w:t>
      </w:r>
      <w:r>
        <w:t xml:space="preserve">Let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(dB) be the true SNR at TTI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the CSI-reported estimate: for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CSI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 dB; for a report</w:t>
      </w:r>
      <w:r>
        <w:t xml:space="preserve"> </w:t>
      </w:r>
      <w:r>
        <w:rPr>
          <w:i/>
          <w:iCs/>
        </w:rPr>
        <w:t xml:space="preserve">held</w:t>
      </w:r>
      <w:r>
        <w:t xml:space="preserve"> </w:t>
      </w:r>
      <w:r>
        <w:t xml:space="preserve">with period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⌊</m:t>
            </m:r>
            <m:r>
              <m:t>t</m:t>
            </m:r>
            <m:r>
              <m:rPr>
                <m:sty m:val="p"/>
              </m:rPr>
              <m:t>/</m:t>
            </m:r>
            <m:r>
              <m:t>P</m:t>
            </m:r>
            <m:r>
              <m:rPr>
                <m:sty m:val="p"/>
              </m:rPr>
              <m:t>⌋</m:t>
            </m:r>
          </m:e>
        </m:d>
      </m:oMath>
      <w:r>
        <w:t xml:space="preserve">, so the estimate ages. Let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be the measured LDPC error probability of MCS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γ</m:t>
        </m:r>
        <m:r>
          <m:rPr>
            <m:sty m:val="p"/>
          </m:rPr>
          <m:t>: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 </w:t>
      </w:r>
      <w:r>
        <w:t xml:space="preserve">its required SNR at target</w:t>
      </w:r>
      <w:r>
        <w:t xml:space="preserve"> </w:t>
      </w:r>
      <m:oMath>
        <m:r>
          <m:t>β</m:t>
        </m:r>
      </m:oMath>
      <w:r>
        <w:t xml:space="preserve">. The</w:t>
      </w:r>
      <w:r>
        <w:t xml:space="preserve"> </w:t>
      </w:r>
      <w:r>
        <w:t xml:space="preserve">AMC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selects, using a</w:t>
      </w:r>
      <w:r>
        <w:t xml:space="preserve"> </w:t>
      </w:r>
      <w:r>
        <w:rPr>
          <w:i/>
          <w:iCs/>
        </w:rPr>
        <w:t xml:space="preserve">fixed reference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 backoff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M</m:t>
          </m:r>
          <m:r>
            <m:rPr>
              <m:sty m:val="p"/>
            </m:rPr>
            <m:t>: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rPr>
              <m:sty m:val="p"/>
            </m:rPr>
            <m:t>≤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nor/>
              <m:sty m:val="p"/>
            </m:rPr>
            <m:t>(naive)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rPr>
          <w:i/>
          <w:iCs/>
        </w:rPr>
        <w:t xml:space="preserve">operating point</w:t>
      </w:r>
      <w:r>
        <w:t xml:space="preserve"> </w:t>
      </w:r>
      <w:r>
        <w:t xml:space="preserve">is set by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but the outcome is</w:t>
      </w:r>
      <w:r>
        <w:t xml:space="preserve"> </w:t>
      </w:r>
      <w:r>
        <w:rPr>
          <w:i/>
          <w:iCs/>
        </w:rPr>
        <w:t xml:space="preserve">judged</w:t>
      </w:r>
      <w:r>
        <w:t xml:space="preserve"> </w:t>
      </w:r>
      <w:r>
        <w:t xml:space="preserve">by the</w:t>
      </w:r>
      <w:r>
        <w:t xml:space="preserve"> </w:t>
      </w:r>
      <w:r>
        <w:t xml:space="preserve">consumer’s target</w:t>
      </w:r>
      <w:r>
        <w:t xml:space="preserve"> </w:t>
      </w:r>
      <m:oMath>
        <m:r>
          <m:t>β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</w:t>
      </w:r>
      <w:r>
        <w:t xml:space="preserve"> </w:t>
      </w:r>
      <m:oMath>
        <m:r>
          <m:t>β</m:t>
        </m:r>
      </m:oMath>
      <w:r>
        <w:t xml:space="preserve">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HARQ</w:t>
      </w:r>
      <w:r>
        <w:t xml:space="preserve"> </w:t>
      </w:r>
      <w:r>
        <w:t xml:space="preserve">outcome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sSup>
                  <m:e>
                    <m:r>
                      <m:t>m</m:t>
                    </m:r>
                  </m:e>
                  <m:sup>
                    <m:r>
                      <m:rPr>
                        <m:sty m:val="p"/>
                      </m:rPr>
                      <m:t>⋆</m:t>
                    </m:r>
                  </m:sup>
                </m:sSup>
              </m:sub>
            </m:sSub>
            <m:r>
              <m:rPr>
                <m:sty m:val="p"/>
              </m:rPr>
              <m:t>(</m:t>
            </m:r>
            <m:r>
              <m:t>γ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</m:oMath>
      <w:r>
        <w:t xml:space="preserve">. A</w:t>
      </w:r>
      <w:r>
        <w:t xml:space="preserve"> </w:t>
      </w:r>
      <w:r>
        <w:t xml:space="preserve">false-clear is a cleared MCS the channel cannot support at</w:t>
      </w:r>
      <w:r>
        <w:t xml:space="preserve"> </w:t>
      </w:r>
      <m:oMath>
        <m:r>
          <m:t>β</m:t>
        </m:r>
      </m:oMath>
      <w:r>
        <w:t xml:space="preserve">, i.e. </w:t>
      </w:r>
      <m:oMath>
        <m:sSub>
          <m:e>
            <m:r>
              <m:t>ρ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We report two estimators of its rate. For the refresh</w:t>
      </w:r>
      <w:r>
        <w:t xml:space="preserve"> </w:t>
      </w:r>
      <w:r>
        <w:t xml:space="preserve">study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the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HARQ NACK rate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the outer loop consumes; for the reliability-target study 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TTI cannot resolve empirically,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sSup>
                  <m:e>
                    <m:r>
                      <m:t>m</m:t>
                    </m:r>
                  </m:e>
                  <m:sup>
                    <m:r>
                      <m:rPr>
                        <m:sty m:val="p"/>
                      </m:rPr>
                      <m:t>⋆</m:t>
                    </m:r>
                  </m:sup>
                </m:sSup>
              </m:sub>
            </m:sSub>
          </m:e>
        </m:nary>
        <m:r>
          <m:rPr>
            <m:sty m:val="p"/>
          </m:rPr>
          <m:t>(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read against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hyperlink w:anchor="eq:cert">
        <w:r>
          <w:rPr>
            <w:rStyle w:val="Hyperlink"/>
          </w:rPr>
          <w:t xml:space="preserve">[eq:cert]</w:t>
        </w:r>
      </w:hyperlink>
      <w:r>
        <w:t xml:space="preserve"> </w:t>
      </w:r>
      <w:r>
        <w:t xml:space="preserve">fixes the operating point at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while the verdict uses</w:t>
      </w:r>
      <w:r>
        <w:t xml:space="preserve"> </w:t>
      </w:r>
      <m:oMath>
        <m:r>
          <m:t>β</m:t>
        </m:r>
      </m:oMath>
      <w:r>
        <w:t xml:space="preserve">, one trace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yields different results for the eMBB</w:t>
      </w:r>
      <w:r>
        <w:t xml:space="preserve"> </w:t>
      </w:r>
      <w:r>
        <w:t xml:space="preserve">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consumers—the consumer-relativity we</w:t>
      </w:r>
      <w:r>
        <w:t xml:space="preserve"> </w:t>
      </w:r>
      <w:r>
        <w:t xml:space="preserve">measure.</w:t>
      </w:r>
    </w:p>
    <w:p>
      <w:pPr>
        <w:pStyle w:val="BodyText"/>
      </w:pPr>
      <w:r>
        <w:rPr>
          <w:b/>
          <w:bCs/>
        </w:rPr>
        <w:t xml:space="preserve">URLLC-aware policy.</w:t>
      </w:r>
      <w:r>
        <w:t xml:space="preserve"> </w:t>
      </w:r>
      <w:r>
        <w:t xml:space="preserve">It raises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(a conservative MCS)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combines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diversity branches: a backoff alone cannot reach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since a single</w:t>
      </w:r>
      <w:r>
        <w:t xml:space="preserve"> </w:t>
      </w:r>
      <w:r>
        <w:t xml:space="preserve">Rayleigh branch has a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deep-fade outage floor regardless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The</w:t>
      </w:r>
      <w:r>
        <w:t xml:space="preserve"> </w:t>
      </w:r>
      <w:r>
        <w:t xml:space="preserve">branches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TDL-A realizations (distinct seeds;</w:t>
      </w:r>
      <w:r>
        <w:t xml:space="preserve"> </w:t>
      </w:r>
      <w:r>
        <w:t xml:space="preserve">frequency/spatial replicas, not retransmissions), and a block fails only if all fail,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nary>
              <m:naryPr>
                <m:chr m:val="∏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K</m:t>
                </m:r>
              </m:sup>
              <m:e>
                <m:sSub>
                  <m:e>
                    <m:r>
                      <m:t>e</m:t>
                    </m:r>
                  </m:e>
                  <m:sub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⋆</m:t>
                        </m:r>
                      </m:sup>
                    </m:sSup>
                  </m:sub>
                </m:sSub>
              </m:e>
            </m:nary>
          </m:e>
        </m:nary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best case</w:t>
      </w:r>
      <w:r>
        <w:t xml:space="preserve">: independent branches lower-bound the joint outage, so</w:t>
      </w:r>
      <w:r>
        <w:t xml:space="preserve"> </w:t>
      </w:r>
      <w:r>
        <w:t xml:space="preserve">correlated diversity raises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</m:oMath>
      <w:r>
        <w:t xml:space="preserve"> </w:t>
      </w:r>
      <w:r>
        <w:t xml:space="preserve">and the true cost of URLLC</w:t>
      </w:r>
      <w:r>
        <w:t xml:space="preserve"> </w:t>
      </w:r>
      <w:r>
        <w:t xml:space="preserve">safety is at least what we report.</w:t>
      </w:r>
    </w:p>
    <w:p>
      <w:pPr>
        <w:pStyle w:val="BodyText"/>
      </w:pPr>
      <w:r>
        <w:rPr>
          <w:b/>
          <w:bCs/>
        </w:rPr>
        <w:t xml:space="preserve">OLLA.</w:t>
      </w:r>
      <w:r>
        <w:t xml:space="preserve"> </w:t>
      </w:r>
      <w:r>
        <w:t xml:space="preserve">The witnessed correction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distrusts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r>
        <w:t xml:space="preserve">selects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updating the offset asymmetrically from HARQ feedback,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↑</m:t>
              </m:r>
            </m:sub>
          </m:sSub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ACK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↓</m:t>
              </m:r>
            </m:sub>
          </m:sSub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NACK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up-step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↑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 dB and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↓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rPr>
                <m:sty m:val="p"/>
              </m:rPr>
              <m:t>↑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β</m:t>
        </m:r>
      </m:oMath>
      <w:r>
        <w:t xml:space="preserve">,</w:t>
      </w:r>
      <w:r>
        <w:t xml:space="preserve"> </w:t>
      </w:r>
      <w:r>
        <w:t xml:space="preserve">so the equilibrium NACK rate is</w:t>
      </w:r>
      <w:r>
        <w:t xml:space="preserve"> </w:t>
      </w:r>
      <m:oMath>
        <m:r>
          <m:t>β</m:t>
        </m:r>
      </m:oMath>
      <w:r>
        <w:t xml:space="preserve">. For held CSI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:</m:t>
        </m:r>
        <m:acc>
          <m:accPr>
            <m:chr m:val="̂"/>
          </m:acc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</w:t>
      </w:r>
      <w:r>
        <w:t xml:space="preserve"> </w:t>
      </w:r>
      <w:r>
        <w:t xml:space="preserve">(Table </w:t>
      </w:r>
      <w:hyperlink w:anchor="tab:results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10" w:name="tab:params"/>
    <w:p>
      <w:pPr>
        <w:pStyle w:val="TableCaption"/>
      </w:pPr>
      <w:r>
        <w:t xml:space="preserve">Link-level parameters (sealed cells)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nk-level parameters (sealed cell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frequency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3.5</m:t>
              </m:r>
            </m:oMath>
            <w:r>
              <w:t xml:space="preserve"> GHz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TTI duration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3GPP TR38.901 TDL-A, DS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 ns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SNR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Decoder /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Sionna 5G NR LDPC (real decode)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TS 38.214 Tbl 5.1.3.1-1 (QPSK–64QAM)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BLER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blocks/pt, SNR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–</w:t>
            </w:r>
            <m:oMath>
              <m:r>
                <m:t>28</m:t>
              </m:r>
            </m:oMath>
            <w:r>
              <w:t xml:space="preserve"> dB @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CQI report noise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length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6000</m:t>
              </m:r>
            </m:oMath>
            <w:r>
              <w:t xml:space="preserve"> </w:t>
            </w:r>
            <w:r>
              <w:t xml:space="preserve">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eMBB / URLLC target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URLLC-aware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MCS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 step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↑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</m:t>
              </m:r>
            </m:oMath>
            <w:r>
              <w:t xml:space="preserve"> dB (</w:t>
            </w:r>
            <m:oMath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↓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 dB)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aging Doppler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200</m:t>
              </m:r>
            </m:oMath>
            <w:r>
              <w:t xml:space="preserve"> Hz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r>
                <m:t>2.1</m:t>
              </m:r>
            </m:oMath>
            <w:r>
              <w:t xml:space="preserve"> ms,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m:oMath>
              <m:r>
                <m:t>62</m:t>
              </m:r>
            </m:oMath>
            <w:r>
              <w:t xml:space="preserve"> km/h)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Refresh sweep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10</m:t>
              </m:r>
            </m:oMath>
            <w:r>
              <w:t xml:space="preserve">–</w:t>
            </w:r>
            <m:oMath>
              <m:r>
                <m:t>400</m:t>
              </m:r>
            </m:oMath>
            <w:r>
              <w:t xml:space="preserve"> Hz</w:t>
            </w:r>
          </w:p>
        </w:tc>
      </w:tr>
    </w:tbl>
    <w:bookmarkEnd w:id="10"/>
    <w:bookmarkEnd w:id="11"/>
    <w:bookmarkStart w:id="20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the sealed result (three graded seeds,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TTI,</w:t>
      </w:r>
      <w:r>
        <w:t xml:space="preserve"> </w:t>
      </w:r>
      <w:r>
        <w:t xml:space="preserve">fresh CSI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 dB report noise; expected-rate estimator).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 conservative MCS backoff combined with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independent diversity branches of Sec.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(a backoff alone cannot reach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one branch)—achieves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comfortably within target, at the cost of the backoff’s spectral efficiency and the</w:t>
      </w:r>
      <w:r>
        <w:t xml:space="preserve"> </w:t>
      </w:r>
      <w:r>
        <w:t xml:space="preserve">diversity’s resource overhead. No single certificate is</w:t>
      </w:r>
      <w:r>
        <w:t xml:space="preserve"> </w:t>
      </w:r>
      <w:r>
        <w:rPr>
          <w:i/>
          <w:iCs/>
        </w:rPr>
        <w:t xml:space="preserve">efficient</w:t>
      </w:r>
      <w:r>
        <w:t xml:space="preserve"> </w:t>
      </w:r>
      <w:r>
        <w:t xml:space="preserve">for both: the</w:t>
      </w:r>
      <w:r>
        <w:t xml:space="preserve"> </w:t>
      </w:r>
      <w:r>
        <w:t xml:space="preserve">one that is sound for eMBB false-clears for URLLC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, and the one that is</w:t>
      </w:r>
      <w:r>
        <w:t xml:space="preserve"> </w:t>
      </w:r>
      <w:r>
        <w:t xml:space="preserve">sound for URLLC over-provisions eMBB. The false-clear rate is the number that prices the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The relativity is not an artifact of the operating point.</w:t>
      </w:r>
      <w:r>
        <w:t xml:space="preserve"> </w:t>
      </w:r>
      <w:r>
        <w:t xml:space="preserve">Sweeping the mean SNR</w:t>
      </w:r>
      <w:r>
        <w:t xml:space="preserve"> </w:t>
      </w:r>
      <w:r>
        <w:t xml:space="preserve">from cell edge to cell centre (</w:t>
      </w:r>
      <m:oMath>
        <m:r>
          <m:t>3</m:t>
        </m:r>
      </m:oMath>
      <w:r>
        <w:t xml:space="preserve">–</w:t>
      </w:r>
      <m:oMath>
        <m:r>
          <m:t>21</m:t>
        </m:r>
      </m:oMath>
      <w:r>
        <w:t xml:space="preserve"> dB; a separately sealed cell, three graded</w:t>
      </w:r>
      <w:r>
        <w:t xml:space="preserve"> </w:t>
      </w:r>
      <w:r>
        <w:t xml:space="preserve">seeds) shows the target gap is a structural property of AMC, not of one SNR</w:t>
      </w:r>
      <w:r>
        <w:t xml:space="preserve"> </w:t>
      </w:r>
      <w:r>
        <w:t xml:space="preserve">(Fig. </w:t>
      </w:r>
      <w:hyperlink w:anchor="fig:snr">
        <w:r>
          <w:rPr>
            <w:rStyle w:val="Hyperlink"/>
          </w:rPr>
          <w:t xml:space="preserve">1</w:t>
        </w:r>
      </w:hyperlink>
      <w:r>
        <w:t xml:space="preserve">): because the certificate always selects the MCS that rides the eMBB</w:t>
      </w:r>
      <w:r>
        <w:t xml:space="preserve"> </w:t>
      </w:r>
      <w:r>
        <w:t xml:space="preserve">target, the URLLC consumer reads a false-clear of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0.14</m:t>
        </m:r>
      </m:oMath>
      <w:r>
        <w:t xml:space="preserve"> </w:t>
      </w:r>
      <w:r>
        <w:t xml:space="preserve">(</w:t>
      </w:r>
      <m:oMath>
        <m:r>
          <m:t>77</m:t>
        </m:r>
      </m:oMath>
      <w:r>
        <w:t xml:space="preserve">–</w:t>
      </w:r>
      <m:oMath>
        <m:r>
          <m:t>142</m:t>
        </m:r>
        <m:r>
          <m:rPr>
            <m:sty m:val="p"/>
          </m:rPr>
          <m:t>×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target)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in-range SNR (</w:t>
      </w:r>
      <m:oMath>
        <m:r>
          <m:t>9</m:t>
        </m:r>
      </m:oMath>
      <w:r>
        <w:t xml:space="preserve">–</w:t>
      </w:r>
      <m:oMath>
        <m:r>
          <m:t>18</m:t>
        </m:r>
      </m:oMath>
      <w:r>
        <w:t xml:space="preserve"> dB), and still</w:t>
      </w:r>
      <w:r>
        <w:t xml:space="preserve"> </w:t>
      </w:r>
      <m:oMath>
        <m:r>
          <m:t>54</m:t>
        </m:r>
        <m:r>
          <m:rPr>
            <m:sty m:val="p"/>
          </m:rPr>
          <m:t>×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21</m:t>
        </m:r>
      </m:oMath>
      <w:r>
        <w:t xml:space="preserve"> dB</w:t>
      </w:r>
      <w:r>
        <w:t xml:space="preserve"> </w:t>
      </w:r>
      <w:r>
        <w:t xml:space="preserve">where the MCS set saturates. The target-aware certificate holds URLLC across the range.</w:t>
      </w:r>
      <w:r>
        <w:t xml:space="preserve"> </w:t>
      </w:r>
      <w:r>
        <w:t xml:space="preserve">At cell edge the relativity compounds: below</w:t>
      </w:r>
      <w:r>
        <w:t xml:space="preserve"> </w:t>
      </w:r>
      <m:oMath>
        <m:r>
          <m:rPr>
            <m:sty m:val="p"/>
          </m:rPr>
          <m:t>≈</m:t>
        </m:r>
        <m:r>
          <m:t>6</m:t>
        </m:r>
      </m:oMath>
      <w:r>
        <w:t xml:space="preserve"> dB even the lowest MCS cannot</w:t>
      </w:r>
      <w:r>
        <w:t xml:space="preserve"> </w:t>
      </w:r>
      <w:r>
        <w:t xml:space="preserve">meet the eMBB target and the certificate false-clears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consumer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3</m:t>
        </m:r>
      </m:oMath>
      <w:r>
        <w:t xml:space="preserve"> dB 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)—margin cannot fix a</w:t>
      </w:r>
      <w:r>
        <w:t xml:space="preserve"> </w:t>
      </w:r>
      <w:r>
        <w:t xml:space="preserve">certificate whose weakest format is already too fast.</w:t>
      </w:r>
    </w:p>
    <w:bookmarkStart w:id="15" w:name="fig:snr"/>
    <w:p>
      <w:pPr>
        <w:pStyle w:val="CaptionedFigure"/>
      </w:pPr>
      <w:r>
        <w:drawing>
          <wp:inline>
            <wp:extent cx="3146881" cy="250466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snr_robustnes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881" cy="2504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SNR-robustness of the target relativity (real NR, Sionna LDPC; sealed sweep,</w:t>
      </w:r>
      <w:r>
        <w:t xml:space="preserve"> </w:t>
      </w:r>
      <w:r>
        <w:t xml:space="preserve">3 seeds, whiskers min–max). The naive certificate rides the eMBB target, so the URLLC</w:t>
      </w:r>
      <w:r>
        <w:t xml:space="preserve"> </w:t>
      </w:r>
      <w:r>
        <w:t xml:space="preserve">consumer reads a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false-clear at every in-range SNR; below</w:t>
      </w:r>
      <w:r>
        <w:t xml:space="preserve"> </w:t>
      </w:r>
      <m:oMath>
        <m:r>
          <m:rPr>
            <m:sty m:val="p"/>
          </m:rPr>
          <m:t>≈</m:t>
        </m:r>
        <m:r>
          <m:t>6</m:t>
        </m:r>
      </m:oMath>
      <w:r>
        <w:t xml:space="preserve"> dB (shaded) even the eMBB consumer is false-cleared. The target-aware</w:t>
      </w:r>
      <w:r>
        <w:t xml:space="preserve"> </w:t>
      </w:r>
      <w:r>
        <w:t xml:space="preserve">certificate holds URLLC throughout.</w:t>
      </w:r>
    </w:p>
    <w:bookmarkEnd w:id="15"/>
    <w:bookmarkStart w:id="19" w:name="fig:urllc"/>
    <w:p>
      <w:pPr>
        <w:pStyle w:val="CaptionedFigure"/>
      </w:pPr>
      <w:r>
        <w:drawing>
          <wp:inline>
            <wp:extent cx="3146881" cy="250466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urllc_rela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881" cy="2504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3 sealed seeds,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TTI each; bars are means, whiskers</w:t>
      </w:r>
      <w:r>
        <w:t xml:space="preserve"> </w:t>
      </w:r>
      <w:r>
        <w:t xml:space="preserve">min–max). The identical CSI-derived MCS meets the 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</w:t>
      </w:r>
      <w:r>
        <w:t xml:space="preserve"> </w:t>
      </w:r>
      <w:r>
        <w:t xml:space="preserve">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 a target-aware policy</w:t>
      </w:r>
      <w:r>
        <w:t xml:space="preserve"> </w:t>
      </w:r>
      <w:r>
        <w:t xml:space="preserve">(conservative MCS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independent diversity branches) meets URLLC.</w:t>
      </w:r>
    </w:p>
    <w:bookmarkEnd w:id="19"/>
    <w:bookmarkEnd w:id="20"/>
    <w:bookmarkStart w:id="26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Here we use the empirical HARQ NACK rate </w:t>
      </w:r>
      <w:hyperlink w:anchor="eq:fc_emp">
        <w:r>
          <w:rPr>
            <w:rStyle w:val="Hyperlink"/>
          </w:rPr>
          <w:t xml:space="preserve">[eq:fc_emp]</w:t>
        </w:r>
      </w:hyperlink>
      <w:r>
        <w:t xml:space="preserve">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</w:t>
      </w:r>
      <w:r>
        <w:t xml:space="preserve"> </w:t>
      </w:r>
      <w:r>
        <w:t xml:space="preserve">(</w:t>
      </w:r>
      <m:oMath>
        <m:r>
          <m:t>v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62</m:t>
        </m:r>
      </m:oMath>
      <w:r>
        <w:t xml:space="preserve"> km/h at</w:t>
      </w:r>
      <w:r>
        <w:t xml:space="preserve"> </w:t>
      </w:r>
      <m:oMath>
        <m:r>
          <m:t>3.5</m:t>
        </m:r>
      </m:oMath>
      <w:r>
        <w:t xml:space="preserve"> GHz) with a</w:t>
      </w:r>
      <w:r>
        <w:t xml:space="preserve"> </w:t>
      </w:r>
      <m:oMath>
        <m:r>
          <m:t>20</m:t>
        </m:r>
      </m:oMath>
      <w:r>
        <w:t xml:space="preserve">-TTI report period, the aged estimate</w:t>
      </w:r>
      <w:r>
        <w:t xml:space="preserve"> </w:t>
      </w:r>
      <w:r>
        <w:t xml:space="preserve">has a mean absolute error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5.7</m:t>
        </m:r>
      </m:oMath>
      <w:r>
        <w:t xml:space="preserve"> dB</w:t>
      </w:r>
      <w:r>
        <w:t xml:space="preserve"> </w:t>
      </w:r>
      <w:r>
        <w:t xml:space="preserve">(aging-dominated; report noise contributes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1 dB), and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 </w:t>
      </w:r>
      <w:hyperlink w:anchor="eq:olla">
        <w:r>
          <w:rPr>
            <w:rStyle w:val="Hyperlink"/>
          </w:rPr>
          <w:t xml:space="preserve">[eq:olla]</w:t>
        </w:r>
      </w:hyperlink>
      <w:r>
        <w:t xml:space="preserve">, the deployed</w:t>
      </w:r>
      <w:r>
        <w:t xml:space="preserve"> </w:t>
      </w:r>
      <w:r>
        <w:t xml:space="preserve">HARQ-witnessed correction,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3</w:t>
        </w:r>
      </w:hyperlink>
      <w:r>
        <w:t xml:space="preserve">(a) shows</w:t>
      </w:r>
      <w:r>
        <w:t xml:space="preserve"> </w:t>
      </w:r>
      <w:r>
        <w:t xml:space="preserve">the aging across mobility).</w:t>
      </w:r>
    </w:p>
    <w:p>
      <w:pPr>
        <w:pStyle w:val="BodyText"/>
      </w:pPr>
      <w:r>
        <w:t xml:space="preserve">The operational question is how often to refresh. We sweep Doppler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}</m:t>
        </m:r>
      </m:oMath>
      <w:r>
        <w:t xml:space="preserve"> Hz 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t>1</m:t>
        </m:r>
      </m:oMath>
      <w:r>
        <w:t xml:space="preserve"> ms, an</w:t>
      </w:r>
      <w:r>
        <w:t xml:space="preserve"> </w:t>
      </w:r>
      <w:r>
        <w:t xml:space="preserve">order of magnitude) and report period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}</m:t>
        </m:r>
      </m:oMath>
      <w:r>
        <w:t xml:space="preserve"> </w:t>
      </w:r>
      <w:r>
        <w:t xml:space="preserve">TTI, define the</w:t>
      </w:r>
      <w:r>
        <w:t xml:space="preserve"> </w:t>
      </w:r>
      <w:r>
        <w:rPr>
          <w:i/>
          <w:iCs/>
        </w:rPr>
        <w:t xml:space="preserve">refresh</w:t>
      </w:r>
      <w:r>
        <w:rPr>
          <w:i/>
          <w:iCs/>
        </w:rPr>
        <w:t xml:space="preserve"> </w:t>
      </w:r>
      <w:r>
        <w:rPr>
          <w:i/>
          <w:iCs/>
        </w:rPr>
        <w:t xml:space="preserve">floor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largest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keeping BLER at target, and fit it by</w:t>
      </w:r>
      <w:r>
        <w:t xml:space="preserve"> </w:t>
      </w:r>
      <w:r>
        <w:t xml:space="preserve">least-squares</w:t>
      </w:r>
      <w:r>
        <w:t xml:space="preserve"> </w:t>
      </w:r>
      <w:r>
        <w:rPr>
          <w:i/>
          <w:iCs/>
        </w:rPr>
        <w:t xml:space="preserve">through the origin</w:t>
      </w:r>
      <w:r>
        <w:t xml:space="preserve"> </w:t>
      </w:r>
      <w:r>
        <w:t xml:space="preserve">(linear, not log-log) against the Clarke</w:t>
      </w:r>
      <w:r>
        <w:t xml:space="preserve"> </w:t>
      </w:r>
      <w:r>
        <w:t xml:space="preserve">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</m:oMath>
      </m:oMathPara>
    </w:p>
    <w:p>
      <w:pPr>
        <w:pStyle w:val="FirstParagraph"/>
      </w:pPr>
      <w:r>
        <w:t xml:space="preserve">(Fig. </w:t>
      </w:r>
      <w:hyperlink w:anchor="fig:refresh">
        <w:r>
          <w:rPr>
            <w:rStyle w:val="Hyperlink"/>
          </w:rPr>
          <w:t xml:space="preserve">3</w:t>
        </w:r>
      </w:hyperlink>
      <w:r>
        <w:t xml:space="preserve">(b)). The fit is dominated by the low-mobility points; at high</w:t>
      </w:r>
      <w:r>
        <w:t xml:space="preserve"> </w:t>
      </w:r>
      <w:r>
        <w:t xml:space="preserve">Doppler the floor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at the minimum report period (</w:t>
      </w:r>
      <m:oMath>
        <m:r>
          <m:t>1</m:t>
        </m:r>
      </m:oMath>
      <w:r>
        <w:t xml:space="preserve"> </w:t>
      </w:r>
      <w:r>
        <w:t xml:space="preserve">TTI, the dotted</w:t>
      </w:r>
      <w:r>
        <w:t xml:space="preserve"> </w:t>
      </w:r>
      <w:r>
        <w:t xml:space="preserve">line in Fig. </w:t>
      </w:r>
      <w:hyperlink w:anchor="fig:refresh">
        <w:r>
          <w:rPr>
            <w:rStyle w:val="Hyperlink"/>
          </w:rPr>
          <w:t xml:space="preserve">3</w:t>
        </w:r>
      </w:hyperlink>
      <w:r>
        <w:t xml:space="preserve">(b)). This saturation is operationally decisive: above a</w:t>
      </w:r>
      <w:r>
        <w:t xml:space="preserve"> </w:t>
      </w:r>
      <w:r>
        <w:t xml:space="preserve">mobility threshold (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≳</m:t>
        </m:r>
        <m:r>
          <m:t>200</m:t>
        </m:r>
      </m:oMath>
      <w:r>
        <w:t xml:space="preserve"> Hz here)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reporting cadence the frame</w:t>
      </w:r>
      <w:r>
        <w:t xml:space="preserve"> </w:t>
      </w:r>
      <w:r>
        <w:t xml:space="preserve">permits keeps the naive certificate at target, so a HARQ-witnessed correction (OLLA)</w:t>
      </w:r>
      <w:r>
        <w:t xml:space="preserve"> </w:t>
      </w:r>
      <w:r>
        <w:t xml:space="preserve">stops being optional and becomes mandatory. Below it,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is a concrete</w:t>
      </w:r>
      <w:r>
        <w:t xml:space="preserve"> </w:t>
      </w:r>
      <w:r>
        <w:t xml:space="preserve">provisioning rule: re-report before 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24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fresh_floo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24"/>
    <w:bookmarkStart w:id="25" w:name="tab:results"/>
    <w:p>
      <w:pPr>
        <w:pStyle w:val="TableCaption"/>
      </w:pPr>
      <w:r>
        <w:t xml:space="preserve">Sealed per-seed results (achieved BLER)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aled per-seed results (achieved BLE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(a) Reliability target</w:t>
            </w:r>
            <w:r>
              <w:t xml:space="preserve"> </w:t>
            </w:r>
            <w:r>
              <w:t xml:space="preserve">(§</w:t>
            </w:r>
            <w:hyperlink w:anchor="sec:urllc">
              <w:r>
                <w:rPr>
                  <w:rStyle w:val="Hyperlink"/>
                </w:rPr>
                <w:t xml:space="preserve">3</w:t>
              </w:r>
            </w:hyperlink>
            <w:r>
              <w:t xml:space="preserve">), fresh CSI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URLLC-aware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(b) Refresh horizon</w:t>
            </w:r>
            <w:r>
              <w:t xml:space="preserve"> </w:t>
            </w:r>
            <w:r>
              <w:t xml:space="preserve">(§</w:t>
            </w:r>
            <w:hyperlink w:anchor="sec:refresh">
              <w:r>
                <w:rPr>
                  <w:rStyle w:val="Hyperlink"/>
                </w:rPr>
                <w:t xml:space="preserve">4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 Hz,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-TTI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CQI 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0.366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5.61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5.86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0.373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5.76</m:t>
              </m:r>
            </m:oMath>
            <w:r>
              <w:t xml:space="preserve"> dB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Seed IDs are campaign date-stamps.</w:t>
            </w:r>
            <w:r>
              <w:t xml:space="preserve"> </w:t>
            </w:r>
            <w:r>
              <w:t xml:space="preserve">(a) expected rate; (b) empirical NACK rate.</w:t>
            </w:r>
          </w:p>
        </w:tc>
      </w:tr>
    </w:tbl>
    <w:bookmarkEnd w:id="25"/>
    <w:bookmarkEnd w:id="26"/>
    <w:bookmarkStart w:id="27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Current practice configures CQI</w:t>
      </w:r>
      <w:r>
        <w:t xml:space="preserve"> </w:t>
      </w:r>
      <w:r>
        <w:t xml:space="preserve">reporting on a fixed periodicity </w:t>
      </w:r>
      <w:r>
        <w:t xml:space="preserve">; our refresh floor recasts that period</w:t>
      </w:r>
      <w:r>
        <w:t xml:space="preserve"> </w:t>
      </w:r>
      <w:r>
        <w:t xml:space="preserve">as a coherence-time budget (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)—a mobility-adaptive rule</w:t>
      </w:r>
      <w:r>
        <w:t xml:space="preserve"> </w:t>
      </w:r>
      <w:r>
        <w:t xml:space="preserve">rather than a fixed calendar. Learned CSI feedback trained on reconstruction</w:t>
      </w:r>
      <w:r>
        <w:t xml:space="preserve"> </w:t>
      </w:r>
      <w:r>
        <w:t xml:space="preserve">error </w:t>
      </w:r>
      <w:r>
        <w:t xml:space="preserve"> </w:t>
      </w:r>
      <w:r>
        <w:t xml:space="preserve">is an active direction; we note only that the reconstruction-versus-</w:t>
      </w:r>
      <w:r>
        <w:t xml:space="preserve"> </w:t>
      </w:r>
      <w:r>
        <w:t xml:space="preserve">consumer objective gap it might imply did not appear at practical operating points in our</w:t>
      </w:r>
      <w:r>
        <w:t xml:space="preserve"> </w:t>
      </w:r>
      <w:r>
        <w:t xml:space="preserve">controlled tests, and we make no claim on it here. Our contribution is orthogonal: not a</w:t>
      </w:r>
      <w:r>
        <w:t xml:space="preserve"> </w:t>
      </w:r>
      <w:r>
        <w:t xml:space="preserve">better estimator, scheduler, or offset 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</w:t>
      </w:r>
      <w:r>
        <w:t xml:space="preserve"> </w:t>
      </w:r>
      <w:r>
        <w:t xml:space="preserve">rate as a first-class, consumer-relative KPI—and the two relativities and the refresh</w:t>
      </w:r>
      <w:r>
        <w:t xml:space="preserve"> </w:t>
      </w:r>
      <w:r>
        <w:t xml:space="preserve">law it exposes.</w:t>
      </w:r>
    </w:p>
    <w:bookmarkEnd w:id="27"/>
    <w:bookmarkStart w:id="29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evidence is one TDL-A profile (DS</w:t>
      </w:r>
      <w:r>
        <w:t xml:space="preserve"> </w:t>
      </w:r>
      <m:oMath>
        <m:r>
          <m:t>30</m:t>
        </m:r>
      </m:oMath>
      <w:r>
        <w:t xml:space="preserve"> ns), an MCS set to 64-QAM,</w:t>
      </w:r>
      <w:r>
        <w:t xml:space="preserve"> </w:t>
      </w:r>
      <w:r>
        <w:t xml:space="preserve">and—for the target axis—one mobility; the refresh law is fit across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400</m:t>
        </m:r>
      </m:oMath>
      <w:r>
        <w:t xml:space="preserve"> Hz and the target relativity is measured across mean SNR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21</m:t>
        </m:r>
      </m:oMath>
      <w:r>
        <w:t xml:space="preserve"> dB (Fig. </w:t>
      </w:r>
      <w:hyperlink w:anchor="fig:snr">
        <w:r>
          <w:rPr>
            <w:rStyle w:val="Hyperlink"/>
          </w:rPr>
          <w:t xml:space="preserve">1</w:t>
        </w:r>
      </w:hyperlink>
      <w:r>
        <w:t xml:space="preserve">), including the cell-edge regime where the naive</w:t>
      </w:r>
      <w:r>
        <w:t xml:space="preserve"> </w:t>
      </w:r>
      <w:r>
        <w:t xml:space="preserve">certificate false-clears even its own eMBB consumer. The remaining omitted factors point</w:t>
      </w:r>
      <w:r>
        <w:t xml:space="preserve"> </w:t>
      </w:r>
      <w:r>
        <w:t xml:space="preserve">the same way: 256-QAM adds steeper cliffs that deepen the aging penalty, and richer</w:t>
      </w:r>
      <w:r>
        <w:t xml:space="preserve"> </w:t>
      </w:r>
      <w:r>
        <w:t xml:space="preserve">profiles or correlated diversity raise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</m:oMath>
      <w:r>
        <w:t xml:space="preserve">—each increases,</w:t>
      </w:r>
      <w:r>
        <w:t xml:space="preserve"> </w:t>
      </w:r>
      <w:r>
        <w:t xml:space="preserve">not removes, the measured cost. On realization: the measured refresh floor is directly</w:t>
      </w:r>
      <w:r>
        <w:t xml:space="preserve"> </w:t>
      </w:r>
      <w:r>
        <w:t xml:space="preserve">implementable by the event-triggered (relative-threshold) CSI reporting already in</w:t>
      </w:r>
      <w:r>
        <w:t xml:space="preserve"> </w:t>
      </w:r>
      <w:r>
        <w:t xml:space="preserve">NR </w:t>
      </w:r>
      <w:r>
        <w:t xml:space="preserve">, an instance of send-on-delta (Lebesgue) sampling </w:t>
      </w:r>
      <w:r>
        <w:t xml:space="preserve">; in our</w:t>
      </w:r>
      <w:r>
        <w:t xml:space="preserve"> </w:t>
      </w:r>
      <w:r>
        <w:t xml:space="preserve">exploratory runs such a trigger reproduced the floor constant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t>​</m:t>
        </m:r>
        <m:r>
          <m:rPr>
            <m:sty m:val="p"/>
          </m:rPr>
          <m:t>≈</m:t>
        </m:r>
        <m:r>
          <m:t>​</m:t>
        </m:r>
        <m:r>
          <m:t>0.2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), but a sealed confirmation attempt</w:t>
      </w:r>
      <w:r>
        <w:t xml:space="preserve"> </w:t>
      </w:r>
      <w:r>
        <w:t xml:space="preserve">returned VOID on a control-sanity check at very low Doppler, so we make no sealed claim</w:t>
      </w:r>
      <w:r>
        <w:t xml:space="preserve"> </w:t>
      </w:r>
      <w:r>
        <w:t xml:space="preserve">and credit the mechanism entirely to prior art. The methodology is not</w:t>
      </w:r>
      <w:r>
        <w:t xml:space="preserve"> </w:t>
      </w:r>
      <w:r>
        <w:t xml:space="preserve">radio-specific—the same consumer-relative false-clear appears in optical</w:t>
      </w:r>
      <w:r>
        <w:t xml:space="preserve"> </w:t>
      </w:r>
      <w:r>
        <w:t xml:space="preserve">quality-of-transmission and database replication </w:t>
      </w:r>
      <w:r>
        <w:t xml:space="preserve">—but the results</w:t>
      </w:r>
      <w:r>
        <w:t xml:space="preserve"> </w:t>
      </w:r>
      <w:r>
        <w:t xml:space="preserve">here stand on the 5G NR CSI certificate 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Sarath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47th Veh. Technol. Conf. (VTC)</w:t>
      </w:r>
      <w:r>
        <w:t xml:space="preserve">,</w:t>
      </w:r>
      <w:r>
        <w:t xml:space="preserve"> </w:t>
      </w:r>
      <w:r>
        <w:t xml:space="preserve">vol. 2,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3GPP TS 38.214,</w:t>
      </w:r>
      <w:r>
        <w:t xml:space="preserve"> </w:t>
      </w:r>
      <w:r>
        <w:t xml:space="preserve">“NR; Physical layer procedures for data,”</w:t>
      </w:r>
      <w:r>
        <w:t xml:space="preserve"> </w:t>
      </w:r>
      <w:r>
        <w:t xml:space="preserve">v17,</w:t>
      </w:r>
      <w:r>
        <w:t xml:space="preserve"> </w:t>
      </w:r>
      <w:r>
        <w:t xml:space="preserve">clause 5.2 (CSI/CQI reporting), 2022.</w:t>
      </w:r>
      <w:r>
        <w:t xml:space="preserve"> </w:t>
      </w:r>
      <w:r>
        <w:t xml:space="preserve">M. Miskowicz,</w:t>
      </w:r>
      <w:r>
        <w:t xml:space="preserve"> </w:t>
      </w:r>
      <w:r>
        <w:t xml:space="preserve">“Send-on-delta concept: An event-based data reporting</w:t>
      </w:r>
      <w:r>
        <w:t xml:space="preserve"> </w:t>
      </w:r>
      <w:r>
        <w:t xml:space="preserve">strategy,”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 6, no. 1, pp. 49–63, 2006.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8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28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2026-08-26T15:26:16Z</dcterms:created>
  <dcterms:modified xsi:type="dcterms:W3CDTF">2026-08-26T15:26:16Z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