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widowControl/>
        <w:spacing w:before="0" w:after="60" w:line="240" w:lineRule="auto"/>
        <w:jc w:val="center"/>
      </w:pPr>
      <w:r>
        <w:rPr>
          <w:rFonts w:ascii="Times New Roman" w:hAnsi="Times New Roman" w:eastAsia="Times New Roman"/>
          <w:b/>
          <w:color w:val="000000"/>
          <w:sz w:val="38"/>
        </w:rPr>
        <w:t>Philosophy Engineering and Epistemic SciOps</w:t>
      </w:r>
    </w:p>
    <w:p>
      <w:pPr>
        <w:keepNext/>
        <w:widowControl/>
        <w:spacing w:before="0" w:after="200" w:line="240" w:lineRule="auto"/>
        <w:jc w:val="center"/>
      </w:pPr>
      <w:r>
        <w:rPr>
          <w:rFonts w:ascii="Times New Roman" w:hAnsi="Times New Roman" w:eastAsia="Times New Roman"/>
          <w:i/>
          <w:color w:val="000000"/>
          <w:sz w:val="24"/>
        </w:rPr>
        <w:t>An Architecture for Continuous Auditable Science</w:t>
      </w:r>
    </w:p>
    <w:p>
      <w:pPr>
        <w:keepNext/>
        <w:widowControl/>
        <w:spacing w:before="0" w:after="40" w:line="240" w:lineRule="auto"/>
        <w:jc w:val="center"/>
      </w:pPr>
      <w:r>
        <w:rPr>
          <w:rFonts w:ascii="Times New Roman" w:hAnsi="Times New Roman" w:eastAsia="Times New Roman"/>
          <w:i w:val="0"/>
          <w:color w:val="000000"/>
          <w:sz w:val="22"/>
        </w:rPr>
        <w:t>Andrew H. Bond</w:t>
      </w:r>
    </w:p>
    <w:p>
      <w:pPr>
        <w:keepNext/>
        <w:widowControl/>
        <w:spacing w:before="0" w:after="40" w:line="240" w:lineRule="auto"/>
        <w:jc w:val="center"/>
      </w:pPr>
      <w:r>
        <w:rPr>
          <w:rFonts w:ascii="Times New Roman" w:hAnsi="Times New Roman" w:eastAsia="Times New Roman"/>
          <w:i w:val="0"/>
          <w:color w:val="000000"/>
          <w:sz w:val="20"/>
        </w:rPr>
        <w:t>Department of Computer Engineering, San José State University</w:t>
      </w:r>
    </w:p>
    <w:p>
      <w:pPr>
        <w:keepNext/>
        <w:widowControl/>
        <w:spacing w:before="0" w:after="160" w:line="240" w:lineRule="auto"/>
        <w:jc w:val="center"/>
      </w:pPr>
      <w:r>
        <w:rPr>
          <w:rFonts w:ascii="Times New Roman" w:hAnsi="Times New Roman" w:eastAsia="Times New Roman"/>
          <w:i/>
          <w:color w:val="000000"/>
          <w:sz w:val="20"/>
        </w:rPr>
        <w:t>Draft 0.1, October 2026</w:t>
      </w:r>
    </w:p>
    <w:p>
      <w:pPr>
        <w:keepNext/>
        <w:widowControl/>
        <w:spacing w:before="160" w:after="60" w:line="240" w:lineRule="auto"/>
        <w:jc w:val="center"/>
      </w:pPr>
      <w:r>
        <w:rPr>
          <w:rFonts w:ascii="Arial" w:hAnsi="Arial" w:eastAsia="Arial"/>
          <w:b/>
          <w:color w:val="000000"/>
          <w:sz w:val="21"/>
        </w:rPr>
        <w:t>Abstract</w:t>
      </w:r>
    </w:p>
    <w:p>
      <w:pPr>
        <w:widowControl/>
        <w:spacing w:before="0" w:after="80" w:line="240" w:lineRule="auto"/>
        <w:ind w:left="360" w:right="360"/>
      </w:pPr>
      <w:r>
        <w:rPr>
          <w:rFonts w:ascii="Times New Roman" w:hAnsi="Times New Roman" w:eastAsia="Times New Roman"/>
          <w:color w:val="000000"/>
          <w:sz w:val="18"/>
        </w:rPr>
        <w:t>Scientific reform has improved access to data, code, protocols, and computational environments, but the paper remains the principal unit of scientific production. A paper can preserve a narrative while leaving the theory that produced it implicit, its degrees of freedom unbounded, its claims differently supported, and its response to later evidence unspecified. This paper proposes Philosophy Engineering as the discipline of constructing scientific theories as auditable conceptual systems, and Epistemic SciOps as the operational practice that builds, tests, releases, monitors, and revises those systems. The proposal extends rather than replaces preregistration, Registered Reports, reproducible computing, FAIR data, Research Objects, provenance standards, and existing SciOps. Its additional object is a versioned claim graph in which definitions, assumptions, theorems, empirical hypotheses, measurements, and decisions have explicit dependencies, identification requirements, falsifiers, evidence links, and epistemic states. A scientific release is then a qualified set of claims plus the evidence and execution records that license their current status; the paper becomes one view of that release rather than its canonical form. We specify a minimal artifact model, an eight-gate lifecycle, a reference architecture, a five-level maturity model, and a phased adoption plan with exit criteria. An observer-limited cognition programme supplies the worked case. Its audit rejected a registered experiment after exposing an unrestricted degree of freedom, a treatment that instantiated its own prediction, a missing spectral identification condition, and an estimand changed by the manipulation. The case shows what the proposed discipline is for: not automating confidence, but making consequential defects capable of stopping the process before they become evidence. We close with a prospective evaluation in which Philosophy Engineering succeeds only if independent teams detect more consequential defects before data access, update claims faster when evidence changes, and do so at an acceptable cost.</w:t>
      </w:r>
    </w:p>
    <w:p>
      <w:pPr>
        <w:widowControl/>
        <w:spacing w:before="80" w:after="160" w:line="240" w:lineRule="auto"/>
      </w:pPr>
      <w:r>
        <w:rPr>
          <w:rFonts w:ascii="Times New Roman" w:hAnsi="Times New Roman" w:eastAsia="Times New Roman"/>
          <w:color w:val="000000"/>
          <w:sz w:val="18"/>
        </w:rPr>
        <w:t>Keywords: philosophy engineering, SciOps, scientific method, reproducibility, preregistration, claim graphs, provenance, continuous verification, artificial intelligence</w:t>
      </w:r>
    </w:p>
    <w:p>
      <w:pPr>
        <w:pStyle w:val="Heading1"/>
      </w:pPr>
      <w:r>
        <w:rPr>
          <w:rFonts w:ascii="Arial" w:hAnsi="Arial" w:eastAsia="Arial"/>
          <w:b/>
          <w:color w:val="000000"/>
          <w:sz w:val="26"/>
        </w:rPr>
        <w:t>1 Introduction</w:t>
      </w:r>
    </w:p>
    <w:p>
      <w:pPr>
        <w:widowControl/>
        <w:spacing w:before="0" w:after="100" w:line="259" w:lineRule="auto"/>
      </w:pPr>
      <w:r>
        <w:rPr>
          <w:rFonts w:ascii="Times New Roman" w:hAnsi="Times New Roman" w:eastAsia="Times New Roman"/>
          <w:color w:val="000000"/>
          <w:sz w:val="21"/>
        </w:rPr>
        <w:t>Modern science is conducted through software, distributed data, automated instruments, statistical pipelines, and increasingly capable artificial intelligence. Its authoritative output is still usually a document. The document may link to code and data, but it remains possible for the meaning of a theory, the status of its claims, and the conditions under which those claims would change to exist only in prose. The resulting mismatch is now structural. Scientific work has become operational while scientific justification remains largely narrative.</w:t>
      </w:r>
    </w:p>
    <w:p>
      <w:pPr>
        <w:widowControl/>
        <w:spacing w:before="0" w:after="100" w:line="254" w:lineRule="auto"/>
      </w:pPr>
      <w:r>
        <w:rPr>
          <w:rFonts w:ascii="Times New Roman" w:hAnsi="Times New Roman" w:eastAsia="Times New Roman"/>
          <w:color w:val="000000"/>
          <w:sz w:val="20"/>
        </w:rPr>
        <w:t>The reforms of the last two decades address important parts of this mismatch. Preregistration separates decisions made before and after outcomes are known [6]. Registered Reports move methodological review ahead of data collection [7, 8]. The Transparency and Openness Promotion guidelines change journal incentives [9]. FAIR principles improve the discoverability and reuse of research artifacts [10]. Reproducible computing preserves how results were produced [12, 13]. Nanopublications, Research Objects, RO-Crate, and PROV make assertions, artifact bundles, and provenance machine-readable [14-17]. Recent SciOps work applies practices derived from software operations to the reliability and scalability of data-intensive research [18, 19]. Each reform closes a real failure surface.</w:t>
      </w:r>
    </w:p>
    <w:p>
      <w:pPr>
        <w:widowControl/>
        <w:spacing w:before="0" w:after="100" w:line="254" w:lineRule="auto"/>
      </w:pPr>
      <w:r>
        <w:rPr>
          <w:rFonts w:ascii="Times New Roman" w:hAnsi="Times New Roman" w:eastAsia="Times New Roman"/>
          <w:color w:val="000000"/>
          <w:sz w:val="20"/>
        </w:rPr>
        <w:t>None makes the theory itself an operated artifact. Data may be FAIR while the claim they support remains ambiguous. An analysis may be reproducible while the experiment is incapable of falsifying the theory. A protocol may be preregistered while its intervention does not manipulate the named construct. A computational environment may rebuild perfectly while the same fitted representation determines both the test class and the predicted result. Reproducibility can faithfully reproduce a conceptual error.</w:t>
      </w:r>
    </w:p>
    <w:p>
      <w:pPr>
        <w:widowControl/>
        <w:spacing w:before="0" w:after="100" w:line="254" w:lineRule="auto"/>
      </w:pPr>
      <w:r>
        <w:rPr>
          <w:rFonts w:ascii="Times New Roman" w:hAnsi="Times New Roman" w:eastAsia="Times New Roman"/>
          <w:color w:val="000000"/>
          <w:sz w:val="20"/>
        </w:rPr>
        <w:t>This paper proposes a discipline for that remaining layer. Philosophy Engineering is the construction of auditable conceptual systems. It treats definitions, assumptions, models, identification claims, predictions, and falsifiers as components with explicit interfaces and dependencies. Epistemic SciOps is the practice that operates those systems throughout the research lifecycle. It versions them, compiles their claims into test obligations, admits or rejects experiments, binds evidence to claims, propagates changes through dependencies, and releases qualified claim sets. The term epistemic distinguishes this layer from the established operational use of SciOps for research environments and workflow infrastructure.</w:t>
      </w:r>
    </w:p>
    <w:p>
      <w:pPr>
        <w:widowControl/>
        <w:spacing w:before="0" w:after="100" w:line="254" w:lineRule="auto"/>
      </w:pPr>
      <w:r>
        <w:rPr>
          <w:rFonts w:ascii="Times New Roman" w:hAnsi="Times New Roman" w:eastAsia="Times New Roman"/>
          <w:color w:val="000000"/>
          <w:sz w:val="20"/>
        </w:rPr>
        <w:t>The proposal makes four contributions. First, it defines the scientific claim system as an object distinct from both the paper and the research compendium. Second, it gives a minimal schema and lifecycle that can be implemented without resolving every problem in scientific semantics. Third, it specifies an adoption programme with measurable exit conditions. Fourth, it demonstrates the method on a case in which an audit stopped its author's own experimental programme. The demonstration is deliberately adverse. A discipline intended to improve science should first show that it can withhold a desired conclusion.</w:t>
      </w:r>
    </w:p>
    <w:p>
      <w:pPr>
        <w:widowControl/>
        <w:spacing w:before="0" w:after="100" w:line="254" w:lineRule="auto"/>
      </w:pPr>
      <w:r>
        <w:rPr>
          <w:rFonts w:ascii="Times New Roman" w:hAnsi="Times New Roman" w:eastAsia="Times New Roman"/>
          <w:color w:val="000000"/>
          <w:sz w:val="20"/>
        </w:rPr>
        <w:t>The intended transformation is Kuhnian only in a restricted and testable sense. Kuhn used paradigm to include shared exemplars, instruments, standards, and legitimate forms of problem solving, not merely a proposition believed by a community [1]. Philosophy Engineering would constitute a change of scientific practice if claim systems became ordinary objects of training, review, maintenance, and exchange. The paper does not claim that this transition has occurred. It specifies what would have to be built and observed before such a claim could be made.</w:t>
      </w:r>
    </w:p>
    <w:p>
      <w:pPr>
        <w:pStyle w:val="Heading1"/>
      </w:pPr>
      <w:r>
        <w:rPr>
          <w:rFonts w:ascii="Arial" w:hAnsi="Arial" w:eastAsia="Arial"/>
          <w:b/>
          <w:color w:val="000000"/>
          <w:sz w:val="26"/>
        </w:rPr>
        <w:t>2 The unresolved operational problem</w:t>
      </w:r>
    </w:p>
    <w:p>
      <w:pPr>
        <w:pStyle w:val="Heading2"/>
      </w:pPr>
      <w:r>
        <w:rPr>
          <w:rFonts w:ascii="Arial" w:hAnsi="Arial" w:eastAsia="Arial"/>
          <w:b/>
          <w:color w:val="000000"/>
          <w:sz w:val="22"/>
        </w:rPr>
        <w:t>2.1 The paper conflates different objects</w:t>
      </w:r>
    </w:p>
    <w:p>
      <w:pPr>
        <w:widowControl/>
        <w:spacing w:before="0" w:after="100" w:line="254" w:lineRule="auto"/>
      </w:pPr>
      <w:r>
        <w:rPr>
          <w:rFonts w:ascii="Times New Roman" w:hAnsi="Times New Roman" w:eastAsia="Times New Roman"/>
          <w:color w:val="000000"/>
          <w:sz w:val="20"/>
        </w:rPr>
        <w:t>A conventional paper performs several jobs at once. It reports observations, explains methods, presents arguments, identifies prior work, advances claims, and persuades a community that those claims deserve attention. These jobs do not have the same structure. A definition is not supported in the way an empirical hypothesis is supported. A theorem depends on axioms and a proof. A measurement depends on an instrument, calibration, and acquisition record. A causal inference depends on an estimand, identification assumptions, intervention integrity, and statistical analysis. A research programme may contain all of these while presenting them in a uniform typographic voice.</w:t>
      </w:r>
    </w:p>
    <w:p>
      <w:pPr>
        <w:widowControl/>
        <w:spacing w:before="0" w:after="100" w:line="254" w:lineRule="auto"/>
      </w:pPr>
      <w:r>
        <w:rPr>
          <w:rFonts w:ascii="Times New Roman" w:hAnsi="Times New Roman" w:eastAsia="Times New Roman"/>
          <w:color w:val="000000"/>
          <w:sz w:val="20"/>
        </w:rPr>
        <w:t>Readers recover the differences by interpretation. Reviewers reconstruct dependencies from prose and decide whether qualifications attach to a sentence, a section, or the programme as a whole. Later researchers repeat that reconstruction when evidence changes. The paper is well suited to explanation, but poorly suited to maintaining a changing network of heterogeneous claims.</w:t>
      </w:r>
    </w:p>
    <w:p>
      <w:pPr>
        <w:widowControl/>
        <w:spacing w:before="0" w:after="100" w:line="254" w:lineRule="auto"/>
      </w:pPr>
      <w:r>
        <w:rPr>
          <w:rFonts w:ascii="Times New Roman" w:hAnsi="Times New Roman" w:eastAsia="Times New Roman"/>
          <w:color w:val="000000"/>
          <w:sz w:val="20"/>
        </w:rPr>
        <w:t>This weakness is separate from access. Open data can expose the record without identifying which claim a file bears on. Open code can reproduce a statistic without establishing that the statistic measures the construct named in the theory. A stable identifier can preserve an artifact without preserving the inference that used it. Philosophy Engineering begins by separating these objects and then reconnecting them explicitly.</w:t>
      </w:r>
    </w:p>
    <w:p>
      <w:pPr>
        <w:pStyle w:val="Heading2"/>
      </w:pPr>
      <w:r>
        <w:rPr>
          <w:rFonts w:ascii="Arial" w:hAnsi="Arial" w:eastAsia="Arial"/>
          <w:b/>
          <w:color w:val="000000"/>
          <w:sz w:val="22"/>
        </w:rPr>
        <w:t>2.2 Flexibility can survive perfect reproducibility</w:t>
      </w:r>
    </w:p>
    <w:p>
      <w:pPr>
        <w:widowControl/>
        <w:spacing w:before="0" w:after="100" w:line="254" w:lineRule="auto"/>
      </w:pPr>
      <w:r>
        <w:rPr>
          <w:rFonts w:ascii="Times New Roman" w:hAnsi="Times New Roman" w:eastAsia="Times New Roman"/>
          <w:color w:val="000000"/>
          <w:sz w:val="20"/>
        </w:rPr>
        <w:t>Popper made exposure to refutation central to the logic of empirical science [2]. Lakatos shifted attention from isolated hypotheses to research programmes whose auxiliary assumptions can absorb apparent failures [3]. Contemporary work gives parts of this issue a statistical form. Basu and Echenique use the capacity of a choice theory to quantify how large a dataset can remain incapable of falsifying it [20]. Chambers, Echenique, and Lambert study conditions under which finite choice data recover a limiting preference rather than merely admit a rationalization [21]. These results share a practical lesson: fit is weak evidence when the admissible model class can absorb the record.</w:t>
      </w:r>
    </w:p>
    <w:p>
      <w:pPr>
        <w:widowControl/>
        <w:spacing w:before="0" w:after="100" w:line="254" w:lineRule="auto"/>
      </w:pPr>
      <w:r>
        <w:rPr>
          <w:rFonts w:ascii="Times New Roman" w:hAnsi="Times New Roman" w:eastAsia="Times New Roman"/>
          <w:color w:val="000000"/>
          <w:sz w:val="20"/>
        </w:rPr>
        <w:t>Reproducibility does not constrain that class. A pipeline can reproduce the selection of a model after the model was chosen using the same outcomes it explains. A preregistration can freeze a test whose class assignment algebraically determines the observed contrast. A theory can define an auxiliary component broadly enough to rationalize every possible response. All three processes can be transparent, deterministic, and empty of discriminatory content.</w:t>
      </w:r>
    </w:p>
    <w:p>
      <w:pPr>
        <w:widowControl/>
        <w:spacing w:before="0" w:after="100" w:line="254" w:lineRule="auto"/>
      </w:pPr>
      <w:r>
        <w:rPr>
          <w:rFonts w:ascii="Times New Roman" w:hAnsi="Times New Roman" w:eastAsia="Times New Roman"/>
          <w:color w:val="000000"/>
          <w:sz w:val="20"/>
        </w:rPr>
        <w:t>The operational defect is that the research object lacks an explicit account of its degrees of freedom. No gate asks which components were determined before the target record was opened, which could still absorb a failure, or whether the test construction mechanically enacts the prediction. Those are design properties of the claim system.</w:t>
      </w:r>
    </w:p>
    <w:p>
      <w:pPr>
        <w:pStyle w:val="Heading2"/>
      </w:pPr>
      <w:r>
        <w:rPr>
          <w:rFonts w:ascii="Arial" w:hAnsi="Arial" w:eastAsia="Arial"/>
          <w:b/>
          <w:color w:val="000000"/>
          <w:sz w:val="22"/>
        </w:rPr>
        <w:t>2.3 Static publication creates epistemic debt</w:t>
      </w:r>
    </w:p>
    <w:p>
      <w:pPr>
        <w:widowControl/>
        <w:spacing w:before="0" w:after="100" w:line="254" w:lineRule="auto"/>
      </w:pPr>
      <w:r>
        <w:rPr>
          <w:rFonts w:ascii="Times New Roman" w:hAnsi="Times New Roman" w:eastAsia="Times New Roman"/>
          <w:color w:val="000000"/>
          <w:sz w:val="20"/>
        </w:rPr>
        <w:t>When evidence changes, a paper usually does not. Corrections and retractions handle serious defects, and later papers can revise earlier results, but the status of a claim is distributed across documents and left to readers to reconcile. This creates epistemic debt: unresolved work required to determine what remains warranted after a dependency changes.</w:t>
      </w:r>
    </w:p>
    <w:p>
      <w:pPr>
        <w:widowControl/>
        <w:spacing w:before="0" w:after="100" w:line="254" w:lineRule="auto"/>
      </w:pPr>
      <w:r>
        <w:rPr>
          <w:rFonts w:ascii="Times New Roman" w:hAnsi="Times New Roman" w:eastAsia="Times New Roman"/>
          <w:color w:val="000000"/>
          <w:sz w:val="20"/>
        </w:rPr>
        <w:t>The debt is visible when a software dependency invalidates an analysis, a calibration is found to be unstable, a replication contradicts an effect, or a theoretical assumption is weakened. The affected claims may extend beyond the paper in which the defect appears. Yet scientific publication has no standard equivalent of a dependency-triggered rebuild. Living evidence synthesis addresses this problem for reviews, but not for the theory and experiment graph from which primary claims are released.</w:t>
      </w:r>
    </w:p>
    <w:p>
      <w:pPr>
        <w:widowControl/>
        <w:spacing w:before="0" w:after="100" w:line="254" w:lineRule="auto"/>
      </w:pPr>
      <w:r>
        <w:rPr>
          <w:rFonts w:ascii="Times New Roman" w:hAnsi="Times New Roman" w:eastAsia="Times New Roman"/>
          <w:color w:val="000000"/>
          <w:sz w:val="20"/>
        </w:rPr>
        <w:t>Artificial intelligence increases the urgency. Systems now generate hypotheses, write code, execute experiments, and draft manuscripts [23, 24]. Faster production raises the cost of leaving claim boundaries implicit. An agent can reproduce the surface form of a scientific paper before it can reliably distinguish a definition from a measurement or a prediction from a post hoc explanation. The needed response is not to prohibit automation. It is to give automated work a structure in which authority is bounded, provenance is mandatory, and a failed gate can stop promotion.</w:t>
      </w:r>
    </w:p>
    <w:p>
      <w:pPr>
        <w:pStyle w:val="Heading1"/>
      </w:pPr>
      <w:r>
        <w:rPr>
          <w:rFonts w:ascii="Arial" w:hAnsi="Arial" w:eastAsia="Arial"/>
          <w:b/>
          <w:color w:val="000000"/>
          <w:sz w:val="26"/>
        </w:rPr>
        <w:t>3 Philosophy Engineering</w:t>
      </w:r>
    </w:p>
    <w:p>
      <w:pPr>
        <w:pStyle w:val="Heading2"/>
      </w:pPr>
      <w:r>
        <w:rPr>
          <w:rFonts w:ascii="Arial" w:hAnsi="Arial" w:eastAsia="Arial"/>
          <w:b/>
          <w:color w:val="000000"/>
          <w:sz w:val="22"/>
        </w:rPr>
        <w:t>3.1 Definition and scope</w:t>
      </w:r>
    </w:p>
    <w:p>
      <w:pPr>
        <w:widowControl/>
        <w:spacing w:before="0" w:after="100" w:line="254" w:lineRule="auto"/>
      </w:pPr>
      <w:r>
        <w:rPr>
          <w:rFonts w:ascii="Times New Roman" w:hAnsi="Times New Roman" w:eastAsia="Times New Roman"/>
          <w:color w:val="000000"/>
          <w:sz w:val="20"/>
        </w:rPr>
        <w:t>Philosophy Engineering is the disciplined construction and maintenance of auditable conceptual systems. A conceptual system is auditable when a competent third party can determine what each substantive claim means, what it depends on, what licenses its current status, what observations would change that status, and which downstream claims would be affected.</w:t>
      </w:r>
    </w:p>
    <w:p>
      <w:pPr>
        <w:widowControl/>
        <w:spacing w:before="0" w:after="100" w:line="254" w:lineRule="auto"/>
      </w:pPr>
      <w:r>
        <w:rPr>
          <w:rFonts w:ascii="Times New Roman" w:hAnsi="Times New Roman" w:eastAsia="Times New Roman"/>
          <w:color w:val="000000"/>
          <w:sz w:val="20"/>
        </w:rPr>
        <w:t>The name identifies an engineering task within philosophy of science rather than a replacement for philosophy. Philosophy clarifies concepts, justification, explanation, causation, and the limits of inference. Engineering adds requirements, interfaces, configuration control, verification, failure analysis, and lifecycle maintenance. The designed object is a system of claims rather than a physical device or software service.</w:t>
      </w:r>
    </w:p>
    <w:p>
      <w:pPr>
        <w:widowControl/>
        <w:spacing w:before="0" w:after="100" w:line="254" w:lineRule="auto"/>
      </w:pPr>
      <w:r>
        <w:rPr>
          <w:rFonts w:ascii="Times New Roman" w:hAnsi="Times New Roman" w:eastAsia="Times New Roman"/>
          <w:color w:val="000000"/>
          <w:sz w:val="20"/>
        </w:rPr>
        <w:t>The discipline does not require that every scientific statement be formalized. It requires formal control at the boundaries where ambiguity can change a result. A narrative explanation may remain prose. A construct definition, inclusion rule, estimand, identification assumption, pass condition, or claim-status transition must be represented precisely enough to audit. The appropriate formal depth depends on risk, reversibility, cost, and the capacity of the model class.</w:t>
      </w:r>
    </w:p>
    <w:p>
      <w:pPr>
        <w:pStyle w:val="Heading2"/>
      </w:pPr>
      <w:r>
        <w:rPr>
          <w:rFonts w:ascii="Arial" w:hAnsi="Arial" w:eastAsia="Arial"/>
          <w:b/>
          <w:color w:val="000000"/>
          <w:sz w:val="22"/>
        </w:rPr>
        <w:t>3.2 Three orthogonal classifications</w:t>
      </w:r>
    </w:p>
    <w:p>
      <w:pPr>
        <w:widowControl/>
        <w:spacing w:before="0" w:after="100" w:line="254" w:lineRule="auto"/>
      </w:pPr>
      <w:r>
        <w:rPr>
          <w:rFonts w:ascii="Times New Roman" w:hAnsi="Times New Roman" w:eastAsia="Times New Roman"/>
          <w:color w:val="000000"/>
          <w:sz w:val="20"/>
        </w:rPr>
        <w:t>A recurring source of confusion is the use of one status vocabulary for different questions. A claim kind, its epistemic warrant, and its workflow state are separate dimensions.</w:t>
      </w:r>
    </w:p>
    <w:p>
      <w:pPr>
        <w:pStyle w:val="Caption"/>
        <w:keepNext/>
        <w:widowControl/>
        <w:spacing w:before="140" w:after="60" w:line="240" w:lineRule="auto"/>
        <w:jc w:val="left"/>
      </w:pPr>
      <w:r>
        <w:rPr>
          <w:rFonts w:ascii="Times New Roman" w:hAnsi="Times New Roman" w:eastAsia="Times New Roman"/>
          <w:i/>
          <w:color w:val="000000"/>
          <w:sz w:val="18"/>
        </w:rPr>
        <w:t>Table 1  Three independent classifications for scientific claims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1800"/>
            <w:vAlign w:val="center"/>
            <w:shd w:fill="243B53"/>
            <w:tcMar>
              <w:top w:w="110" w:type="dxa"/>
              <w:start w:w="100" w:type="dxa"/>
              <w:bottom w:w="110" w:type="dxa"/>
              <w:end w:w="100" w:type="dxa"/>
            </w:tcMar>
          </w:tcPr>
          <w:p>
            <w:pPr>
              <w:widowControl/>
              <w:spacing w:before="0" w:after="0" w:line="240" w:lineRule="auto"/>
              <w:jc w:val="left"/>
            </w:pPr>
            <w:r>
              <w:rPr>
                <w:rFonts w:ascii="Arial" w:hAnsi="Arial" w:eastAsia="Arial"/>
                <w:b/>
                <w:color w:val="FFFFFF"/>
                <w:sz w:val="17"/>
              </w:rPr>
              <w:t>Dimension</w:t>
            </w:r>
          </w:p>
        </w:tc>
        <w:tc>
          <w:tcPr>
            <w:tcW w:type="dxa" w:w="3024"/>
            <w:vAlign w:val="center"/>
            <w:shd w:fill="243B53"/>
            <w:tcMar>
              <w:top w:w="110" w:type="dxa"/>
              <w:start w:w="100" w:type="dxa"/>
              <w:bottom w:w="110" w:type="dxa"/>
              <w:end w:w="100" w:type="dxa"/>
            </w:tcMar>
          </w:tcPr>
          <w:p>
            <w:pPr>
              <w:widowControl/>
              <w:spacing w:before="0" w:after="0" w:line="240" w:lineRule="auto"/>
              <w:jc w:val="left"/>
            </w:pPr>
            <w:r>
              <w:rPr>
                <w:rFonts w:ascii="Arial" w:hAnsi="Arial" w:eastAsia="Arial"/>
                <w:b/>
                <w:color w:val="FFFFFF"/>
                <w:sz w:val="17"/>
              </w:rPr>
              <w:t>Question answered</w:t>
            </w:r>
          </w:p>
        </w:tc>
        <w:tc>
          <w:tcPr>
            <w:tcW w:type="dxa" w:w="4968"/>
            <w:vAlign w:val="center"/>
            <w:shd w:fill="243B53"/>
            <w:tcMar>
              <w:top w:w="110" w:type="dxa"/>
              <w:start w:w="100" w:type="dxa"/>
              <w:bottom w:w="110" w:type="dxa"/>
              <w:end w:w="100" w:type="dxa"/>
            </w:tcMar>
          </w:tcPr>
          <w:p>
            <w:pPr>
              <w:widowControl/>
              <w:spacing w:before="0" w:after="0" w:line="240" w:lineRule="auto"/>
              <w:jc w:val="left"/>
            </w:pPr>
            <w:r>
              <w:rPr>
                <w:rFonts w:ascii="Arial" w:hAnsi="Arial" w:eastAsia="Arial"/>
                <w:b/>
                <w:color w:val="FFFFFF"/>
                <w:sz w:val="17"/>
              </w:rPr>
              <w:t>Core values</w:t>
            </w:r>
          </w:p>
        </w:tc>
      </w:tr>
      <w:tr>
        <w:trPr>
          <w:cantSplit/>
        </w:trPr>
        <w:tc>
          <w:tcPr>
            <w:tcW w:type="dxa" w:w="1800"/>
            <w:vAlign w:val="center"/>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Claim kind</w:t>
            </w:r>
          </w:p>
        </w:tc>
        <w:tc>
          <w:tcPr>
            <w:tcW w:type="dxa" w:w="3024"/>
            <w:vAlign w:val="center"/>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What sort of statement is this</w:t>
            </w:r>
          </w:p>
        </w:tc>
        <w:tc>
          <w:tcPr>
            <w:tcW w:type="dxa" w:w="4968"/>
            <w:vAlign w:val="center"/>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Definition; assumption; theorem; empirical hypothesis; measurement; inference; decision</w:t>
            </w:r>
          </w:p>
        </w:tc>
      </w:tr>
      <w:tr>
        <w:trPr>
          <w:cantSplit/>
        </w:trPr>
        <w:tc>
          <w:tcPr>
            <w:tcW w:type="dxa" w:w="1800"/>
            <w:vAlign w:val="center"/>
            <w:shd w:fill="F3F8FC"/>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Warrant state</w:t>
            </w:r>
          </w:p>
        </w:tc>
        <w:tc>
          <w:tcPr>
            <w:tcW w:type="dxa" w:w="3024"/>
            <w:vAlign w:val="center"/>
            <w:shd w:fill="F3F8FC"/>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Why is it currently licensed</w:t>
            </w:r>
          </w:p>
        </w:tc>
        <w:tc>
          <w:tcPr>
            <w:tcW w:type="dxa" w:w="4968"/>
            <w:vAlign w:val="center"/>
            <w:shd w:fill="F3F8FC"/>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Defined; proved; demonstrated; measured; supported; contradicted; open; withdrawn</w:t>
            </w:r>
          </w:p>
        </w:tc>
      </w:tr>
      <w:tr>
        <w:trPr>
          <w:cantSplit/>
        </w:trPr>
        <w:tc>
          <w:tcPr>
            <w:tcW w:type="dxa" w:w="1800"/>
            <w:vAlign w:val="center"/>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Lifecycle state</w:t>
            </w:r>
          </w:p>
        </w:tc>
        <w:tc>
          <w:tcPr>
            <w:tcW w:type="dxa" w:w="3024"/>
            <w:vAlign w:val="center"/>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Where is it in the workflow</w:t>
            </w:r>
          </w:p>
        </w:tc>
        <w:tc>
          <w:tcPr>
            <w:tcW w:type="dxa" w:w="4968"/>
            <w:vAlign w:val="center"/>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Draft; reviewed; registered; executed; released; superseded</w:t>
            </w:r>
          </w:p>
        </w:tc>
      </w:tr>
    </w:tbl>
    <w:p>
      <w:pPr>
        <w:widowControl/>
        <w:spacing w:before="0" w:after="20" w:line="240" w:lineRule="auto"/>
      </w:pPr>
    </w:p>
    <w:p>
      <w:pPr>
        <w:widowControl/>
        <w:spacing w:before="0" w:after="100" w:line="254" w:lineRule="auto"/>
      </w:pPr>
      <w:r>
        <w:rPr>
          <w:rFonts w:ascii="Times New Roman" w:hAnsi="Times New Roman" w:eastAsia="Times New Roman"/>
          <w:color w:val="000000"/>
          <w:sz w:val="20"/>
        </w:rPr>
        <w:t>The separation prevents category errors. A theorem can be released but unproved. An empirical hypothesis can be registered but untested. A measurement can be executed but excluded after an instrument failure. A claim can be supported by one release and later contradicted without changing the historical record of either release.</w:t>
      </w:r>
    </w:p>
    <w:p>
      <w:pPr>
        <w:widowControl/>
        <w:spacing w:before="0" w:after="100" w:line="254" w:lineRule="auto"/>
      </w:pPr>
      <w:r>
        <w:rPr>
          <w:rFonts w:ascii="Times New Roman" w:hAnsi="Times New Roman" w:eastAsia="Times New Roman"/>
          <w:color w:val="000000"/>
          <w:sz w:val="20"/>
        </w:rPr>
        <w:t>The proposed vocabulary is deliberately small. Communities may add domain-specific kinds and warrant states, but the core distinctions should remain interoperable. In particular, supported should never be represented as proved, and reproduced should not be treated as replicated. The National Academies distinguishes computational reproducibility from obtaining consistent results in a new study [11]; the claim system must preserve that distinction.</w:t>
      </w:r>
    </w:p>
    <w:p>
      <w:pPr>
        <w:pStyle w:val="Heading2"/>
      </w:pPr>
      <w:r>
        <w:rPr>
          <w:rFonts w:ascii="Arial" w:hAnsi="Arial" w:eastAsia="Arial"/>
          <w:b/>
          <w:color w:val="000000"/>
          <w:sz w:val="22"/>
        </w:rPr>
        <w:t>3.3 The minimum claim object</w:t>
      </w:r>
    </w:p>
    <w:p>
      <w:pPr>
        <w:widowControl/>
        <w:spacing w:before="0" w:after="100" w:line="254" w:lineRule="auto"/>
      </w:pPr>
      <w:r>
        <w:rPr>
          <w:rFonts w:ascii="Times New Roman" w:hAnsi="Times New Roman" w:eastAsia="Times New Roman"/>
          <w:color w:val="000000"/>
          <w:sz w:val="20"/>
        </w:rPr>
        <w:t>The minimum object is a claim with a stable identifier and a version. It contains the following fields.</w:t>
      </w:r>
    </w:p>
    <w:p>
      <w:pPr>
        <w:pStyle w:val="Caption"/>
        <w:keepNext/>
        <w:widowControl/>
        <w:spacing w:before="140" w:after="60" w:line="240" w:lineRule="auto"/>
        <w:jc w:val="left"/>
      </w:pPr>
      <w:r>
        <w:rPr>
          <w:rFonts w:ascii="Times New Roman" w:hAnsi="Times New Roman" w:eastAsia="Times New Roman"/>
          <w:i/>
          <w:color w:val="000000"/>
          <w:sz w:val="18"/>
        </w:rPr>
        <w:t>Table 2  Minimum fields in an auditable claim object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2304"/>
            <w:vAlign w:val="center"/>
            <w:shd w:fill="243B53"/>
            <w:tcMar>
              <w:top w:w="110" w:type="dxa"/>
              <w:start w:w="100" w:type="dxa"/>
              <w:bottom w:w="110" w:type="dxa"/>
              <w:end w:w="100" w:type="dxa"/>
            </w:tcMar>
          </w:tcPr>
          <w:p>
            <w:pPr>
              <w:widowControl/>
              <w:spacing w:before="0" w:after="0" w:line="240" w:lineRule="auto"/>
              <w:jc w:val="left"/>
            </w:pPr>
            <w:r>
              <w:rPr>
                <w:rFonts w:ascii="Arial" w:hAnsi="Arial" w:eastAsia="Arial"/>
                <w:b/>
                <w:color w:val="FFFFFF"/>
                <w:sz w:val="17"/>
              </w:rPr>
              <w:t>Field</w:t>
            </w:r>
          </w:p>
        </w:tc>
        <w:tc>
          <w:tcPr>
            <w:tcW w:type="dxa" w:w="1800"/>
            <w:vAlign w:val="center"/>
            <w:shd w:fill="243B53"/>
            <w:tcMar>
              <w:top w:w="110" w:type="dxa"/>
              <w:start w:w="100" w:type="dxa"/>
              <w:bottom w:w="110" w:type="dxa"/>
              <w:end w:w="100" w:type="dxa"/>
            </w:tcMar>
          </w:tcPr>
          <w:p>
            <w:pPr>
              <w:widowControl/>
              <w:spacing w:before="0" w:after="0" w:line="240" w:lineRule="auto"/>
              <w:jc w:val="left"/>
            </w:pPr>
            <w:r>
              <w:rPr>
                <w:rFonts w:ascii="Arial" w:hAnsi="Arial" w:eastAsia="Arial"/>
                <w:b/>
                <w:color w:val="FFFFFF"/>
                <w:sz w:val="17"/>
              </w:rPr>
              <w:t>Requirement</w:t>
            </w:r>
          </w:p>
        </w:tc>
        <w:tc>
          <w:tcPr>
            <w:tcW w:type="dxa" w:w="5688"/>
            <w:vAlign w:val="center"/>
            <w:shd w:fill="243B53"/>
            <w:tcMar>
              <w:top w:w="110" w:type="dxa"/>
              <w:start w:w="100" w:type="dxa"/>
              <w:bottom w:w="110" w:type="dxa"/>
              <w:end w:w="100" w:type="dxa"/>
            </w:tcMar>
          </w:tcPr>
          <w:p>
            <w:pPr>
              <w:widowControl/>
              <w:spacing w:before="0" w:after="0" w:line="240" w:lineRule="auto"/>
              <w:jc w:val="left"/>
            </w:pPr>
            <w:r>
              <w:rPr>
                <w:rFonts w:ascii="Arial" w:hAnsi="Arial" w:eastAsia="Arial"/>
                <w:b/>
                <w:color w:val="FFFFFF"/>
                <w:sz w:val="17"/>
              </w:rPr>
              <w:t>Content</w:t>
            </w:r>
          </w:p>
        </w:tc>
      </w:tr>
      <w:tr>
        <w:trPr>
          <w:cantSplit/>
        </w:trPr>
        <w:tc>
          <w:tcPr>
            <w:tcW w:type="dxa" w:w="2304"/>
            <w:vAlign w:val="center"/>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Identifier and version</w:t>
            </w:r>
          </w:p>
        </w:tc>
        <w:tc>
          <w:tcPr>
            <w:tcW w:type="dxa" w:w="1800"/>
            <w:vAlign w:val="center"/>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Required</w:t>
            </w:r>
          </w:p>
        </w:tc>
        <w:tc>
          <w:tcPr>
            <w:tcW w:type="dxa" w:w="5688"/>
            <w:vAlign w:val="center"/>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Stable name, release version and creation time</w:t>
            </w:r>
          </w:p>
        </w:tc>
      </w:tr>
      <w:tr>
        <w:trPr>
          <w:cantSplit/>
        </w:trPr>
        <w:tc>
          <w:tcPr>
            <w:tcW w:type="dxa" w:w="2304"/>
            <w:vAlign w:val="center"/>
            <w:shd w:fill="F3F8FC"/>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Text and scope</w:t>
            </w:r>
          </w:p>
        </w:tc>
        <w:tc>
          <w:tcPr>
            <w:tcW w:type="dxa" w:w="1800"/>
            <w:vAlign w:val="center"/>
            <w:shd w:fill="F3F8FC"/>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Required</w:t>
            </w:r>
          </w:p>
        </w:tc>
        <w:tc>
          <w:tcPr>
            <w:tcW w:type="dxa" w:w="5688"/>
            <w:vAlign w:val="center"/>
            <w:shd w:fill="F3F8FC"/>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Exact proposition, population, domain and boundary conditions</w:t>
            </w:r>
          </w:p>
        </w:tc>
      </w:tr>
      <w:tr>
        <w:trPr>
          <w:cantSplit/>
        </w:trPr>
        <w:tc>
          <w:tcPr>
            <w:tcW w:type="dxa" w:w="2304"/>
            <w:vAlign w:val="center"/>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Kind and states</w:t>
            </w:r>
          </w:p>
        </w:tc>
        <w:tc>
          <w:tcPr>
            <w:tcW w:type="dxa" w:w="1800"/>
            <w:vAlign w:val="center"/>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Required</w:t>
            </w:r>
          </w:p>
        </w:tc>
        <w:tc>
          <w:tcPr>
            <w:tcW w:type="dxa" w:w="5688"/>
            <w:vAlign w:val="center"/>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Claim kind, warrant state and lifecycle state</w:t>
            </w:r>
          </w:p>
        </w:tc>
      </w:tr>
      <w:tr>
        <w:trPr>
          <w:cantSplit/>
        </w:trPr>
        <w:tc>
          <w:tcPr>
            <w:tcW w:type="dxa" w:w="2304"/>
            <w:vAlign w:val="center"/>
            <w:shd w:fill="F3F8FC"/>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Dependencies</w:t>
            </w:r>
          </w:p>
        </w:tc>
        <w:tc>
          <w:tcPr>
            <w:tcW w:type="dxa" w:w="1800"/>
            <w:vAlign w:val="center"/>
            <w:shd w:fill="F3F8FC"/>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Required</w:t>
            </w:r>
          </w:p>
        </w:tc>
        <w:tc>
          <w:tcPr>
            <w:tcW w:type="dxa" w:w="5688"/>
            <w:vAlign w:val="center"/>
            <w:shd w:fill="F3F8FC"/>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Typed links to definitions, assumptions, upstream claims and instruments</w:t>
            </w:r>
          </w:p>
        </w:tc>
      </w:tr>
      <w:tr>
        <w:trPr>
          <w:cantSplit/>
        </w:trPr>
        <w:tc>
          <w:tcPr>
            <w:tcW w:type="dxa" w:w="2304"/>
            <w:vAlign w:val="center"/>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Operationalization</w:t>
            </w:r>
          </w:p>
        </w:tc>
        <w:tc>
          <w:tcPr>
            <w:tcW w:type="dxa" w:w="1800"/>
            <w:vAlign w:val="center"/>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Conditional</w:t>
            </w:r>
          </w:p>
        </w:tc>
        <w:tc>
          <w:tcPr>
            <w:tcW w:type="dxa" w:w="5688"/>
            <w:vAlign w:val="center"/>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Variables, representation, instrument and measurement procedure</w:t>
            </w:r>
          </w:p>
        </w:tc>
      </w:tr>
      <w:tr>
        <w:trPr>
          <w:cantSplit/>
        </w:trPr>
        <w:tc>
          <w:tcPr>
            <w:tcW w:type="dxa" w:w="2304"/>
            <w:vAlign w:val="center"/>
            <w:shd w:fill="F3F8FC"/>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Evidence and provenance</w:t>
            </w:r>
          </w:p>
        </w:tc>
        <w:tc>
          <w:tcPr>
            <w:tcW w:type="dxa" w:w="1800"/>
            <w:vAlign w:val="center"/>
            <w:shd w:fill="F3F8FC"/>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Conditional</w:t>
            </w:r>
          </w:p>
        </w:tc>
        <w:tc>
          <w:tcPr>
            <w:tcW w:type="dxa" w:w="5688"/>
            <w:vAlign w:val="center"/>
            <w:shd w:fill="F3F8FC"/>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Supporting or contradicting artifacts, origin, actors and transformations</w:t>
            </w:r>
          </w:p>
        </w:tc>
      </w:tr>
      <w:tr>
        <w:trPr>
          <w:cantSplit/>
        </w:trPr>
        <w:tc>
          <w:tcPr>
            <w:tcW w:type="dxa" w:w="2304"/>
            <w:vAlign w:val="center"/>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Falsifier and decision rule</w:t>
            </w:r>
          </w:p>
        </w:tc>
        <w:tc>
          <w:tcPr>
            <w:tcW w:type="dxa" w:w="1800"/>
            <w:vAlign w:val="center"/>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Empirical claims</w:t>
            </w:r>
          </w:p>
        </w:tc>
        <w:tc>
          <w:tcPr>
            <w:tcW w:type="dxa" w:w="5688"/>
            <w:vAlign w:val="center"/>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Records that block promotion or change status, including treatment of ungradeable runs</w:t>
            </w:r>
          </w:p>
        </w:tc>
      </w:tr>
      <w:tr>
        <w:trPr>
          <w:cantSplit/>
        </w:trPr>
        <w:tc>
          <w:tcPr>
            <w:tcW w:type="dxa" w:w="2304"/>
            <w:vAlign w:val="center"/>
            <w:shd w:fill="F3F8FC"/>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Authority and triggers</w:t>
            </w:r>
          </w:p>
        </w:tc>
        <w:tc>
          <w:tcPr>
            <w:tcW w:type="dxa" w:w="1800"/>
            <w:vAlign w:val="center"/>
            <w:shd w:fill="F3F8FC"/>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Required</w:t>
            </w:r>
          </w:p>
        </w:tc>
        <w:tc>
          <w:tcPr>
            <w:tcW w:type="dxa" w:w="5688"/>
            <w:vAlign w:val="center"/>
            <w:shd w:fill="F3F8FC"/>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Owner, review authority, last assessment and conditions for reassessment</w:t>
            </w:r>
          </w:p>
        </w:tc>
      </w:tr>
    </w:tbl>
    <w:p>
      <w:pPr>
        <w:widowControl/>
        <w:spacing w:before="0" w:after="20" w:line="240" w:lineRule="auto"/>
      </w:pPr>
    </w:p>
    <w:p>
      <w:pPr>
        <w:widowControl/>
        <w:spacing w:before="0" w:after="100" w:line="254" w:lineRule="auto"/>
      </w:pPr>
      <w:r>
        <w:rPr>
          <w:rFonts w:ascii="Times New Roman" w:hAnsi="Times New Roman" w:eastAsia="Times New Roman"/>
          <w:color w:val="000000"/>
          <w:sz w:val="20"/>
        </w:rPr>
        <w:t>The schema is sufficient to expose several common defects. A claim without a scope is liable to expand after the result. A claim without a decision rule cannot fail cleanly. A claim without identified dependencies cannot be rebuilt when evidence changes. A claim without an owner may remain stale. A claim without provenance cannot establish when its present form became visible relative to the data.</w:t>
      </w:r>
    </w:p>
    <w:p>
      <w:pPr>
        <w:widowControl/>
        <w:spacing w:before="0" w:after="100" w:line="254" w:lineRule="auto"/>
      </w:pPr>
      <w:r>
        <w:rPr>
          <w:rFonts w:ascii="Times New Roman" w:hAnsi="Times New Roman" w:eastAsia="Times New Roman"/>
          <w:color w:val="000000"/>
          <w:sz w:val="20"/>
        </w:rPr>
        <w:t>Not every field must be filled at inception. Missing fields are represented as missing rather than supplied by implication. The build policy determines which omissions are warnings and which block a release. Exploratory work can therefore remain exploratory without being mislabeled as confirmatory.</w:t>
      </w:r>
    </w:p>
    <w:p>
      <w:pPr>
        <w:pStyle w:val="Heading2"/>
      </w:pPr>
      <w:r>
        <w:rPr>
          <w:rFonts w:ascii="Arial" w:hAnsi="Arial" w:eastAsia="Arial"/>
          <w:b/>
          <w:color w:val="000000"/>
          <w:sz w:val="22"/>
        </w:rPr>
        <w:t>3.4 The claim graph</w:t>
      </w:r>
    </w:p>
    <w:p>
      <w:pPr>
        <w:widowControl/>
        <w:spacing w:before="0" w:after="100" w:line="254" w:lineRule="auto"/>
      </w:pPr>
      <w:r>
        <w:rPr>
          <w:rFonts w:ascii="Times New Roman" w:hAnsi="Times New Roman" w:eastAsia="Times New Roman"/>
          <w:color w:val="000000"/>
          <w:sz w:val="20"/>
        </w:rPr>
        <w:t>Claims form a directed graph. An edge records a typed dependency such as defines, assumes, operationalizes, measures, supports, contradicts, derives, calibrates, or limits. The graph does not assert that scientific inference is deductive. It records enough structure to identify which warrants are inherited and which are independent.</w:t>
      </w:r>
    </w:p>
    <w:p>
      <w:pPr>
        <w:widowControl/>
        <w:spacing w:before="0" w:after="100" w:line="254" w:lineRule="auto"/>
      </w:pPr>
      <w:r>
        <w:rPr>
          <w:rFonts w:ascii="Times New Roman" w:hAnsi="Times New Roman" w:eastAsia="Times New Roman"/>
          <w:color w:val="000000"/>
          <w:sz w:val="20"/>
        </w:rPr>
        <w:t>The graph serves four functions. First, it makes hidden premises inspectable. Second, it determines the impact set when an artifact changes. Third, it distinguishes convergent evidence from repeated use of one dependency. Fourth, it permits partial release: one branch of a programme can fail without erasing independent branches.</w:t>
      </w:r>
    </w:p>
    <w:p>
      <w:pPr>
        <w:widowControl/>
        <w:spacing w:before="0" w:after="100" w:line="254" w:lineRule="auto"/>
      </w:pPr>
      <w:r>
        <w:rPr>
          <w:rFonts w:ascii="Times New Roman" w:hAnsi="Times New Roman" w:eastAsia="Times New Roman"/>
          <w:color w:val="000000"/>
          <w:sz w:val="20"/>
        </w:rPr>
        <w:t>The graph should be compatible with existing standards rather than inventing a complete semantic stack. Nanopublications already represent a core assertion with provenance and publication information [14]. Research Objects and RO-Crate aggregate the artifacts that contribute to an outcome [15, 16]. PROV represents entities, activities, agents, and derivations [17]. Philosophy Engineering adds claim kinds, identification obligations, decision rules, and epistemic transitions that these formats do not standardize.</w:t>
      </w:r>
    </w:p>
    <w:p>
      <w:pPr>
        <w:pStyle w:val="Heading2"/>
      </w:pPr>
      <w:r>
        <w:rPr>
          <w:rFonts w:ascii="Arial" w:hAnsi="Arial" w:eastAsia="Arial"/>
          <w:b/>
          <w:color w:val="000000"/>
          <w:sz w:val="22"/>
        </w:rPr>
        <w:t>3.5 Epistemic contracts</w:t>
      </w:r>
    </w:p>
    <w:p>
      <w:pPr>
        <w:widowControl/>
        <w:spacing w:before="0" w:after="100" w:line="254" w:lineRule="auto"/>
      </w:pPr>
      <w:r>
        <w:rPr>
          <w:rFonts w:ascii="Times New Roman" w:hAnsi="Times New Roman" w:eastAsia="Times New Roman"/>
          <w:color w:val="000000"/>
          <w:sz w:val="20"/>
        </w:rPr>
        <w:t>An epistemic contract states the conditions under which a claim may advance. It is analogous to a design contract: preconditions describe what must be true before a test is interpreted; postconditions describe the status change licensed by each outcome; invariants describe what must remain fixed across the operation.</w:t>
      </w:r>
    </w:p>
    <w:p>
      <w:pPr>
        <w:widowControl/>
        <w:spacing w:before="0" w:after="100" w:line="254" w:lineRule="auto"/>
      </w:pPr>
      <w:r>
        <w:rPr>
          <w:rFonts w:ascii="Times New Roman" w:hAnsi="Times New Roman" w:eastAsia="Times New Roman"/>
          <w:color w:val="000000"/>
          <w:sz w:val="20"/>
        </w:rPr>
        <w:t>For an empirical prediction, preconditions may include instrument calibration, independence of calibration and test records, successful manipulation checks, sufficient identification, and a fixed estimand. The postcondition may permit supported, contradicted, or unresolved. The invariant may forbid changing an exclusion rule after outcomes are opened. An experiment that violates a precondition does not count as negative evidence; it is inadmissible for that claim.</w:t>
      </w:r>
    </w:p>
    <w:p>
      <w:pPr>
        <w:widowControl/>
        <w:spacing w:before="0" w:after="100" w:line="254" w:lineRule="auto"/>
      </w:pPr>
      <w:r>
        <w:rPr>
          <w:rFonts w:ascii="Times New Roman" w:hAnsi="Times New Roman" w:eastAsia="Times New Roman"/>
          <w:color w:val="000000"/>
          <w:sz w:val="20"/>
        </w:rPr>
        <w:t>This distinction is essential. Scientific workflows often collapse three outcomes into two: confirmation or failure. Philosophy Engineering distinguishes support, contradiction, and inability to grade. An intervention that fails to move its target construct does not contradict the construct's predicted effect. A model that cannot be calibrated does not support a null. An answer that exceeds a generation limit is not equivalent to a parsed answer that disagrees.</w:t>
      </w:r>
    </w:p>
    <w:p>
      <w:pPr>
        <w:pStyle w:val="Heading1"/>
      </w:pPr>
      <w:r>
        <w:rPr>
          <w:rFonts w:ascii="Arial" w:hAnsi="Arial" w:eastAsia="Arial"/>
          <w:b/>
          <w:color w:val="000000"/>
          <w:sz w:val="26"/>
        </w:rPr>
        <w:t>4 Epistemic SciOps</w:t>
      </w:r>
    </w:p>
    <w:p>
      <w:pPr>
        <w:pStyle w:val="Heading2"/>
      </w:pPr>
      <w:r>
        <w:rPr>
          <w:rFonts w:ascii="Arial" w:hAnsi="Arial" w:eastAsia="Arial"/>
          <w:b/>
          <w:color w:val="000000"/>
          <w:sz w:val="22"/>
        </w:rPr>
        <w:t>4.1 Relation to existing SciOps</w:t>
      </w:r>
    </w:p>
    <w:p>
      <w:pPr>
        <w:widowControl/>
        <w:spacing w:before="0" w:after="100" w:line="254" w:lineRule="auto"/>
      </w:pPr>
      <w:r>
        <w:rPr>
          <w:rFonts w:ascii="Times New Roman" w:hAnsi="Times New Roman" w:eastAsia="Times New Roman"/>
          <w:color w:val="000000"/>
          <w:sz w:val="20"/>
        </w:rPr>
        <w:t>SciOps has been proposed as a maturity model and operational framework for reliable, scalable, data-intensive research [18]. Related work applies repositories, continuous integration, and containers to scientific computing [19]. These efforts supply much of the infrastructure required here. Epistemic SciOps names an additional control plane above that infrastructure. It operates the relation among theory, experiment, evidence, and warranted claim.</w:t>
      </w:r>
    </w:p>
    <w:p>
      <w:pPr>
        <w:widowControl/>
        <w:spacing w:before="0" w:after="100" w:line="254" w:lineRule="auto"/>
      </w:pPr>
      <w:r>
        <w:rPr>
          <w:rFonts w:ascii="Times New Roman" w:hAnsi="Times New Roman" w:eastAsia="Times New Roman"/>
          <w:color w:val="000000"/>
          <w:sz w:val="20"/>
        </w:rPr>
        <w:t>The distinction can be stated through their failure criteria. Existing SciOps fails when the environment cannot be reconstructed, the pipeline cannot execute, provenance is lost, or collaboration does not scale. Epistemic SciOps fails when an executable pipeline cannot answer whether the test discriminated among live explanations, whether the named construct was manipulated, or which claims must change after the result.</w:t>
      </w:r>
    </w:p>
    <w:p>
      <w:pPr>
        <w:pStyle w:val="Caption"/>
        <w:keepNext/>
        <w:widowControl/>
        <w:spacing w:before="140" w:after="60" w:line="240" w:lineRule="auto"/>
        <w:jc w:val="left"/>
      </w:pPr>
      <w:r>
        <w:rPr>
          <w:rFonts w:ascii="Times New Roman" w:hAnsi="Times New Roman" w:eastAsia="Times New Roman"/>
          <w:i/>
          <w:color w:val="000000"/>
          <w:sz w:val="18"/>
        </w:rPr>
        <w:t>Table 3  Operational correspondence between DevOps and Epistemic SciOps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2088"/>
            <w:vAlign w:val="center"/>
            <w:shd w:fill="243B53"/>
            <w:tcMar>
              <w:top w:w="110" w:type="dxa"/>
              <w:start w:w="100" w:type="dxa"/>
              <w:bottom w:w="110" w:type="dxa"/>
              <w:end w:w="100" w:type="dxa"/>
            </w:tcMar>
          </w:tcPr>
          <w:p>
            <w:pPr>
              <w:widowControl/>
              <w:spacing w:before="0" w:after="0" w:line="240" w:lineRule="auto"/>
              <w:jc w:val="left"/>
            </w:pPr>
            <w:r>
              <w:rPr>
                <w:rFonts w:ascii="Arial" w:hAnsi="Arial" w:eastAsia="Arial"/>
                <w:b/>
                <w:color w:val="FFFFFF"/>
                <w:sz w:val="17"/>
              </w:rPr>
              <w:t>DevOps object</w:t>
            </w:r>
          </w:p>
        </w:tc>
        <w:tc>
          <w:tcPr>
            <w:tcW w:type="dxa" w:w="3312"/>
            <w:vAlign w:val="center"/>
            <w:shd w:fill="243B53"/>
            <w:tcMar>
              <w:top w:w="110" w:type="dxa"/>
              <w:start w:w="100" w:type="dxa"/>
              <w:bottom w:w="110" w:type="dxa"/>
              <w:end w:w="100" w:type="dxa"/>
            </w:tcMar>
          </w:tcPr>
          <w:p>
            <w:pPr>
              <w:widowControl/>
              <w:spacing w:before="0" w:after="0" w:line="240" w:lineRule="auto"/>
              <w:jc w:val="left"/>
            </w:pPr>
            <w:r>
              <w:rPr>
                <w:rFonts w:ascii="Arial" w:hAnsi="Arial" w:eastAsia="Arial"/>
                <w:b/>
                <w:color w:val="FFFFFF"/>
                <w:sz w:val="17"/>
              </w:rPr>
              <w:t>Epistemic SciOps object</w:t>
            </w:r>
          </w:p>
        </w:tc>
        <w:tc>
          <w:tcPr>
            <w:tcW w:type="dxa" w:w="4392"/>
            <w:vAlign w:val="center"/>
            <w:shd w:fill="243B53"/>
            <w:tcMar>
              <w:top w:w="110" w:type="dxa"/>
              <w:start w:w="100" w:type="dxa"/>
              <w:bottom w:w="110" w:type="dxa"/>
              <w:end w:w="100" w:type="dxa"/>
            </w:tcMar>
          </w:tcPr>
          <w:p>
            <w:pPr>
              <w:widowControl/>
              <w:spacing w:before="0" w:after="0" w:line="240" w:lineRule="auto"/>
              <w:jc w:val="left"/>
            </w:pPr>
            <w:r>
              <w:rPr>
                <w:rFonts w:ascii="Arial" w:hAnsi="Arial" w:eastAsia="Arial"/>
                <w:b/>
                <w:color w:val="FFFFFF"/>
                <w:sz w:val="17"/>
              </w:rPr>
              <w:t>Function</w:t>
            </w:r>
          </w:p>
        </w:tc>
      </w:tr>
      <w:tr>
        <w:trPr>
          <w:cantSplit/>
        </w:trPr>
        <w:tc>
          <w:tcPr>
            <w:tcW w:type="dxa" w:w="2088"/>
            <w:vAlign w:val="center"/>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Source code</w:t>
            </w:r>
          </w:p>
        </w:tc>
        <w:tc>
          <w:tcPr>
            <w:tcW w:type="dxa" w:w="3312"/>
            <w:vAlign w:val="center"/>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Theory and claim graph</w:t>
            </w:r>
          </w:p>
        </w:tc>
        <w:tc>
          <w:tcPr>
            <w:tcW w:type="dxa" w:w="4392"/>
            <w:vAlign w:val="center"/>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Version the object whose behavior is being changed</w:t>
            </w:r>
          </w:p>
        </w:tc>
      </w:tr>
      <w:tr>
        <w:trPr>
          <w:cantSplit/>
        </w:trPr>
        <w:tc>
          <w:tcPr>
            <w:tcW w:type="dxa" w:w="2088"/>
            <w:vAlign w:val="center"/>
            <w:shd w:fill="F3F8FC"/>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Type checker</w:t>
            </w:r>
          </w:p>
        </w:tc>
        <w:tc>
          <w:tcPr>
            <w:tcW w:type="dxa" w:w="3312"/>
            <w:vAlign w:val="center"/>
            <w:shd w:fill="F3F8FC"/>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Claim schema and dependency validator</w:t>
            </w:r>
          </w:p>
        </w:tc>
        <w:tc>
          <w:tcPr>
            <w:tcW w:type="dxa" w:w="4392"/>
            <w:vAlign w:val="center"/>
            <w:shd w:fill="F3F8FC"/>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Reject malformed objects and invalid interfaces</w:t>
            </w:r>
          </w:p>
        </w:tc>
      </w:tr>
      <w:tr>
        <w:trPr>
          <w:cantSplit/>
        </w:trPr>
        <w:tc>
          <w:tcPr>
            <w:tcW w:type="dxa" w:w="2088"/>
            <w:vAlign w:val="center"/>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Build</w:t>
            </w:r>
          </w:p>
        </w:tc>
        <w:tc>
          <w:tcPr>
            <w:tcW w:type="dxa" w:w="3312"/>
            <w:vAlign w:val="center"/>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Compilation into test obligations</w:t>
            </w:r>
          </w:p>
        </w:tc>
        <w:tc>
          <w:tcPr>
            <w:tcW w:type="dxa" w:w="4392"/>
            <w:vAlign w:val="center"/>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Resolve definitions, assumptions and required gates</w:t>
            </w:r>
          </w:p>
        </w:tc>
      </w:tr>
      <w:tr>
        <w:trPr>
          <w:cantSplit/>
        </w:trPr>
        <w:tc>
          <w:tcPr>
            <w:tcW w:type="dxa" w:w="2088"/>
            <w:vAlign w:val="center"/>
            <w:shd w:fill="F3F8FC"/>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Tests</w:t>
            </w:r>
          </w:p>
        </w:tc>
        <w:tc>
          <w:tcPr>
            <w:tcW w:type="dxa" w:w="3312"/>
            <w:vAlign w:val="center"/>
            <w:shd w:fill="F3F8FC"/>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Falsifiers and admission gates</w:t>
            </w:r>
          </w:p>
        </w:tc>
        <w:tc>
          <w:tcPr>
            <w:tcW w:type="dxa" w:w="4392"/>
            <w:vAlign w:val="center"/>
            <w:shd w:fill="F3F8FC"/>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Expose changes that block promotion</w:t>
            </w:r>
          </w:p>
        </w:tc>
      </w:tr>
      <w:tr>
        <w:trPr>
          <w:cantSplit/>
        </w:trPr>
        <w:tc>
          <w:tcPr>
            <w:tcW w:type="dxa" w:w="2088"/>
            <w:vAlign w:val="center"/>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Continuous integration</w:t>
            </w:r>
          </w:p>
        </w:tc>
        <w:tc>
          <w:tcPr>
            <w:tcW w:type="dxa" w:w="3312"/>
            <w:vAlign w:val="center"/>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Dependency-triggered validation</w:t>
            </w:r>
          </w:p>
        </w:tc>
        <w:tc>
          <w:tcPr>
            <w:tcW w:type="dxa" w:w="4392"/>
            <w:vAlign w:val="center"/>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Recheck affected claims after an input changes</w:t>
            </w:r>
          </w:p>
        </w:tc>
      </w:tr>
      <w:tr>
        <w:trPr>
          <w:cantSplit/>
        </w:trPr>
        <w:tc>
          <w:tcPr>
            <w:tcW w:type="dxa" w:w="2088"/>
            <w:vAlign w:val="center"/>
            <w:shd w:fill="F3F8FC"/>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Build artifact</w:t>
            </w:r>
          </w:p>
        </w:tc>
        <w:tc>
          <w:tcPr>
            <w:tcW w:type="dxa" w:w="3312"/>
            <w:vAlign w:val="center"/>
            <w:shd w:fill="F3F8FC"/>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Scientific release</w:t>
            </w:r>
          </w:p>
        </w:tc>
        <w:tc>
          <w:tcPr>
            <w:tcW w:type="dxa" w:w="4392"/>
            <w:vAlign w:val="center"/>
            <w:shd w:fill="F3F8FC"/>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Bind qualified claims to evidence and execution records</w:t>
            </w:r>
          </w:p>
        </w:tc>
      </w:tr>
      <w:tr>
        <w:trPr>
          <w:cantSplit/>
        </w:trPr>
        <w:tc>
          <w:tcPr>
            <w:tcW w:type="dxa" w:w="2088"/>
            <w:vAlign w:val="center"/>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Deployment</w:t>
            </w:r>
          </w:p>
        </w:tc>
        <w:tc>
          <w:tcPr>
            <w:tcW w:type="dxa" w:w="3312"/>
            <w:vAlign w:val="center"/>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Qualified publication</w:t>
            </w:r>
          </w:p>
        </w:tc>
        <w:tc>
          <w:tcPr>
            <w:tcW w:type="dxa" w:w="4392"/>
            <w:vAlign w:val="center"/>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Make a release available under a declared status</w:t>
            </w:r>
          </w:p>
        </w:tc>
      </w:tr>
      <w:tr>
        <w:trPr>
          <w:cantSplit/>
        </w:trPr>
        <w:tc>
          <w:tcPr>
            <w:tcW w:type="dxa" w:w="2088"/>
            <w:vAlign w:val="center"/>
            <w:shd w:fill="F3F8FC"/>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Monitoring</w:t>
            </w:r>
          </w:p>
        </w:tc>
        <w:tc>
          <w:tcPr>
            <w:tcW w:type="dxa" w:w="3312"/>
            <w:vAlign w:val="center"/>
            <w:shd w:fill="F3F8FC"/>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Replication, drift and new evidence</w:t>
            </w:r>
          </w:p>
        </w:tc>
        <w:tc>
          <w:tcPr>
            <w:tcW w:type="dxa" w:w="4392"/>
            <w:vAlign w:val="center"/>
            <w:shd w:fill="F3F8FC"/>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Detect conditions that require reassessment</w:t>
            </w:r>
          </w:p>
        </w:tc>
      </w:tr>
      <w:tr>
        <w:trPr>
          <w:cantSplit/>
        </w:trPr>
        <w:tc>
          <w:tcPr>
            <w:tcW w:type="dxa" w:w="2088"/>
            <w:vAlign w:val="center"/>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Rollback</w:t>
            </w:r>
          </w:p>
        </w:tc>
        <w:tc>
          <w:tcPr>
            <w:tcW w:type="dxa" w:w="3312"/>
            <w:vAlign w:val="center"/>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Status downgrade or supersession</w:t>
            </w:r>
          </w:p>
        </w:tc>
        <w:tc>
          <w:tcPr>
            <w:tcW w:type="dxa" w:w="4392"/>
            <w:vAlign w:val="center"/>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Withdraw authority without erasing history</w:t>
            </w:r>
          </w:p>
        </w:tc>
      </w:tr>
    </w:tbl>
    <w:p>
      <w:pPr>
        <w:widowControl/>
        <w:spacing w:before="0" w:after="20" w:line="240" w:lineRule="auto"/>
      </w:pPr>
    </w:p>
    <w:p>
      <w:pPr>
        <w:pStyle w:val="Heading2"/>
      </w:pPr>
      <w:r>
        <w:rPr>
          <w:rFonts w:ascii="Arial" w:hAnsi="Arial" w:eastAsia="Arial"/>
          <w:b/>
          <w:color w:val="000000"/>
          <w:sz w:val="22"/>
        </w:rPr>
        <w:t>4.2 The lifecycle</w:t>
      </w:r>
    </w:p>
    <w:p>
      <w:pPr>
        <w:keepNext/>
        <w:widowControl/>
        <w:spacing w:before="0" w:after="100" w:line="254" w:lineRule="auto"/>
      </w:pPr>
      <w:r>
        <w:rPr>
          <w:rFonts w:ascii="Times New Roman" w:hAnsi="Times New Roman" w:eastAsia="Times New Roman"/>
          <w:color w:val="000000"/>
          <w:sz w:val="20"/>
        </w:rPr>
        <w:t>The lifecycle is a loop rather than a one-way publication process.</w:t>
      </w:r>
    </w:p>
    <w:p>
      <w:pPr>
        <w:keepNext/>
        <w:widowControl/>
        <w:spacing w:before="80" w:after="40" w:line="240" w:lineRule="auto"/>
        <w:jc w:val="center"/>
      </w:pPr>
      <w:r>
        <w:drawing>
          <wp:inline xmlns:a="http://schemas.openxmlformats.org/drawingml/2006/main" xmlns:pic="http://schemas.openxmlformats.org/drawingml/2006/picture">
            <wp:extent cx="6035040" cy="2816352"/>
            <wp:docPr id="1" name="Picture 1" title="Epistemic SciOps lifecycle" descr="A six-stage loop from claim source through compile and register, execute and capture, qualify and release, monitor and audit, and revise or retire, returning to the claim source."/>
            <wp:cNvGraphicFramePr>
              <a:graphicFrameLocks noChangeAspect="1"/>
            </wp:cNvGraphicFramePr>
            <a:graphic>
              <a:graphicData uri="http://schemas.openxmlformats.org/drawingml/2006/picture">
                <pic:pic>
                  <pic:nvPicPr>
                    <pic:cNvPr id="0" name="lifecycle.png"/>
                    <pic:cNvPicPr/>
                  </pic:nvPicPr>
                  <pic:blipFill>
                    <a:blip r:embed="rId10"/>
                    <a:stretch>
                      <a:fillRect/>
                    </a:stretch>
                  </pic:blipFill>
                  <pic:spPr>
                    <a:xfrm>
                      <a:off x="0" y="0"/>
                      <a:ext cx="6035040" cy="2816352"/>
                    </a:xfrm>
                    <a:prstGeom prst="rect"/>
                  </pic:spPr>
                </pic:pic>
              </a:graphicData>
            </a:graphic>
          </wp:inline>
        </w:drawing>
      </w:r>
    </w:p>
    <w:p>
      <w:pPr>
        <w:pStyle w:val="Caption"/>
        <w:widowControl/>
        <w:spacing w:before="140" w:after="60" w:line="240" w:lineRule="auto"/>
        <w:jc w:val="left"/>
      </w:pPr>
      <w:r>
        <w:rPr>
          <w:rFonts w:ascii="Times New Roman" w:hAnsi="Times New Roman" w:eastAsia="Times New Roman"/>
          <w:i/>
          <w:color w:val="000000"/>
          <w:sz w:val="18"/>
        </w:rPr>
        <w:t>Figure 1  Epistemic SciOps lifecycle with dependency-triggered revision</w:t>
      </w:r>
    </w:p>
    <w:p>
      <w:pPr>
        <w:widowControl/>
        <w:spacing w:before="0" w:after="100" w:line="254" w:lineRule="auto"/>
      </w:pPr>
      <w:r>
        <w:rPr>
          <w:rFonts w:ascii="Times New Roman" w:hAnsi="Times New Roman" w:eastAsia="Times New Roman"/>
          <w:color w:val="000000"/>
          <w:sz w:val="20"/>
        </w:rPr>
        <w:t>The source phase creates or revises the claim graph. Compilation resolves definitions, checks dependency closure, and produces obligations for identification and testing. Registration freezes the parts of the design that must precede access to outcomes. Execution produces data, logs, and environment records. Qualification applies the registered decision rules and instrument checks. Release creates an immutable snapshot of claims and their warrants. Monitoring watches for new evidence, dependency changes, replications, and drift. A trigger reopens only the affected subgraph.</w:t>
      </w:r>
    </w:p>
    <w:p>
      <w:pPr>
        <w:widowControl/>
        <w:spacing w:before="0" w:after="100" w:line="254" w:lineRule="auto"/>
      </w:pPr>
      <w:r>
        <w:rPr>
          <w:rFonts w:ascii="Times New Roman" w:hAnsi="Times New Roman" w:eastAsia="Times New Roman"/>
          <w:color w:val="000000"/>
          <w:sz w:val="20"/>
        </w:rPr>
        <w:t>Continuous does not mean that every claim is recomputed after every edit. It means that a change has a deterministic impact analysis and cannot silently leave downstream claims in an obsolete state. High-cost experiments may be queued rather than rerun. Their dependent claims become stale or pending until the obligation is discharged.</w:t>
      </w:r>
    </w:p>
    <w:p>
      <w:pPr>
        <w:pStyle w:val="Heading2"/>
      </w:pPr>
      <w:r>
        <w:rPr>
          <w:rFonts w:ascii="Arial" w:hAnsi="Arial" w:eastAsia="Arial"/>
          <w:b/>
          <w:color w:val="000000"/>
          <w:sz w:val="22"/>
        </w:rPr>
        <w:t>4.3 The eight gates</w:t>
      </w:r>
    </w:p>
    <w:p>
      <w:pPr>
        <w:widowControl/>
        <w:spacing w:before="0" w:after="100" w:line="254" w:lineRule="auto"/>
      </w:pPr>
      <w:r>
        <w:rPr>
          <w:rFonts w:ascii="Times New Roman" w:hAnsi="Times New Roman" w:eastAsia="Times New Roman"/>
          <w:color w:val="000000"/>
          <w:sz w:val="20"/>
        </w:rPr>
        <w:t>The minimum viable pipeline contains eight gates.</w:t>
      </w:r>
    </w:p>
    <w:p>
      <w:pPr>
        <w:widowControl/>
        <w:spacing w:before="40" w:after="80" w:line="254" w:lineRule="auto"/>
        <w:ind w:left="259" w:hanging="259"/>
      </w:pPr>
      <w:r>
        <w:rPr>
          <w:rFonts w:ascii="Times New Roman" w:hAnsi="Times New Roman" w:eastAsia="Times New Roman"/>
          <w:color w:val="000000"/>
          <w:sz w:val="20"/>
        </w:rPr>
        <w:t xml:space="preserve">1. </w:t>
      </w:r>
      <w:r>
        <w:rPr>
          <w:rFonts w:ascii="Times New Roman" w:hAnsi="Times New Roman" w:eastAsia="Times New Roman"/>
          <w:b/>
          <w:color w:val="000000"/>
          <w:sz w:val="20"/>
        </w:rPr>
        <w:t>Syntax and type gate.</w:t>
      </w:r>
      <w:r>
        <w:rPr>
          <w:rFonts w:ascii="Times New Roman" w:hAnsi="Times New Roman" w:eastAsia="Times New Roman"/>
          <w:color w:val="000000"/>
          <w:sz w:val="20"/>
        </w:rPr>
        <w:t xml:space="preserve"> Every released claim has an identifier, kind, scope, owner, and version. Every evidence edge points to an existing artifact.</w:t>
      </w:r>
    </w:p>
    <w:p>
      <w:pPr>
        <w:widowControl/>
        <w:spacing w:before="40" w:after="80" w:line="254" w:lineRule="auto"/>
        <w:ind w:left="259" w:hanging="259"/>
      </w:pPr>
      <w:r>
        <w:rPr>
          <w:rFonts w:ascii="Times New Roman" w:hAnsi="Times New Roman" w:eastAsia="Times New Roman"/>
          <w:color w:val="000000"/>
          <w:sz w:val="20"/>
        </w:rPr>
        <w:t xml:space="preserve">2. </w:t>
      </w:r>
      <w:r>
        <w:rPr>
          <w:rFonts w:ascii="Times New Roman" w:hAnsi="Times New Roman" w:eastAsia="Times New Roman"/>
          <w:b/>
          <w:color w:val="000000"/>
          <w:sz w:val="20"/>
        </w:rPr>
        <w:t>Dependency gate.</w:t>
      </w:r>
      <w:r>
        <w:rPr>
          <w:rFonts w:ascii="Times New Roman" w:hAnsi="Times New Roman" w:eastAsia="Times New Roman"/>
          <w:color w:val="000000"/>
          <w:sz w:val="20"/>
        </w:rPr>
        <w:t xml:space="preserve"> Required definitions, assumptions, and upstream claims are present. Cycles are declared and justified rather than introduced accidentally.</w:t>
      </w:r>
    </w:p>
    <w:p>
      <w:pPr>
        <w:widowControl/>
        <w:spacing w:before="40" w:after="80" w:line="254" w:lineRule="auto"/>
        <w:ind w:left="259" w:hanging="259"/>
      </w:pPr>
      <w:r>
        <w:rPr>
          <w:rFonts w:ascii="Times New Roman" w:hAnsi="Times New Roman" w:eastAsia="Times New Roman"/>
          <w:color w:val="000000"/>
          <w:sz w:val="20"/>
        </w:rPr>
        <w:t xml:space="preserve">3. </w:t>
      </w:r>
      <w:r>
        <w:rPr>
          <w:rFonts w:ascii="Times New Roman" w:hAnsi="Times New Roman" w:eastAsia="Times New Roman"/>
          <w:b/>
          <w:color w:val="000000"/>
          <w:sz w:val="20"/>
        </w:rPr>
        <w:t>Nonvacuity gate.</w:t>
      </w:r>
      <w:r>
        <w:rPr>
          <w:rFonts w:ascii="Times New Roman" w:hAnsi="Times New Roman" w:eastAsia="Times New Roman"/>
          <w:color w:val="000000"/>
          <w:sz w:val="20"/>
        </w:rPr>
        <w:t xml:space="preserve"> The registered design admits at least one possible record that would withhold or reverse the intended promotion. Free components capable of absorbing every outcome are identified.</w:t>
      </w:r>
    </w:p>
    <w:p>
      <w:pPr>
        <w:widowControl/>
        <w:spacing w:before="40" w:after="80" w:line="254" w:lineRule="auto"/>
        <w:ind w:left="259" w:hanging="259"/>
      </w:pPr>
      <w:r>
        <w:rPr>
          <w:rFonts w:ascii="Times New Roman" w:hAnsi="Times New Roman" w:eastAsia="Times New Roman"/>
          <w:color w:val="000000"/>
          <w:sz w:val="20"/>
        </w:rPr>
        <w:t xml:space="preserve">4. </w:t>
      </w:r>
      <w:r>
        <w:rPr>
          <w:rFonts w:ascii="Times New Roman" w:hAnsi="Times New Roman" w:eastAsia="Times New Roman"/>
          <w:b/>
          <w:color w:val="000000"/>
          <w:sz w:val="20"/>
        </w:rPr>
        <w:t>Identification gate.</w:t>
      </w:r>
      <w:r>
        <w:rPr>
          <w:rFonts w:ascii="Times New Roman" w:hAnsi="Times New Roman" w:eastAsia="Times New Roman"/>
          <w:color w:val="000000"/>
          <w:sz w:val="20"/>
        </w:rPr>
        <w:t xml:space="preserve"> Parameters, representations, instruments, classes, and causal contrasts are identified on evidence appropriate to their role. Shared data between calibration and evaluation are declared. Where a subspace or latent component is claimed, its stability is checked against the realized sample.</w:t>
      </w:r>
    </w:p>
    <w:p>
      <w:pPr>
        <w:widowControl/>
        <w:spacing w:before="40" w:after="80" w:line="254" w:lineRule="auto"/>
        <w:ind w:left="259" w:hanging="259"/>
      </w:pPr>
      <w:r>
        <w:rPr>
          <w:rFonts w:ascii="Times New Roman" w:hAnsi="Times New Roman" w:eastAsia="Times New Roman"/>
          <w:color w:val="000000"/>
          <w:sz w:val="20"/>
        </w:rPr>
        <w:t xml:space="preserve">5. </w:t>
      </w:r>
      <w:r>
        <w:rPr>
          <w:rFonts w:ascii="Times New Roman" w:hAnsi="Times New Roman" w:eastAsia="Times New Roman"/>
          <w:b/>
          <w:color w:val="000000"/>
          <w:sz w:val="20"/>
        </w:rPr>
        <w:t>Intervention gate.</w:t>
      </w:r>
      <w:r>
        <w:rPr>
          <w:rFonts w:ascii="Times New Roman" w:hAnsi="Times New Roman" w:eastAsia="Times New Roman"/>
          <w:color w:val="000000"/>
          <w:sz w:val="20"/>
        </w:rPr>
        <w:t xml:space="preserve"> A manipulation check establishes that the intervention moved the named construct without destroying the measurement instrument or directly constructing the predicted response.</w:t>
      </w:r>
    </w:p>
    <w:p>
      <w:pPr>
        <w:widowControl/>
        <w:spacing w:before="40" w:after="80" w:line="254" w:lineRule="auto"/>
        <w:ind w:left="259" w:hanging="259"/>
      </w:pPr>
      <w:r>
        <w:rPr>
          <w:rFonts w:ascii="Times New Roman" w:hAnsi="Times New Roman" w:eastAsia="Times New Roman"/>
          <w:color w:val="000000"/>
          <w:sz w:val="20"/>
        </w:rPr>
        <w:t xml:space="preserve">6. </w:t>
      </w:r>
      <w:r>
        <w:rPr>
          <w:rFonts w:ascii="Times New Roman" w:hAnsi="Times New Roman" w:eastAsia="Times New Roman"/>
          <w:b/>
          <w:color w:val="000000"/>
          <w:sz w:val="20"/>
        </w:rPr>
        <w:t>Execution gate.</w:t>
      </w:r>
      <w:r>
        <w:rPr>
          <w:rFonts w:ascii="Times New Roman" w:hAnsi="Times New Roman" w:eastAsia="Times New Roman"/>
          <w:color w:val="000000"/>
          <w:sz w:val="20"/>
        </w:rPr>
        <w:t xml:space="preserve"> The protocol ran as registered, the environment and inputs are captured, deviations are logged, and the result can be reconstructed within the declared tolerance.</w:t>
      </w:r>
    </w:p>
    <w:p>
      <w:pPr>
        <w:widowControl/>
        <w:spacing w:before="40" w:after="80" w:line="254" w:lineRule="auto"/>
        <w:ind w:left="259" w:hanging="259"/>
      </w:pPr>
      <w:r>
        <w:rPr>
          <w:rFonts w:ascii="Times New Roman" w:hAnsi="Times New Roman" w:eastAsia="Times New Roman"/>
          <w:color w:val="000000"/>
          <w:sz w:val="20"/>
        </w:rPr>
        <w:t xml:space="preserve">7. </w:t>
      </w:r>
      <w:r>
        <w:rPr>
          <w:rFonts w:ascii="Times New Roman" w:hAnsi="Times New Roman" w:eastAsia="Times New Roman"/>
          <w:b/>
          <w:color w:val="000000"/>
          <w:sz w:val="20"/>
        </w:rPr>
        <w:t>Inference gate.</w:t>
      </w:r>
      <w:r>
        <w:rPr>
          <w:rFonts w:ascii="Times New Roman" w:hAnsi="Times New Roman" w:eastAsia="Times New Roman"/>
          <w:color w:val="000000"/>
          <w:sz w:val="20"/>
        </w:rPr>
        <w:t xml:space="preserve"> The estimand, exclusions, multiplicity rules, and decision thresholds match the registration. Selection induced by the treatment is handled on the target population rather than conditioned away.</w:t>
      </w:r>
    </w:p>
    <w:p>
      <w:pPr>
        <w:widowControl/>
        <w:spacing w:before="40" w:after="80" w:line="254" w:lineRule="auto"/>
        <w:ind w:left="259" w:hanging="259"/>
      </w:pPr>
      <w:r>
        <w:rPr>
          <w:rFonts w:ascii="Times New Roman" w:hAnsi="Times New Roman" w:eastAsia="Times New Roman"/>
          <w:color w:val="000000"/>
          <w:sz w:val="20"/>
        </w:rPr>
        <w:t xml:space="preserve">8. </w:t>
      </w:r>
      <w:r>
        <w:rPr>
          <w:rFonts w:ascii="Times New Roman" w:hAnsi="Times New Roman" w:eastAsia="Times New Roman"/>
          <w:b/>
          <w:color w:val="000000"/>
          <w:sz w:val="20"/>
        </w:rPr>
        <w:t>Release gate.</w:t>
      </w:r>
      <w:r>
        <w:rPr>
          <w:rFonts w:ascii="Times New Roman" w:hAnsi="Times New Roman" w:eastAsia="Times New Roman"/>
          <w:color w:val="000000"/>
          <w:sz w:val="20"/>
        </w:rPr>
        <w:t xml:space="preserve"> Status transitions follow the epistemic contract; contradictory upstream states propagate; the release contains a human-readable account and a machine-readable manifest.</w:t>
      </w:r>
    </w:p>
    <w:p>
      <w:pPr>
        <w:widowControl/>
        <w:spacing w:before="0" w:after="100" w:line="254" w:lineRule="auto"/>
      </w:pPr>
      <w:r>
        <w:rPr>
          <w:rFonts w:ascii="Times New Roman" w:hAnsi="Times New Roman" w:eastAsia="Times New Roman"/>
          <w:color w:val="000000"/>
          <w:sz w:val="20"/>
        </w:rPr>
        <w:t>The gates are not a universal checklist to be marked yes by an author. Each gate must produce an artifact or a computable test where feasible. A nonvacuity gate may enumerate counterexample records. An identification gate may report a rank condition or posterior concentration. An intervention gate may compare a prespecified diagnostic with its threshold. Judgment remains, but its location is visible.</w:t>
      </w:r>
    </w:p>
    <w:p>
      <w:pPr>
        <w:pStyle w:val="Heading2"/>
      </w:pPr>
      <w:r>
        <w:rPr>
          <w:rFonts w:ascii="Arial" w:hAnsi="Arial" w:eastAsia="Arial"/>
          <w:b/>
          <w:color w:val="000000"/>
          <w:sz w:val="22"/>
        </w:rPr>
        <w:t>4.4 Scientific releases</w:t>
      </w:r>
    </w:p>
    <w:p>
      <w:pPr>
        <w:widowControl/>
        <w:spacing w:before="0" w:after="100" w:line="254" w:lineRule="auto"/>
      </w:pPr>
      <w:r>
        <w:rPr>
          <w:rFonts w:ascii="Times New Roman" w:hAnsi="Times New Roman" w:eastAsia="Times New Roman"/>
          <w:color w:val="000000"/>
          <w:sz w:val="20"/>
        </w:rPr>
        <w:t>A scientific release is an immutable, addressable snapshot containing the claim graph, epistemic contracts, protocols, evidence links, execution manifests, environment descriptions, gate results, known limitations, and a narrative rendering. It can be packaged using RO-Crate and PROV-compatible metadata [16, 17]. The narrative paper remains important because explanation, criticism, and conceptual synthesis cannot be reduced to a manifest. It is no longer the sole authoritative representation.</w:t>
      </w:r>
    </w:p>
    <w:p>
      <w:pPr>
        <w:widowControl/>
        <w:spacing w:before="0" w:after="100" w:line="254" w:lineRule="auto"/>
      </w:pPr>
      <w:r>
        <w:rPr>
          <w:rFonts w:ascii="Times New Roman" w:hAnsi="Times New Roman" w:eastAsia="Times New Roman"/>
          <w:color w:val="000000"/>
          <w:sz w:val="20"/>
        </w:rPr>
        <w:t>Releases preserve history. A later contradiction does not rewrite an earlier release. It creates a new release in which the claim state changes and the reason is linked. This supports citation at the level actually used: a reader may cite the theory definition from one version, an experimental result from another, or a current status summary that traverses both.</w:t>
      </w:r>
    </w:p>
    <w:p>
      <w:pPr>
        <w:widowControl/>
        <w:spacing w:before="0" w:after="100" w:line="254" w:lineRule="auto"/>
      </w:pPr>
      <w:r>
        <w:rPr>
          <w:rFonts w:ascii="Times New Roman" w:hAnsi="Times New Roman" w:eastAsia="Times New Roman"/>
          <w:color w:val="000000"/>
          <w:sz w:val="20"/>
        </w:rPr>
        <w:t>A simple version policy is useful. A major version changes the meaning, scope, or dependency structure of a claim. A minor version adds evidence or extends the tested domain without changing meaning. A patch corrects presentation or metadata without changing the inference. The labels are less important than the invariant that a semantic change never masquerades as a clerical correction.</w:t>
      </w:r>
    </w:p>
    <w:p>
      <w:pPr>
        <w:pStyle w:val="Heading1"/>
      </w:pPr>
      <w:r>
        <w:rPr>
          <w:rFonts w:ascii="Arial" w:hAnsi="Arial" w:eastAsia="Arial"/>
          <w:b/>
          <w:color w:val="000000"/>
          <w:sz w:val="26"/>
        </w:rPr>
        <w:t>5 Reference architecture</w:t>
      </w:r>
    </w:p>
    <w:p>
      <w:pPr>
        <w:pStyle w:val="Heading2"/>
      </w:pPr>
      <w:r>
        <w:rPr>
          <w:rFonts w:ascii="Arial" w:hAnsi="Arial" w:eastAsia="Arial"/>
          <w:b/>
          <w:color w:val="000000"/>
          <w:sz w:val="22"/>
        </w:rPr>
        <w:t>5.1 Components</w:t>
      </w:r>
    </w:p>
    <w:p>
      <w:pPr>
        <w:widowControl/>
        <w:spacing w:before="0" w:after="100" w:line="254" w:lineRule="auto"/>
      </w:pPr>
      <w:r>
        <w:rPr>
          <w:rFonts w:ascii="Times New Roman" w:hAnsi="Times New Roman" w:eastAsia="Times New Roman"/>
          <w:color w:val="000000"/>
          <w:sz w:val="20"/>
        </w:rPr>
        <w:t>The reference architecture has six logical services. They can begin as files and scripts in one repository.</w:t>
      </w:r>
    </w:p>
    <w:p>
      <w:pPr>
        <w:widowControl/>
        <w:spacing w:before="0" w:after="100" w:line="254" w:lineRule="auto"/>
      </w:pPr>
      <w:r>
        <w:rPr>
          <w:rFonts w:ascii="Times New Roman" w:hAnsi="Times New Roman" w:eastAsia="Times New Roman"/>
          <w:color w:val="000000"/>
          <w:sz w:val="20"/>
        </w:rPr>
        <w:t>The claim registry stores stable identifiers, versions, kinds, scopes, dependencies, and owners. The protocol registry stores registrations, amendments, and decision rules with timestamps. The evidence store points to data, code, instruments, calibration records, and external literature without requiring all bytes to reside in one system. The execution service runs reproducible workflows and records inputs, environments, logs, and outputs. The gate engine evaluates machine-checkable requirements and records human decisions for the rest. The release service assembles immutable packages and human-readable reports.</w:t>
      </w:r>
    </w:p>
    <w:p>
      <w:pPr>
        <w:widowControl/>
        <w:spacing w:before="0" w:after="100" w:line="254" w:lineRule="auto"/>
      </w:pPr>
      <w:r>
        <w:rPr>
          <w:rFonts w:ascii="Times New Roman" w:hAnsi="Times New Roman" w:eastAsia="Times New Roman"/>
          <w:color w:val="000000"/>
          <w:sz w:val="20"/>
        </w:rPr>
        <w:t>An event log connects the services. Events include claim changed, dependency changed, protocol registered, run completed, gate failed, evidence added, replication received, and claim status changed. Each event records the actor, time, inputs, and resulting objects. Existing provenance standards can represent much of this structure [17].</w:t>
      </w:r>
    </w:p>
    <w:p>
      <w:pPr>
        <w:pStyle w:val="Heading2"/>
      </w:pPr>
      <w:r>
        <w:rPr>
          <w:rFonts w:ascii="Arial" w:hAnsi="Arial" w:eastAsia="Arial"/>
          <w:b/>
          <w:color w:val="000000"/>
          <w:sz w:val="22"/>
        </w:rPr>
        <w:t>5.2 A minimal repository</w:t>
      </w:r>
    </w:p>
    <w:p>
      <w:pPr>
        <w:widowControl/>
        <w:spacing w:before="0" w:after="100" w:line="254" w:lineRule="auto"/>
      </w:pPr>
      <w:r>
        <w:rPr>
          <w:rFonts w:ascii="Times New Roman" w:hAnsi="Times New Roman" w:eastAsia="Times New Roman"/>
          <w:color w:val="000000"/>
          <w:sz w:val="20"/>
        </w:rPr>
        <w:t>A pilot does not require a new platform. A repository can use the following structure:</w:t>
      </w:r>
    </w:p>
    <w:p>
      <w:pPr>
        <w:widowControl/>
        <w:spacing w:before="60" w:after="120" w:line="240" w:lineRule="auto"/>
        <w:ind w:left="504" w:right="288"/>
        <w:shd w:fill="F7F7F7"/>
      </w:pPr>
      <w:r>
        <w:rPr>
          <w:rFonts w:ascii="Consolas" w:hAnsi="Consolas" w:eastAsia="Consolas"/>
          <w:color w:val="282828"/>
          <w:sz w:val="17"/>
        </w:rPr>
        <w:t>claims/          typed claim records and dependency graph</w:t>
      </w:r>
      <w:r>
        <w:br/>
      </w:r>
      <w:r>
        <w:rPr>
          <w:rFonts w:ascii="Consolas" w:hAnsi="Consolas" w:eastAsia="Consolas"/>
          <w:color w:val="282828"/>
          <w:sz w:val="17"/>
        </w:rPr>
        <w:t>definitions/     construct and measurement definitions</w:t>
      </w:r>
      <w:r>
        <w:br/>
      </w:r>
      <w:r>
        <w:rPr>
          <w:rFonts w:ascii="Consolas" w:hAnsi="Consolas" w:eastAsia="Consolas"/>
          <w:color w:val="282828"/>
          <w:sz w:val="17"/>
        </w:rPr>
        <w:t>protocols/       registrations and amendments</w:t>
      </w:r>
      <w:r>
        <w:br/>
      </w:r>
      <w:r>
        <w:rPr>
          <w:rFonts w:ascii="Consolas" w:hAnsi="Consolas" w:eastAsia="Consolas"/>
          <w:color w:val="282828"/>
          <w:sz w:val="17"/>
        </w:rPr>
        <w:t>experiments/     code, environments, fixtures, and run manifests</w:t>
      </w:r>
      <w:r>
        <w:br/>
      </w:r>
      <w:r>
        <w:rPr>
          <w:rFonts w:ascii="Consolas" w:hAnsi="Consolas" w:eastAsia="Consolas"/>
          <w:color w:val="282828"/>
          <w:sz w:val="17"/>
        </w:rPr>
        <w:t>evidence/        local artifacts or stable external references</w:t>
      </w:r>
      <w:r>
        <w:br/>
      </w:r>
      <w:r>
        <w:rPr>
          <w:rFonts w:ascii="Consolas" w:hAnsi="Consolas" w:eastAsia="Consolas"/>
          <w:color w:val="282828"/>
          <w:sz w:val="17"/>
        </w:rPr>
        <w:t>gates/           executable admission and inference checks</w:t>
      </w:r>
      <w:r>
        <w:br/>
      </w:r>
      <w:r>
        <w:rPr>
          <w:rFonts w:ascii="Consolas" w:hAnsi="Consolas" w:eastAsia="Consolas"/>
          <w:color w:val="282828"/>
          <w:sz w:val="17"/>
        </w:rPr>
        <w:t>releases/        immutable manifests and narrative snapshots</w:t>
      </w:r>
      <w:r>
        <w:br/>
      </w:r>
      <w:r>
        <w:rPr>
          <w:rFonts w:ascii="Consolas" w:hAnsi="Consolas" w:eastAsia="Consolas"/>
          <w:color w:val="282828"/>
          <w:sz w:val="17"/>
        </w:rPr>
        <w:t>ledger/          append-only events and claim-state transitions</w:t>
      </w:r>
    </w:p>
    <w:p>
      <w:pPr>
        <w:widowControl/>
        <w:spacing w:before="0" w:after="100" w:line="254" w:lineRule="auto"/>
      </w:pPr>
      <w:r>
        <w:rPr>
          <w:rFonts w:ascii="Times New Roman" w:hAnsi="Times New Roman" w:eastAsia="Times New Roman"/>
          <w:color w:val="000000"/>
          <w:sz w:val="20"/>
        </w:rPr>
        <w:t>Continuous integration validates the schema, resolves references, runs inexpensive gates, rebuilds affected summaries, and refuses a release when a blocking condition fails. Expensive or physical tests create pending obligations. A signed human decision may resolve a gate that cannot be automated, but it must identify the rule applied and the evidence inspected.</w:t>
      </w:r>
    </w:p>
    <w:p>
      <w:pPr>
        <w:widowControl/>
        <w:spacing w:before="0" w:after="100" w:line="254" w:lineRule="auto"/>
      </w:pPr>
      <w:r>
        <w:rPr>
          <w:rFonts w:ascii="Times New Roman" w:hAnsi="Times New Roman" w:eastAsia="Times New Roman"/>
          <w:color w:val="000000"/>
          <w:sz w:val="20"/>
        </w:rPr>
        <w:t>The first implementation should use plain text, JSON or YAML, Git, containerized runs, and an existing continuous integration service. A dedicated database, graphical editor, or ontology can follow observed needs. Premature platform construction would reproduce the error the discipline is intended to prevent: fitting elaborate machinery before identifying the discriminating requirements.</w:t>
      </w:r>
    </w:p>
    <w:p>
      <w:pPr>
        <w:pStyle w:val="Heading2"/>
      </w:pPr>
      <w:r>
        <w:rPr>
          <w:rFonts w:ascii="Arial" w:hAnsi="Arial" w:eastAsia="Arial"/>
          <w:b/>
          <w:color w:val="000000"/>
          <w:sz w:val="22"/>
        </w:rPr>
        <w:t>5.3 Human and artificial agents</w:t>
      </w:r>
    </w:p>
    <w:p>
      <w:pPr>
        <w:widowControl/>
        <w:spacing w:before="0" w:after="100" w:line="254" w:lineRule="auto"/>
      </w:pPr>
      <w:r>
        <w:rPr>
          <w:rFonts w:ascii="Times New Roman" w:hAnsi="Times New Roman" w:eastAsia="Times New Roman"/>
          <w:color w:val="000000"/>
          <w:sz w:val="20"/>
        </w:rPr>
        <w:t>Artificial agents are well suited to search dependencies, detect inconsistent statuses, reproduce analyses, propose test cases, and draft release narratives. They should not silently own claim promotion. The authority boundary belongs in the artifact model.</w:t>
      </w:r>
    </w:p>
    <w:p>
      <w:pPr>
        <w:widowControl/>
        <w:spacing w:before="0" w:after="100" w:line="254" w:lineRule="auto"/>
      </w:pPr>
      <w:r>
        <w:rPr>
          <w:rFonts w:ascii="Times New Roman" w:hAnsi="Times New Roman" w:eastAsia="Times New Roman"/>
          <w:color w:val="000000"/>
          <w:sz w:val="20"/>
        </w:rPr>
        <w:t>A practical policy separates four roles. Authors may propose claims and protocols. Executors may run registered procedures. Auditors may inspect gates and provenance. Release authorities approve status changes. One person may hold several roles in a small project, but the log preserves which role was exercised. An artificial agent may perform any bounded action for which its inputs, outputs, and permissions are recorded. High-consequence transitions require an identified human approver or an independently validated automated rule.</w:t>
      </w:r>
    </w:p>
    <w:p>
      <w:pPr>
        <w:widowControl/>
        <w:spacing w:before="0" w:after="100" w:line="254" w:lineRule="auto"/>
      </w:pPr>
      <w:r>
        <w:rPr>
          <w:rFonts w:ascii="Times New Roman" w:hAnsi="Times New Roman" w:eastAsia="Times New Roman"/>
          <w:color w:val="000000"/>
          <w:sz w:val="20"/>
        </w:rPr>
        <w:t>The system should also prevent a single model instance from generating a claim, selecting its evidence, grading its result, and releasing it without independent checks. Independence need not always mean a different model vendor. It can mean sealed inputs, deterministic validators, adversarial test generation, blinded review, or human approval. What matters is that one adaptive process cannot control every path to its own success.</w:t>
      </w:r>
    </w:p>
    <w:p>
      <w:pPr>
        <w:pStyle w:val="Heading2"/>
      </w:pPr>
      <w:r>
        <w:rPr>
          <w:rFonts w:ascii="Arial" w:hAnsi="Arial" w:eastAsia="Arial"/>
          <w:b/>
          <w:color w:val="000000"/>
          <w:sz w:val="22"/>
        </w:rPr>
        <w:t>5.4 Security and governance</w:t>
      </w:r>
    </w:p>
    <w:p>
      <w:pPr>
        <w:widowControl/>
        <w:spacing w:before="0" w:after="100" w:line="254" w:lineRule="auto"/>
      </w:pPr>
      <w:r>
        <w:rPr>
          <w:rFonts w:ascii="Times New Roman" w:hAnsi="Times New Roman" w:eastAsia="Times New Roman"/>
          <w:color w:val="000000"/>
          <w:sz w:val="20"/>
        </w:rPr>
        <w:t>The threat model includes ordinary error, motivated reasoning, selective reporting, artifact substitution, unauthorized status changes, and automated fabrication. Controls therefore include content-addressed artifacts, signed registrations, immutable release manifests, least-privilege roles, reproducible builds, and audit logs. Sensitive data may remain access-controlled while their hashes, schemas, and authorization conditions are visible.</w:t>
      </w:r>
    </w:p>
    <w:p>
      <w:pPr>
        <w:widowControl/>
        <w:spacing w:before="0" w:after="100" w:line="254" w:lineRule="auto"/>
      </w:pPr>
      <w:r>
        <w:rPr>
          <w:rFonts w:ascii="Times New Roman" w:hAnsi="Times New Roman" w:eastAsia="Times New Roman"/>
          <w:color w:val="000000"/>
          <w:sz w:val="20"/>
        </w:rPr>
        <w:t>Governance must preserve contestability. A claim registry cannot become an authority that defines truth by administrative status. Competing claim graphs and alternative operationalizations must be possible. A release reports the warrant assigned under stated rules; it does not prohibit disagreement. Forking is a feature when the fork makes changed assumptions explicit.</w:t>
      </w:r>
    </w:p>
    <w:p>
      <w:pPr>
        <w:pStyle w:val="Heading1"/>
      </w:pPr>
      <w:r>
        <w:rPr>
          <w:rFonts w:ascii="Arial" w:hAnsi="Arial" w:eastAsia="Arial"/>
          <w:b/>
          <w:color w:val="000000"/>
          <w:sz w:val="26"/>
        </w:rPr>
        <w:t>6 Worked case in observer limited cognition</w:t>
      </w:r>
    </w:p>
    <w:p>
      <w:pPr>
        <w:pStyle w:val="Heading2"/>
      </w:pPr>
      <w:r>
        <w:rPr>
          <w:rFonts w:ascii="Arial" w:hAnsi="Arial" w:eastAsia="Arial"/>
          <w:b/>
          <w:color w:val="000000"/>
          <w:sz w:val="22"/>
        </w:rPr>
        <w:t>6.1 Programme and intended test</w:t>
      </w:r>
    </w:p>
    <w:p>
      <w:pPr>
        <w:widowControl/>
        <w:spacing w:before="0" w:after="100" w:line="254" w:lineRule="auto"/>
      </w:pPr>
      <w:r>
        <w:rPr>
          <w:rFonts w:ascii="Times New Roman" w:hAnsi="Times New Roman" w:eastAsia="Times New Roman"/>
          <w:color w:val="000000"/>
          <w:sz w:val="20"/>
        </w:rPr>
        <w:t>Observer-Limited Geometric Cognition proposes that an agent represents a task under finite resolution, evaluates represented consequences in an observer-relative geometry, and selects behavior through bounded search [25]. Its evaluation layer draws on Geometric Evaluation Theory [26], while its account of representation draws on Observation Theory [27]. The programme originally proposed a first-phase experiment on direction-specific preference reversal in a language-model evaluator.</w:t>
      </w:r>
    </w:p>
    <w:p>
      <w:pPr>
        <w:widowControl/>
        <w:spacing w:before="0" w:after="100" w:line="254" w:lineRule="auto"/>
      </w:pPr>
      <w:r>
        <w:rPr>
          <w:rFonts w:ascii="Times New Roman" w:hAnsi="Times New Roman" w:eastAsia="Times New Roman"/>
          <w:color w:val="000000"/>
          <w:sz w:val="20"/>
        </w:rPr>
        <w:t>The intended sequence resembled good practice. A calibration block estimated the evaluator's metric and reference. Candidate pairs were classified according to whether reducing a rank budget should reverse or preserve their order. A budget manipulation was then applied, and preregistered bars graded the contrast between reversal classes. Seeds for pilot and confirmatory runs were separated, and the evaluator identity was pinned as far as the service permitted.</w:t>
      </w:r>
    </w:p>
    <w:p>
      <w:pPr>
        <w:widowControl/>
        <w:spacing w:before="0" w:after="100" w:line="254" w:lineRule="auto"/>
      </w:pPr>
      <w:r>
        <w:rPr>
          <w:rFonts w:ascii="Times New Roman" w:hAnsi="Times New Roman" w:eastAsia="Times New Roman"/>
          <w:color w:val="000000"/>
          <w:sz w:val="20"/>
        </w:rPr>
        <w:t>An audit nevertheless rejected the design before a confirmatory result was promoted. Four defects illustrate the gates proposed here.</w:t>
      </w:r>
    </w:p>
    <w:p>
      <w:pPr>
        <w:pStyle w:val="Heading2"/>
      </w:pPr>
      <w:r>
        <w:rPr>
          <w:rFonts w:ascii="Arial" w:hAnsi="Arial" w:eastAsia="Arial"/>
          <w:b/>
          <w:color w:val="000000"/>
          <w:sz w:val="22"/>
        </w:rPr>
        <w:t>6.2 Unrestricted admissibility and the nonvacuity gate</w:t>
      </w:r>
    </w:p>
    <w:p>
      <w:pPr>
        <w:widowControl/>
        <w:spacing w:before="0" w:after="100" w:line="254" w:lineRule="auto"/>
      </w:pPr>
      <w:r>
        <w:rPr>
          <w:rFonts w:ascii="Times New Roman" w:hAnsi="Times New Roman" w:eastAsia="Times New Roman"/>
          <w:color w:val="000000"/>
          <w:sz w:val="20"/>
        </w:rPr>
        <w:t>The observer contains a representation, geometry, resolution budget, admissible set, and search policy. If all components are fitted to a finite choice record, a menu-dependent admissible set can reproduce any record by admitting only the observed selection. This is an elementary construction, but it has an operational consequence: choice data alone cannot grade the unrestricted model.</w:t>
      </w:r>
    </w:p>
    <w:p>
      <w:pPr>
        <w:widowControl/>
        <w:spacing w:before="0" w:after="100" w:line="254" w:lineRule="auto"/>
      </w:pPr>
      <w:r>
        <w:rPr>
          <w:rFonts w:ascii="Times New Roman" w:hAnsi="Times New Roman" w:eastAsia="Times New Roman"/>
          <w:color w:val="000000"/>
          <w:sz w:val="20"/>
        </w:rPr>
        <w:t>The repair was modular identification. Components must be identified on evidence disjoint from the choices they are asked to predict, and admissibility must be fixed or derived from a constraint independent of those selections. In an Epistemic SciOps pipeline, the unrestricted model would fail the nonvacuity gate because no possible finite record forces rejection. The registered experiment would have to name which degrees of freedom were retired and how.</w:t>
      </w:r>
    </w:p>
    <w:p>
      <w:pPr>
        <w:pStyle w:val="Heading2"/>
      </w:pPr>
      <w:r>
        <w:rPr>
          <w:rFonts w:ascii="Arial" w:hAnsi="Arial" w:eastAsia="Arial"/>
          <w:b/>
          <w:color w:val="000000"/>
          <w:sz w:val="22"/>
        </w:rPr>
        <w:t>6.3 Treatment construction and the intervention gate</w:t>
      </w:r>
    </w:p>
    <w:p>
      <w:pPr>
        <w:widowControl/>
        <w:spacing w:before="0" w:after="100" w:line="254" w:lineRule="auto"/>
      </w:pPr>
      <w:r>
        <w:rPr>
          <w:rFonts w:ascii="Times New Roman" w:hAnsi="Times New Roman" w:eastAsia="Times New Roman"/>
          <w:color w:val="000000"/>
          <w:sz w:val="20"/>
        </w:rPr>
        <w:t>The first proposed manipulation projected each option into the candidate rank-k subspace and displayed the projected values to the evaluator. This did not reduce the evaluator's budget. It changed the stimulus. Because the pair class and the displayed projection came from the same fitted metric, agreement with the reduced-order prediction was largely built into the treatment. The reversal contrast could be rewritten as a function of agreement with the fitted metric at the two presentations.</w:t>
      </w:r>
    </w:p>
    <w:p>
      <w:pPr>
        <w:widowControl/>
        <w:spacing w:before="0" w:after="100" w:line="254" w:lineRule="auto"/>
      </w:pPr>
      <w:r>
        <w:rPr>
          <w:rFonts w:ascii="Times New Roman" w:hAnsi="Times New Roman" w:eastAsia="Times New Roman"/>
          <w:color w:val="000000"/>
          <w:sz w:val="20"/>
        </w:rPr>
        <w:t>This is not a general problem of accurate identification. It is coupling between calibration, treatment construction, and the estimand. The intervention gate would require evidence that the manipulation changed the evaluator's effective resolution while leaving the actions fixed and the comparison instrument intact. The projected-stimulus design could not produce that evidence and would stop.</w:t>
      </w:r>
    </w:p>
    <w:p>
      <w:pPr>
        <w:pStyle w:val="Heading2"/>
      </w:pPr>
      <w:r>
        <w:rPr>
          <w:rFonts w:ascii="Arial" w:hAnsi="Arial" w:eastAsia="Arial"/>
          <w:b/>
          <w:color w:val="000000"/>
          <w:sz w:val="22"/>
        </w:rPr>
        <w:t>6.4 Missing spectral identification</w:t>
      </w:r>
    </w:p>
    <w:p>
      <w:pPr>
        <w:widowControl/>
        <w:spacing w:before="0" w:after="100" w:line="254" w:lineRule="auto"/>
      </w:pPr>
      <w:r>
        <w:rPr>
          <w:rFonts w:ascii="Times New Roman" w:hAnsi="Times New Roman" w:eastAsia="Times New Roman"/>
          <w:color w:val="000000"/>
          <w:sz w:val="20"/>
        </w:rPr>
        <w:t>The proposed budget retained the top-k eigenspace of a workload-weighted second moment. Such a subspace is identified only when the moment has a spectral gap at k. The pilot sampled consequences symmetrically around an ideal placed at the centre of a cube. The population moment was therefore isotropic. No direction was preferred, and finite calibration samples selected retained directions primarily through sampling variation.</w:t>
      </w:r>
    </w:p>
    <w:p>
      <w:pPr>
        <w:widowControl/>
        <w:spacing w:before="0" w:after="100" w:line="254" w:lineRule="auto"/>
      </w:pPr>
      <w:r>
        <w:rPr>
          <w:rFonts w:ascii="Times New Roman" w:hAnsi="Times New Roman" w:eastAsia="Times New Roman"/>
          <w:color w:val="000000"/>
          <w:sz w:val="20"/>
        </w:rPr>
        <w:t>Disjoint data did not repair the defect because the unidentified object was defined by the workload distribution itself. A manipulation projected onto an arbitrary sample-dependent plane. The identification gate would require the realized eigengap and a stability analysis against the sampling distribution before the retained subspace could be used in a prediction.</w:t>
      </w:r>
    </w:p>
    <w:p>
      <w:pPr>
        <w:pStyle w:val="Heading2"/>
      </w:pPr>
      <w:r>
        <w:rPr>
          <w:rFonts w:ascii="Arial" w:hAnsi="Arial" w:eastAsia="Arial"/>
          <w:b/>
          <w:color w:val="000000"/>
          <w:sz w:val="22"/>
        </w:rPr>
        <w:t>6.5 Instrument failure and estimand drift</w:t>
      </w:r>
    </w:p>
    <w:p>
      <w:pPr>
        <w:widowControl/>
        <w:spacing w:before="0" w:after="100" w:line="254" w:lineRule="auto"/>
      </w:pPr>
      <w:r>
        <w:rPr>
          <w:rFonts w:ascii="Times New Roman" w:hAnsi="Times New Roman" w:eastAsia="Times New Roman"/>
          <w:color w:val="000000"/>
          <w:sz w:val="20"/>
        </w:rPr>
        <w:t>Two later interventions exposed different failures. Removing deliberation tokens caused the evaluator to choose largely by presentation position. The manipulation removed the comparison instrument rather than narrowing its resolution. Adding distractor dimensions preserved content comparison but pushed outputs toward a generation limit. Unparsed responses were initially treated like parsed disagreement, and conditioning accuracy on pairs that survived a swap-consistency filter made performance appear to improve because the treatment changed which pairs remained gradeable.</w:t>
      </w:r>
    </w:p>
    <w:p>
      <w:pPr>
        <w:widowControl/>
        <w:spacing w:before="0" w:after="100" w:line="254" w:lineRule="auto"/>
      </w:pPr>
      <w:r>
        <w:rPr>
          <w:rFonts w:ascii="Times New Roman" w:hAnsi="Times New Roman" w:eastAsia="Times New Roman"/>
          <w:color w:val="000000"/>
          <w:sz w:val="20"/>
        </w:rPr>
        <w:t>The intervention gate would reject the first condition because instrument invariance failed. The execution gate would distinguish generation-limit failures from substantive verdicts. The inference gate would require a fixed denominator or a prespecified missingness model because the treatment affected inclusion. None of the null results would grade the budget hypothesis.</w:t>
      </w:r>
    </w:p>
    <w:p>
      <w:pPr>
        <w:pStyle w:val="Heading2"/>
      </w:pPr>
      <w:r>
        <w:rPr>
          <w:rFonts w:ascii="Arial" w:hAnsi="Arial" w:eastAsia="Arial"/>
          <w:b/>
          <w:color w:val="000000"/>
          <w:sz w:val="22"/>
        </w:rPr>
        <w:t>6.6 What the case establishes</w:t>
      </w:r>
    </w:p>
    <w:p>
      <w:pPr>
        <w:widowControl/>
        <w:spacing w:before="0" w:after="100" w:line="254" w:lineRule="auto"/>
      </w:pPr>
      <w:r>
        <w:rPr>
          <w:rFonts w:ascii="Times New Roman" w:hAnsi="Times New Roman" w:eastAsia="Times New Roman"/>
          <w:color w:val="000000"/>
          <w:sz w:val="20"/>
        </w:rPr>
        <w:t>The case does not confirm OLGC, and it does not show that the proposed gates improve science in general. It establishes a narrower proof of operation. A structured audit found defects consequential enough to stop an attractive experiment, preserved each failure as a reusable test obligation, and changed the programme's claim states from testable or demonstrated to open where appropriate.</w:t>
      </w:r>
    </w:p>
    <w:p>
      <w:pPr>
        <w:widowControl/>
        <w:spacing w:before="0" w:after="100" w:line="254" w:lineRule="auto"/>
      </w:pPr>
      <w:r>
        <w:rPr>
          <w:rFonts w:ascii="Times New Roman" w:hAnsi="Times New Roman" w:eastAsia="Times New Roman"/>
          <w:color w:val="000000"/>
          <w:sz w:val="20"/>
        </w:rPr>
        <w:t>This is the minimum credible exemplar for Philosophy Engineering. Success is not a polished paper or a passing result. Success is a traceable refusal to promote a conclusion when the system's own preconditions fail.</w:t>
      </w:r>
    </w:p>
    <w:p>
      <w:pPr>
        <w:pStyle w:val="Heading1"/>
      </w:pPr>
      <w:r>
        <w:rPr>
          <w:rFonts w:ascii="Arial" w:hAnsi="Arial" w:eastAsia="Arial"/>
          <w:b/>
          <w:color w:val="000000"/>
          <w:sz w:val="26"/>
        </w:rPr>
        <w:t>7 A maturity model for adoption</w:t>
      </w:r>
    </w:p>
    <w:p>
      <w:pPr>
        <w:widowControl/>
        <w:spacing w:before="0" w:after="100" w:line="254" w:lineRule="auto"/>
      </w:pPr>
      <w:r>
        <w:rPr>
          <w:rFonts w:ascii="Times New Roman" w:hAnsi="Times New Roman" w:eastAsia="Times New Roman"/>
          <w:color w:val="000000"/>
          <w:sz w:val="20"/>
        </w:rPr>
        <w:t>Adoption should proceed by capability rather than by tool count. The following model extends operational SciOps with an epistemic dimension.</w:t>
      </w:r>
    </w:p>
    <w:p>
      <w:pPr>
        <w:pStyle w:val="Caption"/>
        <w:keepNext/>
        <w:widowControl/>
        <w:spacing w:before="140" w:after="60" w:line="240" w:lineRule="auto"/>
        <w:jc w:val="left"/>
      </w:pPr>
      <w:r>
        <w:rPr>
          <w:rFonts w:ascii="Times New Roman" w:hAnsi="Times New Roman" w:eastAsia="Times New Roman"/>
          <w:i/>
          <w:color w:val="000000"/>
          <w:sz w:val="18"/>
        </w:rPr>
        <w:t>Table 4  Epistemic SciOps maturity model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1728"/>
            <w:vAlign w:val="center"/>
            <w:shd w:fill="243B53"/>
            <w:tcMar>
              <w:top w:w="110" w:type="dxa"/>
              <w:start w:w="100" w:type="dxa"/>
              <w:bottom w:w="110" w:type="dxa"/>
              <w:end w:w="100" w:type="dxa"/>
            </w:tcMar>
          </w:tcPr>
          <w:p>
            <w:pPr>
              <w:widowControl/>
              <w:spacing w:before="0" w:after="0" w:line="240" w:lineRule="auto"/>
              <w:jc w:val="left"/>
            </w:pPr>
            <w:r>
              <w:rPr>
                <w:rFonts w:ascii="Arial" w:hAnsi="Arial" w:eastAsia="Arial"/>
                <w:b/>
                <w:color w:val="FFFFFF"/>
                <w:sz w:val="17"/>
              </w:rPr>
              <w:t>Level</w:t>
            </w:r>
          </w:p>
        </w:tc>
        <w:tc>
          <w:tcPr>
            <w:tcW w:type="dxa" w:w="3960"/>
            <w:vAlign w:val="center"/>
            <w:shd w:fill="243B53"/>
            <w:tcMar>
              <w:top w:w="110" w:type="dxa"/>
              <w:start w:w="100" w:type="dxa"/>
              <w:bottom w:w="110" w:type="dxa"/>
              <w:end w:w="100" w:type="dxa"/>
            </w:tcMar>
          </w:tcPr>
          <w:p>
            <w:pPr>
              <w:widowControl/>
              <w:spacing w:before="0" w:after="0" w:line="240" w:lineRule="auto"/>
              <w:jc w:val="left"/>
            </w:pPr>
            <w:r>
              <w:rPr>
                <w:rFonts w:ascii="Arial" w:hAnsi="Arial" w:eastAsia="Arial"/>
                <w:b/>
                <w:color w:val="FFFFFF"/>
                <w:sz w:val="17"/>
              </w:rPr>
              <w:t>Defining capability</w:t>
            </w:r>
          </w:p>
        </w:tc>
        <w:tc>
          <w:tcPr>
            <w:tcW w:type="dxa" w:w="4104"/>
            <w:vAlign w:val="center"/>
            <w:shd w:fill="243B53"/>
            <w:tcMar>
              <w:top w:w="110" w:type="dxa"/>
              <w:start w:w="100" w:type="dxa"/>
              <w:bottom w:w="110" w:type="dxa"/>
              <w:end w:w="100" w:type="dxa"/>
            </w:tcMar>
          </w:tcPr>
          <w:p>
            <w:pPr>
              <w:widowControl/>
              <w:spacing w:before="0" w:after="0" w:line="240" w:lineRule="auto"/>
              <w:jc w:val="left"/>
            </w:pPr>
            <w:r>
              <w:rPr>
                <w:rFonts w:ascii="Arial" w:hAnsi="Arial" w:eastAsia="Arial"/>
                <w:b/>
                <w:color w:val="FFFFFF"/>
                <w:sz w:val="17"/>
              </w:rPr>
              <w:t>Evidence of operation</w:t>
            </w:r>
          </w:p>
        </w:tc>
      </w:tr>
      <w:tr>
        <w:trPr>
          <w:cantSplit/>
        </w:trPr>
        <w:tc>
          <w:tcPr>
            <w:tcW w:type="dxa" w:w="1728"/>
            <w:vAlign w:val="center"/>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0  Paper centric</w:t>
            </w:r>
          </w:p>
        </w:tc>
        <w:tc>
          <w:tcPr>
            <w:tcW w:type="dxa" w:w="3960"/>
            <w:vAlign w:val="center"/>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Narrative paper is the maintained record</w:t>
            </w:r>
          </w:p>
        </w:tc>
        <w:tc>
          <w:tcPr>
            <w:tcW w:type="dxa" w:w="4104"/>
            <w:vAlign w:val="center"/>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No machine-actionable dependency or status model</w:t>
            </w:r>
          </w:p>
        </w:tc>
      </w:tr>
      <w:tr>
        <w:trPr>
          <w:cantSplit/>
        </w:trPr>
        <w:tc>
          <w:tcPr>
            <w:tcW w:type="dxa" w:w="1728"/>
            <w:vAlign w:val="center"/>
            <w:shd w:fill="F3F8FC"/>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1  Reproducible</w:t>
            </w:r>
          </w:p>
        </w:tc>
        <w:tc>
          <w:tcPr>
            <w:tcW w:type="dxa" w:w="3960"/>
            <w:vAlign w:val="center"/>
            <w:shd w:fill="F3F8FC"/>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Data, code and environment can reconstruct reported results</w:t>
            </w:r>
          </w:p>
        </w:tc>
        <w:tc>
          <w:tcPr>
            <w:tcW w:type="dxa" w:w="4104"/>
            <w:vAlign w:val="center"/>
            <w:shd w:fill="F3F8FC"/>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A clean rebuild reproduces declared outputs within tolerance</w:t>
            </w:r>
          </w:p>
        </w:tc>
      </w:tr>
      <w:tr>
        <w:trPr>
          <w:cantSplit/>
        </w:trPr>
        <w:tc>
          <w:tcPr>
            <w:tcW w:type="dxa" w:w="1728"/>
            <w:vAlign w:val="center"/>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2  Registered</w:t>
            </w:r>
          </w:p>
        </w:tc>
        <w:tc>
          <w:tcPr>
            <w:tcW w:type="dxa" w:w="3960"/>
            <w:vAlign w:val="center"/>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Confirmatory decisions and deviations are timestamped before outcomes</w:t>
            </w:r>
          </w:p>
        </w:tc>
        <w:tc>
          <w:tcPr>
            <w:tcW w:type="dxa" w:w="4104"/>
            <w:vAlign w:val="center"/>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Protocol, amendments and analysis decisions have preserved provenance</w:t>
            </w:r>
          </w:p>
        </w:tc>
      </w:tr>
      <w:tr>
        <w:trPr>
          <w:cantSplit/>
        </w:trPr>
        <w:tc>
          <w:tcPr>
            <w:tcW w:type="dxa" w:w="1728"/>
            <w:vAlign w:val="center"/>
            <w:shd w:fill="F3F8FC"/>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3  Claim aware</w:t>
            </w:r>
          </w:p>
        </w:tc>
        <w:tc>
          <w:tcPr>
            <w:tcW w:type="dxa" w:w="3960"/>
            <w:vAlign w:val="center"/>
            <w:shd w:fill="F3F8FC"/>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Typed claims link to dependencies, evidence, falsifiers and decision rules</w:t>
            </w:r>
          </w:p>
        </w:tc>
        <w:tc>
          <w:tcPr>
            <w:tcW w:type="dxa" w:w="4104"/>
            <w:vAlign w:val="center"/>
            <w:shd w:fill="F3F8FC"/>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An auditor can traverse a released claim to its complete warrant</w:t>
            </w:r>
          </w:p>
        </w:tc>
      </w:tr>
      <w:tr>
        <w:trPr>
          <w:cantSplit/>
        </w:trPr>
        <w:tc>
          <w:tcPr>
            <w:tcW w:type="dxa" w:w="1728"/>
            <w:vAlign w:val="center"/>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4  Continuous</w:t>
            </w:r>
          </w:p>
        </w:tc>
        <w:tc>
          <w:tcPr>
            <w:tcW w:type="dxa" w:w="3960"/>
            <w:vAlign w:val="center"/>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Changes trigger impact analysis, gates and status updates</w:t>
            </w:r>
          </w:p>
        </w:tc>
        <w:tc>
          <w:tcPr>
            <w:tcW w:type="dxa" w:w="4104"/>
            <w:vAlign w:val="center"/>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A controlled upstream change marks or rebuilds every affected claim</w:t>
            </w:r>
          </w:p>
        </w:tc>
      </w:tr>
      <w:tr>
        <w:trPr>
          <w:cantSplit/>
        </w:trPr>
        <w:tc>
          <w:tcPr>
            <w:tcW w:type="dxa" w:w="1728"/>
            <w:vAlign w:val="center"/>
            <w:shd w:fill="F3F8FC"/>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5  Federated</w:t>
            </w:r>
          </w:p>
        </w:tc>
        <w:tc>
          <w:tcPr>
            <w:tcW w:type="dxa" w:w="3960"/>
            <w:vAlign w:val="center"/>
            <w:shd w:fill="F3F8FC"/>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Independent projects exchange versioned claims and evidence</w:t>
            </w:r>
          </w:p>
        </w:tc>
        <w:tc>
          <w:tcPr>
            <w:tcW w:type="dxa" w:w="4104"/>
            <w:vAlign w:val="center"/>
            <w:shd w:fill="F3F8FC"/>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External changes propagate through portable identifiers without central control</w:t>
            </w:r>
          </w:p>
        </w:tc>
      </w:tr>
    </w:tbl>
    <w:p>
      <w:pPr>
        <w:widowControl/>
        <w:spacing w:before="0" w:after="20" w:line="240" w:lineRule="auto"/>
      </w:pPr>
    </w:p>
    <w:p>
      <w:pPr>
        <w:widowControl/>
        <w:spacing w:before="0" w:after="100" w:line="254" w:lineRule="auto"/>
      </w:pPr>
      <w:r>
        <w:rPr>
          <w:rFonts w:ascii="Times New Roman" w:hAnsi="Times New Roman" w:eastAsia="Times New Roman"/>
          <w:color w:val="000000"/>
          <w:sz w:val="20"/>
        </w:rPr>
        <w:t>The levels are cumulative. A Level 3 project that loses executable provenance is not more mature than Level 2. Nor should every project aim immediately at Level 5. A small exploratory study may obtain most of the value from Level 2. High-cost, safety-relevant, or heavily automated programmes have a stronger case for Levels 4 and 5.</w:t>
      </w:r>
    </w:p>
    <w:p>
      <w:pPr>
        <w:widowControl/>
        <w:spacing w:before="0" w:after="100" w:line="254" w:lineRule="auto"/>
      </w:pPr>
      <w:r>
        <w:rPr>
          <w:rFonts w:ascii="Times New Roman" w:hAnsi="Times New Roman" w:eastAsia="Times New Roman"/>
          <w:color w:val="000000"/>
          <w:sz w:val="20"/>
        </w:rPr>
        <w:t>Maturity claims should be based on sampled artifacts and failure tests, not self-description. An assessor can choose a released claim, traverse its dependencies, rebuild its computational evidence, introduce a controlled upstream change, and observe whether the system identifies the affected status. The exercise tests operation rather than documentation.</w:t>
      </w:r>
    </w:p>
    <w:p>
      <w:pPr>
        <w:pStyle w:val="Heading1"/>
      </w:pPr>
      <w:r>
        <w:rPr>
          <w:rFonts w:ascii="Arial" w:hAnsi="Arial" w:eastAsia="Arial"/>
          <w:b/>
          <w:color w:val="000000"/>
          <w:sz w:val="26"/>
        </w:rPr>
        <w:t>8 An actionable implementation programme</w:t>
      </w:r>
    </w:p>
    <w:p>
      <w:pPr>
        <w:pStyle w:val="Heading2"/>
      </w:pPr>
      <w:r>
        <w:rPr>
          <w:rFonts w:ascii="Arial" w:hAnsi="Arial" w:eastAsia="Arial"/>
          <w:b/>
          <w:color w:val="000000"/>
          <w:sz w:val="22"/>
        </w:rPr>
        <w:t>8.1 Design principles</w:t>
      </w:r>
    </w:p>
    <w:p>
      <w:pPr>
        <w:widowControl/>
        <w:spacing w:before="0" w:after="100" w:line="254" w:lineRule="auto"/>
      </w:pPr>
      <w:r>
        <w:rPr>
          <w:rFonts w:ascii="Times New Roman" w:hAnsi="Times New Roman" w:eastAsia="Times New Roman"/>
          <w:color w:val="000000"/>
          <w:sz w:val="20"/>
        </w:rPr>
        <w:t>The implementation should follow five constraints. It must add value before a universal ontology exists. It must interoperate with repositories and standards already used by scientists. It must permit incomplete and exploratory work without promoting it as confirmatory. It must expose rather than conceal human judgment. It must be evaluated against the defects it is intended to catch.</w:t>
      </w:r>
    </w:p>
    <w:p>
      <w:pPr>
        <w:widowControl/>
        <w:spacing w:before="0" w:after="100" w:line="254" w:lineRule="auto"/>
      </w:pPr>
      <w:r>
        <w:rPr>
          <w:rFonts w:ascii="Times New Roman" w:hAnsi="Times New Roman" w:eastAsia="Times New Roman"/>
          <w:color w:val="000000"/>
          <w:sz w:val="20"/>
        </w:rPr>
        <w:t>The initial programme should therefore build a small vertical slice through the lifecycle. It should not begin with a publishing platform, a universal knowledge graph, or a claim-scoring model. The first question is whether explicit claim contracts and gates change consequential research decisions.</w:t>
      </w:r>
    </w:p>
    <w:p>
      <w:pPr>
        <w:pStyle w:val="Heading2"/>
      </w:pPr>
      <w:r>
        <w:rPr>
          <w:rFonts w:ascii="Arial" w:hAnsi="Arial" w:eastAsia="Arial"/>
          <w:b/>
          <w:color w:val="000000"/>
          <w:sz w:val="22"/>
        </w:rPr>
        <w:t>8.2 Phased plan</w:t>
      </w:r>
    </w:p>
    <w:p>
      <w:pPr>
        <w:pStyle w:val="Caption"/>
        <w:keepNext/>
        <w:pageBreakBefore/>
        <w:widowControl/>
        <w:spacing w:before="140" w:after="60" w:line="240" w:lineRule="auto"/>
        <w:jc w:val="left"/>
      </w:pPr>
      <w:r>
        <w:rPr>
          <w:rFonts w:ascii="Times New Roman" w:hAnsi="Times New Roman" w:eastAsia="Times New Roman"/>
          <w:i/>
          <w:color w:val="000000"/>
          <w:sz w:val="18"/>
        </w:rPr>
        <w:t>Table 5  Phased implementation plan and exit criteria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9"/>
        <w:gridCol w:w="2469"/>
        <w:gridCol w:w="2469"/>
        <w:gridCol w:w="2469"/>
      </w:tblGrid>
      <w:tr>
        <w:trPr>
          <w:tblHeader w:val="true"/>
          <w:cantSplit/>
        </w:trPr>
        <w:tc>
          <w:tcPr>
            <w:tcW w:type="dxa" w:w="1800"/>
            <w:vAlign w:val="center"/>
            <w:shd w:fill="243B53"/>
            <w:tcMar>
              <w:top w:w="110" w:type="dxa"/>
              <w:start w:w="100" w:type="dxa"/>
              <w:bottom w:w="110" w:type="dxa"/>
              <w:end w:w="100" w:type="dxa"/>
            </w:tcMar>
          </w:tcPr>
          <w:p>
            <w:pPr>
              <w:widowControl/>
              <w:spacing w:before="0" w:after="0" w:line="240" w:lineRule="auto"/>
              <w:jc w:val="left"/>
            </w:pPr>
            <w:r>
              <w:rPr>
                <w:rFonts w:ascii="Arial" w:hAnsi="Arial" w:eastAsia="Arial"/>
                <w:b/>
                <w:color w:val="FFFFFF"/>
                <w:sz w:val="17"/>
              </w:rPr>
              <w:t>Phase</w:t>
            </w:r>
          </w:p>
        </w:tc>
        <w:tc>
          <w:tcPr>
            <w:tcW w:type="dxa" w:w="1656"/>
            <w:vAlign w:val="center"/>
            <w:shd w:fill="243B53"/>
            <w:tcMar>
              <w:top w:w="110" w:type="dxa"/>
              <w:start w:w="100" w:type="dxa"/>
              <w:bottom w:w="110" w:type="dxa"/>
              <w:end w:w="100" w:type="dxa"/>
            </w:tcMar>
          </w:tcPr>
          <w:p>
            <w:pPr>
              <w:widowControl/>
              <w:spacing w:before="0" w:after="0" w:line="240" w:lineRule="auto"/>
              <w:jc w:val="left"/>
            </w:pPr>
            <w:r>
              <w:rPr>
                <w:rFonts w:ascii="Arial" w:hAnsi="Arial" w:eastAsia="Arial"/>
                <w:b/>
                <w:color w:val="FFFFFF"/>
                <w:sz w:val="17"/>
              </w:rPr>
              <w:t>Horizon</w:t>
            </w:r>
          </w:p>
        </w:tc>
        <w:tc>
          <w:tcPr>
            <w:tcW w:type="dxa" w:w="3672"/>
            <w:vAlign w:val="center"/>
            <w:shd w:fill="243B53"/>
            <w:tcMar>
              <w:top w:w="110" w:type="dxa"/>
              <w:start w:w="100" w:type="dxa"/>
              <w:bottom w:w="110" w:type="dxa"/>
              <w:end w:w="100" w:type="dxa"/>
            </w:tcMar>
          </w:tcPr>
          <w:p>
            <w:pPr>
              <w:widowControl/>
              <w:spacing w:before="0" w:after="0" w:line="240" w:lineRule="auto"/>
              <w:jc w:val="left"/>
            </w:pPr>
            <w:r>
              <w:rPr>
                <w:rFonts w:ascii="Arial" w:hAnsi="Arial" w:eastAsia="Arial"/>
                <w:b/>
                <w:color w:val="FFFFFF"/>
                <w:sz w:val="17"/>
              </w:rPr>
              <w:t>Primary deliverables</w:t>
            </w:r>
          </w:p>
        </w:tc>
        <w:tc>
          <w:tcPr>
            <w:tcW w:type="dxa" w:w="2664"/>
            <w:vAlign w:val="center"/>
            <w:shd w:fill="243B53"/>
            <w:tcMar>
              <w:top w:w="110" w:type="dxa"/>
              <w:start w:w="100" w:type="dxa"/>
              <w:bottom w:w="110" w:type="dxa"/>
              <w:end w:w="100" w:type="dxa"/>
            </w:tcMar>
          </w:tcPr>
          <w:p>
            <w:pPr>
              <w:widowControl/>
              <w:spacing w:before="0" w:after="0" w:line="240" w:lineRule="auto"/>
              <w:jc w:val="left"/>
            </w:pPr>
            <w:r>
              <w:rPr>
                <w:rFonts w:ascii="Arial" w:hAnsi="Arial" w:eastAsia="Arial"/>
                <w:b/>
                <w:color w:val="FFFFFF"/>
                <w:sz w:val="17"/>
              </w:rPr>
              <w:t>Exit criterion</w:t>
            </w:r>
          </w:p>
        </w:tc>
      </w:tr>
      <w:tr>
        <w:trPr>
          <w:cantSplit/>
        </w:trPr>
        <w:tc>
          <w:tcPr>
            <w:tcW w:type="dxa" w:w="1800"/>
            <w:vAlign w:val="center"/>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0  Semantics</w:t>
            </w:r>
          </w:p>
        </w:tc>
        <w:tc>
          <w:tcPr>
            <w:tcW w:type="dxa" w:w="1656"/>
            <w:vAlign w:val="center"/>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0 to 3 months</w:t>
            </w:r>
          </w:p>
        </w:tc>
        <w:tc>
          <w:tcPr>
            <w:tcW w:type="dxa" w:w="3672"/>
            <w:vAlign w:val="center"/>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Core schema; gate vocabulary; OLGC retrofit; test fixtures from known failures</w:t>
            </w:r>
          </w:p>
        </w:tc>
        <w:tc>
          <w:tcPr>
            <w:tcW w:type="dxa" w:w="2664"/>
            <w:vAlign w:val="center"/>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Two independent reviewers reconstruct the same claim states and dependencies</w:t>
            </w:r>
          </w:p>
        </w:tc>
      </w:tr>
      <w:tr>
        <w:trPr>
          <w:cantSplit/>
        </w:trPr>
        <w:tc>
          <w:tcPr>
            <w:tcW w:type="dxa" w:w="1800"/>
            <w:vAlign w:val="center"/>
            <w:shd w:fill="F3F8FC"/>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1  Reference implementation</w:t>
            </w:r>
          </w:p>
        </w:tc>
        <w:tc>
          <w:tcPr>
            <w:tcW w:type="dxa" w:w="1656"/>
            <w:vAlign w:val="center"/>
            <w:shd w:fill="F3F8FC"/>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3 to 6 months</w:t>
            </w:r>
          </w:p>
        </w:tc>
        <w:tc>
          <w:tcPr>
            <w:tcW w:type="dxa" w:w="3672"/>
            <w:vAlign w:val="center"/>
            <w:shd w:fill="F3F8FC"/>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Validator; gate runner; release builder; three contrasting exemplars</w:t>
            </w:r>
          </w:p>
        </w:tc>
        <w:tc>
          <w:tcPr>
            <w:tcW w:type="dxa" w:w="2664"/>
            <w:vAlign w:val="center"/>
            <w:shd w:fill="F3F8FC"/>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Each exemplar produces an immutable release and at least one gate can stop it</w:t>
            </w:r>
          </w:p>
        </w:tc>
      </w:tr>
      <w:tr>
        <w:trPr>
          <w:cantSplit/>
        </w:trPr>
        <w:tc>
          <w:tcPr>
            <w:tcW w:type="dxa" w:w="1800"/>
            <w:vAlign w:val="center"/>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2  Independent pilots</w:t>
            </w:r>
          </w:p>
        </w:tc>
        <w:tc>
          <w:tcPr>
            <w:tcW w:type="dxa" w:w="1656"/>
            <w:vAlign w:val="center"/>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6 to 12 months</w:t>
            </w:r>
          </w:p>
        </w:tc>
        <w:tc>
          <w:tcPr>
            <w:tcW w:type="dxa" w:w="3672"/>
            <w:vAlign w:val="center"/>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Documentation; defect benchmark; multi-team evaluation</w:t>
            </w:r>
          </w:p>
        </w:tc>
        <w:tc>
          <w:tcPr>
            <w:tcW w:type="dxa" w:w="2664"/>
            <w:vAlign w:val="center"/>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Independent teams detect registered defects with acceptable false stops and measured cost</w:t>
            </w:r>
          </w:p>
        </w:tc>
      </w:tr>
      <w:tr>
        <w:trPr>
          <w:cantSplit/>
        </w:trPr>
        <w:tc>
          <w:tcPr>
            <w:tcW w:type="dxa" w:w="1800"/>
            <w:vAlign w:val="center"/>
            <w:shd w:fill="F3F8FC"/>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3  Review integration</w:t>
            </w:r>
          </w:p>
        </w:tc>
        <w:tc>
          <w:tcPr>
            <w:tcW w:type="dxa" w:w="1656"/>
            <w:vAlign w:val="center"/>
            <w:shd w:fill="F3F8FC"/>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12 to 24 months</w:t>
            </w:r>
          </w:p>
        </w:tc>
        <w:tc>
          <w:tcPr>
            <w:tcW w:type="dxa" w:w="3672"/>
            <w:vAlign w:val="center"/>
            <w:shd w:fill="F3F8FC"/>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Submission package; reviewer interface; journal or conference pilots</w:t>
            </w:r>
          </w:p>
        </w:tc>
        <w:tc>
          <w:tcPr>
            <w:tcW w:type="dxa" w:w="2664"/>
            <w:vAlign w:val="center"/>
            <w:shd w:fill="F3F8FC"/>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Review decisions cite claim objects and gate evidence rather than only narrative passages</w:t>
            </w:r>
          </w:p>
        </w:tc>
      </w:tr>
      <w:tr>
        <w:trPr>
          <w:cantSplit/>
        </w:trPr>
        <w:tc>
          <w:tcPr>
            <w:tcW w:type="dxa" w:w="1800"/>
            <w:vAlign w:val="center"/>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4  Federation</w:t>
            </w:r>
          </w:p>
        </w:tc>
        <w:tc>
          <w:tcPr>
            <w:tcW w:type="dxa" w:w="1656"/>
            <w:vAlign w:val="center"/>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24 to 36 months</w:t>
            </w:r>
          </w:p>
        </w:tc>
        <w:tc>
          <w:tcPr>
            <w:tcW w:type="dxa" w:w="3672"/>
            <w:vAlign w:val="center"/>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Portable identifiers; cross-project dependencies; notification and impact protocol</w:t>
            </w:r>
          </w:p>
        </w:tc>
        <w:tc>
          <w:tcPr>
            <w:tcW w:type="dxa" w:w="2664"/>
            <w:vAlign w:val="center"/>
            <w:tcMar>
              <w:top w:w="90" w:type="dxa"/>
              <w:start w:w="100" w:type="dxa"/>
              <w:bottom w:w="90" w:type="dxa"/>
              <w:end w:w="100" w:type="dxa"/>
            </w:tcMar>
          </w:tcPr>
          <w:p>
            <w:pPr>
              <w:widowControl/>
              <w:spacing w:before="0" w:after="0" w:line="245" w:lineRule="auto"/>
              <w:jc w:val="left"/>
            </w:pPr>
            <w:r>
              <w:rPr>
                <w:rFonts w:ascii="Times New Roman" w:hAnsi="Times New Roman" w:eastAsia="Times New Roman"/>
                <w:color w:val="000000"/>
                <w:sz w:val="16"/>
              </w:rPr>
              <w:t>An external claim change produces a correct local impact analysis across projects</w:t>
            </w:r>
          </w:p>
        </w:tc>
      </w:tr>
    </w:tbl>
    <w:p>
      <w:pPr>
        <w:widowControl/>
        <w:spacing w:before="0" w:after="20" w:line="240" w:lineRule="auto"/>
      </w:pPr>
    </w:p>
    <w:p>
      <w:pPr>
        <w:widowControl/>
        <w:spacing w:before="0" w:after="100" w:line="254" w:lineRule="auto"/>
      </w:pPr>
      <w:r>
        <w:rPr>
          <w:rFonts w:ascii="Times New Roman" w:hAnsi="Times New Roman" w:eastAsia="Times New Roman"/>
          <w:color w:val="000000"/>
          <w:sz w:val="20"/>
        </w:rPr>
        <w:t>Phase 0 produces the constitutional artifacts: definitions of claim kind, warrant state, lifecycle state, dependency edge, evidence record, gate result, and release. The schema should include extension points but keep a stable core. The OLGC programme is retrofitted first because its known failures provide acceptance tests.</w:t>
      </w:r>
    </w:p>
    <w:p>
      <w:pPr>
        <w:widowControl/>
        <w:spacing w:before="0" w:after="100" w:line="254" w:lineRule="auto"/>
      </w:pPr>
      <w:r>
        <w:rPr>
          <w:rFonts w:ascii="Times New Roman" w:hAnsi="Times New Roman" w:eastAsia="Times New Roman"/>
          <w:color w:val="000000"/>
          <w:sz w:val="20"/>
        </w:rPr>
        <w:t>Phase 1 builds the minimum implementation. A command-line validator checks schema and dependency closure. A gate runner executes project-specific checks. A release builder packages manifests, evidence references, and a Word or PDF narrative. Three exemplars should differ in method: one computational study, one behavioral or social experiment, and one theoretical programme with machine-checked results.</w:t>
      </w:r>
    </w:p>
    <w:p>
      <w:pPr>
        <w:widowControl/>
        <w:spacing w:before="0" w:after="100" w:line="254" w:lineRule="auto"/>
      </w:pPr>
      <w:r>
        <w:rPr>
          <w:rFonts w:ascii="Times New Roman" w:hAnsi="Times New Roman" w:eastAsia="Times New Roman"/>
          <w:color w:val="000000"/>
          <w:sz w:val="20"/>
        </w:rPr>
        <w:t>Phase 2 tests transfer. Independent teams use the system with documentation but without its authors embedded in every decision. A defect benchmark contains seeded and naturally occurring failures, including leakage, post-selection, unstable calibration, missing manipulation checks, provenance breaks, and semantic changes hidden as patches. Exit requires evidence that the system detects consequential defects without an unacceptable false-stop rate.</w:t>
      </w:r>
    </w:p>
    <w:p>
      <w:pPr>
        <w:widowControl/>
        <w:spacing w:before="0" w:after="100" w:line="254" w:lineRule="auto"/>
      </w:pPr>
      <w:r>
        <w:rPr>
          <w:rFonts w:ascii="Times New Roman" w:hAnsi="Times New Roman" w:eastAsia="Times New Roman"/>
          <w:color w:val="000000"/>
          <w:sz w:val="20"/>
        </w:rPr>
        <w:t>Phase 3 integrates review. Journals or conferences accept a scientific release alongside the narrative paper. Reviewers can inspect the claim graph, gates, and artifact bundle while retaining ordinary prose review. Registered Reports provide a natural entry because their first-stage decision already separates design from outcome [8].</w:t>
      </w:r>
    </w:p>
    <w:p>
      <w:pPr>
        <w:widowControl/>
        <w:spacing w:before="0" w:after="100" w:line="254" w:lineRule="auto"/>
      </w:pPr>
      <w:r>
        <w:rPr>
          <w:rFonts w:ascii="Times New Roman" w:hAnsi="Times New Roman" w:eastAsia="Times New Roman"/>
          <w:color w:val="000000"/>
          <w:sz w:val="20"/>
        </w:rPr>
        <w:t>Phase 4 federates projects. Stable identifiers permit a claim in one programme to depend on a released claim in another. A changed external dependency creates a notification and a local impact analysis. Federation should begin only after local semantics are stable enough that cross-project links do not amplify ambiguity.</w:t>
      </w:r>
    </w:p>
    <w:p>
      <w:pPr>
        <w:pStyle w:val="Heading2"/>
      </w:pPr>
      <w:r>
        <w:rPr>
          <w:rFonts w:ascii="Arial" w:hAnsi="Arial" w:eastAsia="Arial"/>
          <w:b/>
          <w:color w:val="000000"/>
          <w:sz w:val="22"/>
        </w:rPr>
        <w:t>8.3 Roles</w:t>
      </w:r>
    </w:p>
    <w:p>
      <w:pPr>
        <w:widowControl/>
        <w:spacing w:before="0" w:after="100" w:line="254" w:lineRule="auto"/>
      </w:pPr>
      <w:r>
        <w:rPr>
          <w:rFonts w:ascii="Times New Roman" w:hAnsi="Times New Roman" w:eastAsia="Times New Roman"/>
          <w:color w:val="000000"/>
          <w:sz w:val="20"/>
        </w:rPr>
        <w:t>The programme needs a small set of explicit roles rather than a new profession for every function. Domain investigators own scientific meaning. Methodologists define identification and inference obligations. Research software engineers implement reproducible execution. Epistemic auditors challenge nonvacuity, coupling, and status promotion. Maintainers preserve schemas, tooling, and releases. Editors and funders determine which maturity level is required for a class of claim.</w:t>
      </w:r>
    </w:p>
    <w:p>
      <w:pPr>
        <w:widowControl/>
        <w:spacing w:before="0" w:after="100" w:line="254" w:lineRule="auto"/>
      </w:pPr>
      <w:r>
        <w:rPr>
          <w:rFonts w:ascii="Times New Roman" w:hAnsi="Times New Roman" w:eastAsia="Times New Roman"/>
          <w:color w:val="000000"/>
          <w:sz w:val="20"/>
        </w:rPr>
        <w:t>Training should use failed cases. Researchers learn more from converting a real post-selection error into a gate than from memorizing an abstract checklist. Each exemplar should therefore publish its rejected designs and the minimal condition that would admit a revision.</w:t>
      </w:r>
    </w:p>
    <w:p>
      <w:pPr>
        <w:pStyle w:val="Heading2"/>
      </w:pPr>
      <w:r>
        <w:rPr>
          <w:rFonts w:ascii="Arial" w:hAnsi="Arial" w:eastAsia="Arial"/>
          <w:b/>
          <w:color w:val="000000"/>
          <w:sz w:val="22"/>
        </w:rPr>
        <w:t>8.4 Costs and incentives</w:t>
      </w:r>
    </w:p>
    <w:p>
      <w:pPr>
        <w:widowControl/>
        <w:spacing w:before="0" w:after="100" w:line="254" w:lineRule="auto"/>
      </w:pPr>
      <w:r>
        <w:rPr>
          <w:rFonts w:ascii="Times New Roman" w:hAnsi="Times New Roman" w:eastAsia="Times New Roman"/>
          <w:color w:val="000000"/>
          <w:sz w:val="20"/>
        </w:rPr>
        <w:t>Philosophy Engineering imposes front-loaded cost. Claims must be decomposed, dependencies named, and gates implemented. That cost is justified only if it reduces larger downstream costs: invalid experiments, irreproducible analyses, duplicated audits, stale claims, and corrections after publication.</w:t>
      </w:r>
    </w:p>
    <w:p>
      <w:pPr>
        <w:widowControl/>
        <w:spacing w:before="0" w:after="100" w:line="254" w:lineRule="auto"/>
      </w:pPr>
      <w:r>
        <w:rPr>
          <w:rFonts w:ascii="Times New Roman" w:hAnsi="Times New Roman" w:eastAsia="Times New Roman"/>
          <w:color w:val="000000"/>
          <w:sz w:val="20"/>
        </w:rPr>
        <w:t>The system should capture its own burden. Teams record time spent authoring claim objects, maintaining gates, resolving false stops, and preparing releases. Funders can support infrastructure only if benefits are measured at the programme level rather than inferred from compliance. Journals should avoid requiring high maturity where the expected epistemic risk is low.</w:t>
      </w:r>
    </w:p>
    <w:p>
      <w:pPr>
        <w:widowControl/>
        <w:spacing w:before="0" w:after="100" w:line="254" w:lineRule="auto"/>
      </w:pPr>
      <w:r>
        <w:rPr>
          <w:rFonts w:ascii="Times New Roman" w:hAnsi="Times New Roman" w:eastAsia="Times New Roman"/>
          <w:color w:val="000000"/>
          <w:sz w:val="20"/>
        </w:rPr>
        <w:t>Credit must attach to maintenance and negative engineering work. A researcher who identifies that an experiment cannot grade its target claim has produced a scientific result about the design. Release histories can make that contribution citable. Without such credit, the system will reward passing gates and recreate publication bias inside the pipeline.</w:t>
      </w:r>
    </w:p>
    <w:p>
      <w:pPr>
        <w:pStyle w:val="Heading1"/>
      </w:pPr>
      <w:r>
        <w:rPr>
          <w:rFonts w:ascii="Arial" w:hAnsi="Arial" w:eastAsia="Arial"/>
          <w:b/>
          <w:color w:val="000000"/>
          <w:sz w:val="26"/>
        </w:rPr>
        <w:t>9 Evaluation of the discipline</w:t>
      </w:r>
    </w:p>
    <w:p>
      <w:pPr>
        <w:pStyle w:val="Heading2"/>
      </w:pPr>
      <w:r>
        <w:rPr>
          <w:rFonts w:ascii="Arial" w:hAnsi="Arial" w:eastAsia="Arial"/>
          <w:b/>
          <w:color w:val="000000"/>
          <w:sz w:val="22"/>
        </w:rPr>
        <w:t>9.1 Prospective hypotheses</w:t>
      </w:r>
    </w:p>
    <w:p>
      <w:pPr>
        <w:widowControl/>
        <w:spacing w:before="0" w:after="100" w:line="254" w:lineRule="auto"/>
      </w:pPr>
      <w:r>
        <w:rPr>
          <w:rFonts w:ascii="Times New Roman" w:hAnsi="Times New Roman" w:eastAsia="Times New Roman"/>
          <w:color w:val="000000"/>
          <w:sz w:val="20"/>
        </w:rPr>
        <w:t>Philosophy Engineering should be treated as an empirical intervention. Its first evaluation should register the following hypotheses.</w:t>
      </w:r>
    </w:p>
    <w:p>
      <w:pPr>
        <w:widowControl/>
        <w:spacing w:before="0" w:after="100" w:line="254" w:lineRule="auto"/>
      </w:pPr>
      <w:r>
        <w:rPr>
          <w:rFonts w:ascii="Times New Roman" w:hAnsi="Times New Roman" w:eastAsia="Times New Roman"/>
          <w:color w:val="000000"/>
          <w:sz w:val="20"/>
        </w:rPr>
        <w:t>H1 is earlier defect detection. Teams using the minimum claim system detect a greater proportion of consequential conceptual and inferential defects before confirmatory outcomes are opened than teams using reproducibility and preregistration controls alone.</w:t>
      </w:r>
    </w:p>
    <w:p>
      <w:pPr>
        <w:widowControl/>
        <w:spacing w:before="0" w:after="100" w:line="254" w:lineRule="auto"/>
      </w:pPr>
      <w:r>
        <w:rPr>
          <w:rFonts w:ascii="Times New Roman" w:hAnsi="Times New Roman" w:eastAsia="Times New Roman"/>
          <w:color w:val="000000"/>
          <w:sz w:val="20"/>
        </w:rPr>
        <w:t>H2 is faster correction. When a shared dependency changes, claim-system teams identify the affected claims and issue qualified updates sooner.</w:t>
      </w:r>
    </w:p>
    <w:p>
      <w:pPr>
        <w:widowControl/>
        <w:spacing w:before="0" w:after="100" w:line="254" w:lineRule="auto"/>
      </w:pPr>
      <w:r>
        <w:rPr>
          <w:rFonts w:ascii="Times New Roman" w:hAnsi="Times New Roman" w:eastAsia="Times New Roman"/>
          <w:color w:val="000000"/>
          <w:sz w:val="20"/>
        </w:rPr>
        <w:t>H3 is improved review agreement. Independent reviewers agree more often about the status and scope of substantive claims when given the claim graph and release manifest in addition to the paper.</w:t>
      </w:r>
    </w:p>
    <w:p>
      <w:pPr>
        <w:widowControl/>
        <w:spacing w:before="0" w:after="100" w:line="254" w:lineRule="auto"/>
      </w:pPr>
      <w:r>
        <w:rPr>
          <w:rFonts w:ascii="Times New Roman" w:hAnsi="Times New Roman" w:eastAsia="Times New Roman"/>
          <w:color w:val="000000"/>
          <w:sz w:val="20"/>
        </w:rPr>
        <w:t>H4 is preserved productivity. After the initial adoption period, the additional cost per released claim remains below a registered threshold and does not reduce completed, gradeable studies enough to offset the gains from earlier defect detection.</w:t>
      </w:r>
    </w:p>
    <w:p>
      <w:pPr>
        <w:widowControl/>
        <w:spacing w:before="0" w:after="100" w:line="254" w:lineRule="auto"/>
      </w:pPr>
      <w:r>
        <w:rPr>
          <w:rFonts w:ascii="Times New Roman" w:hAnsi="Times New Roman" w:eastAsia="Times New Roman"/>
          <w:color w:val="000000"/>
          <w:sz w:val="20"/>
        </w:rPr>
        <w:t>H5 is resistance to automation error. In AI-assisted projects, the rate at which unsupported statements enter released claim sets is lower when generation, evidence binding, gate evaluation, and release authority are separated.</w:t>
      </w:r>
    </w:p>
    <w:p>
      <w:pPr>
        <w:pStyle w:val="Heading2"/>
      </w:pPr>
      <w:r>
        <w:rPr>
          <w:rFonts w:ascii="Arial" w:hAnsi="Arial" w:eastAsia="Arial"/>
          <w:b/>
          <w:color w:val="000000"/>
          <w:sz w:val="22"/>
        </w:rPr>
        <w:t>9.2 Study design</w:t>
      </w:r>
    </w:p>
    <w:p>
      <w:pPr>
        <w:widowControl/>
        <w:spacing w:before="0" w:after="100" w:line="254" w:lineRule="auto"/>
      </w:pPr>
      <w:r>
        <w:rPr>
          <w:rFonts w:ascii="Times New Roman" w:hAnsi="Times New Roman" w:eastAsia="Times New Roman"/>
          <w:color w:val="000000"/>
          <w:sz w:val="20"/>
        </w:rPr>
        <w:t>A matched, multi-team study can compare two workflows. Both arms use version control, open materials, a reproducible environment, preregistration, and ordinary peer review. The intervention arm also uses typed claims, dependency edges, epistemic contracts, and the eight gates. Teams receive research tasks drawn from several domains and a mixture of clean protocols and protocols containing seeded defects. Natural defects discovered during execution are retained and adjudicated by a blinded panel.</w:t>
      </w:r>
    </w:p>
    <w:p>
      <w:pPr>
        <w:widowControl/>
        <w:spacing w:before="0" w:after="100" w:line="254" w:lineRule="auto"/>
      </w:pPr>
      <w:r>
        <w:rPr>
          <w:rFonts w:ascii="Times New Roman" w:hAnsi="Times New Roman" w:eastAsia="Times New Roman"/>
          <w:color w:val="000000"/>
          <w:sz w:val="20"/>
        </w:rPr>
        <w:t>The primary endpoint is the proportion of consequential defects detected before confirmatory data access. A consequential defect is one that would invalidate the planned interpretation or change a released claim's warrant. Secondary endpoints include false-stop rate, time to resolution, reviewer agreement, update latency after a dependency change, reproduction success, and researcher hours.</w:t>
      </w:r>
    </w:p>
    <w:p>
      <w:pPr>
        <w:widowControl/>
        <w:spacing w:before="0" w:after="100" w:line="254" w:lineRule="auto"/>
      </w:pPr>
      <w:r>
        <w:rPr>
          <w:rFonts w:ascii="Times New Roman" w:hAnsi="Times New Roman" w:eastAsia="Times New Roman"/>
          <w:color w:val="000000"/>
          <w:sz w:val="20"/>
        </w:rPr>
        <w:t>The design must avoid grading Philosophy Engineering with criteria written by its proponents after observing outcomes. Defect classes, adjudication rules, cost thresholds, and success criteria should be registered by an independent methods team. The tools and training materials should be frozen before teams begin.</w:t>
      </w:r>
    </w:p>
    <w:p>
      <w:pPr>
        <w:pStyle w:val="Heading2"/>
      </w:pPr>
      <w:r>
        <w:rPr>
          <w:rFonts w:ascii="Arial" w:hAnsi="Arial" w:eastAsia="Arial"/>
          <w:b/>
          <w:color w:val="000000"/>
          <w:sz w:val="22"/>
        </w:rPr>
        <w:t>9.3 Falsifiers</w:t>
      </w:r>
    </w:p>
    <w:p>
      <w:pPr>
        <w:widowControl/>
        <w:spacing w:before="0" w:after="100" w:line="254" w:lineRule="auto"/>
      </w:pPr>
      <w:r>
        <w:rPr>
          <w:rFonts w:ascii="Times New Roman" w:hAnsi="Times New Roman" w:eastAsia="Times New Roman"/>
          <w:color w:val="000000"/>
          <w:sz w:val="20"/>
        </w:rPr>
        <w:t>The discipline is weakened if explicit claim systems do not detect more consequential defects than lighter controls, if their false-stop rate makes ordinary research impractical, if independent teams cannot use the artifacts without continuous support from their designers, or if reviewers do not interpret claim states more consistently. It is also weakened if teams route consequential judgments around the system and use it only to produce compliant manifests after decisions are made.</w:t>
      </w:r>
    </w:p>
    <w:p>
      <w:pPr>
        <w:widowControl/>
        <w:spacing w:before="0" w:after="100" w:line="254" w:lineRule="auto"/>
      </w:pPr>
      <w:r>
        <w:rPr>
          <w:rFonts w:ascii="Times New Roman" w:hAnsi="Times New Roman" w:eastAsia="Times New Roman"/>
          <w:color w:val="000000"/>
          <w:sz w:val="20"/>
        </w:rPr>
        <w:t>A failure would not show that explicit reasoning about claims is useless. It would show that this proposed operational form did not earn its cost. The response should be to remove ineffective machinery, not to redefine the deployment as successful.</w:t>
      </w:r>
    </w:p>
    <w:p>
      <w:pPr>
        <w:pStyle w:val="Heading1"/>
      </w:pPr>
      <w:r>
        <w:rPr>
          <w:rFonts w:ascii="Arial" w:hAnsi="Arial" w:eastAsia="Arial"/>
          <w:b/>
          <w:color w:val="000000"/>
          <w:sz w:val="26"/>
        </w:rPr>
        <w:t>10 Risks and limits</w:t>
      </w:r>
    </w:p>
    <w:p>
      <w:pPr>
        <w:pStyle w:val="Heading2"/>
      </w:pPr>
      <w:r>
        <w:rPr>
          <w:rFonts w:ascii="Arial" w:hAnsi="Arial" w:eastAsia="Arial"/>
          <w:b/>
          <w:color w:val="000000"/>
          <w:sz w:val="22"/>
        </w:rPr>
        <w:t>10.1 Formalization can create false assurance</w:t>
      </w:r>
    </w:p>
    <w:p>
      <w:pPr>
        <w:widowControl/>
        <w:spacing w:before="0" w:after="100" w:line="254" w:lineRule="auto"/>
      </w:pPr>
      <w:r>
        <w:rPr>
          <w:rFonts w:ascii="Times New Roman" w:hAnsi="Times New Roman" w:eastAsia="Times New Roman"/>
          <w:color w:val="000000"/>
          <w:sz w:val="20"/>
        </w:rPr>
        <w:t>A complete manifest can still encode a bad theory. Passing gates can become ceremonial, especially when authors write both the rule and the evidence that satisfies it. The system must therefore report the source and independence of each gate, preserve reviewer dissent, and test gates with adversarial cases. Assurance-case practice offers useful precedents for structuring claims and evidence, but safety engineering has also learned that a well-formed argument is not necessarily a sound one [22].</w:t>
      </w:r>
    </w:p>
    <w:p>
      <w:pPr>
        <w:pStyle w:val="Heading2"/>
      </w:pPr>
      <w:r>
        <w:rPr>
          <w:rFonts w:ascii="Arial" w:hAnsi="Arial" w:eastAsia="Arial"/>
          <w:b/>
          <w:color w:val="000000"/>
          <w:sz w:val="22"/>
        </w:rPr>
        <w:t>10.2 Metrics can be gamed</w:t>
      </w:r>
    </w:p>
    <w:p>
      <w:pPr>
        <w:widowControl/>
        <w:spacing w:before="0" w:after="100" w:line="254" w:lineRule="auto"/>
      </w:pPr>
      <w:r>
        <w:rPr>
          <w:rFonts w:ascii="Times New Roman" w:hAnsi="Times New Roman" w:eastAsia="Times New Roman"/>
          <w:color w:val="000000"/>
          <w:sz w:val="20"/>
        </w:rPr>
        <w:t>Teams may reduce the number of claims, weaken falsifiers, or classify failures as ungradeable to improve pass rates. No single maturity score should control funding or publication. Assessment must sample the substance of claims and compare the system's classifications with independent judgment.</w:t>
      </w:r>
    </w:p>
    <w:p>
      <w:pPr>
        <w:pStyle w:val="Heading2"/>
      </w:pPr>
      <w:r>
        <w:rPr>
          <w:rFonts w:ascii="Arial" w:hAnsi="Arial" w:eastAsia="Arial"/>
          <w:b/>
          <w:color w:val="000000"/>
          <w:sz w:val="22"/>
        </w:rPr>
        <w:t>10.3 Not all science is pipeline shaped</w:t>
      </w:r>
    </w:p>
    <w:p>
      <w:pPr>
        <w:widowControl/>
        <w:spacing w:before="0" w:after="100" w:line="254" w:lineRule="auto"/>
      </w:pPr>
      <w:r>
        <w:rPr>
          <w:rFonts w:ascii="Times New Roman" w:hAnsi="Times New Roman" w:eastAsia="Times New Roman"/>
          <w:color w:val="000000"/>
          <w:sz w:val="20"/>
        </w:rPr>
        <w:t>Field observation, historical reconstruction, qualitative inquiry, and early theoretical exploration may not admit automated gates or repeated execution. Philosophy Engineering applies at the level of explicit commitments, provenance, alternatives, and warrant transitions. It should not force every discipline into a randomized-experiment template.</w:t>
      </w:r>
    </w:p>
    <w:p>
      <w:pPr>
        <w:pStyle w:val="Heading2"/>
      </w:pPr>
      <w:r>
        <w:rPr>
          <w:rFonts w:ascii="Arial" w:hAnsi="Arial" w:eastAsia="Arial"/>
          <w:b/>
          <w:color w:val="000000"/>
          <w:sz w:val="22"/>
        </w:rPr>
        <w:t>10.4 Centralization would be dangerous</w:t>
      </w:r>
    </w:p>
    <w:p>
      <w:pPr>
        <w:widowControl/>
        <w:spacing w:before="0" w:after="100" w:line="254" w:lineRule="auto"/>
      </w:pPr>
      <w:r>
        <w:rPr>
          <w:rFonts w:ascii="Times New Roman" w:hAnsi="Times New Roman" w:eastAsia="Times New Roman"/>
          <w:color w:val="000000"/>
          <w:sz w:val="20"/>
        </w:rPr>
        <w:t>A universal registry controlled by one institution could turn methodological infrastructure into epistemic authority. The architecture should support local control, portable releases, open schemas, and federation. Competing interpretations must be able to fork the graph while preserving shared evidence and provenance.</w:t>
      </w:r>
    </w:p>
    <w:p>
      <w:pPr>
        <w:pStyle w:val="Heading2"/>
      </w:pPr>
      <w:r>
        <w:rPr>
          <w:rFonts w:ascii="Arial" w:hAnsi="Arial" w:eastAsia="Arial"/>
          <w:b/>
          <w:color w:val="000000"/>
          <w:sz w:val="22"/>
        </w:rPr>
        <w:t>10.5 The analogy to software has limits</w:t>
      </w:r>
    </w:p>
    <w:p>
      <w:pPr>
        <w:widowControl/>
        <w:spacing w:before="0" w:after="100" w:line="254" w:lineRule="auto"/>
      </w:pPr>
      <w:r>
        <w:rPr>
          <w:rFonts w:ascii="Times New Roman" w:hAnsi="Times New Roman" w:eastAsia="Times New Roman"/>
          <w:color w:val="000000"/>
          <w:sz w:val="20"/>
        </w:rPr>
        <w:t>Software tests operate against engineered specifications; science investigates a world whose specification is unknown. A passing scientific test therefore does not prove correctness, and a failed result may expose the auxiliary theory rather than the target claim. The value of the DevOps analogy lies in configuration control, dependency management, automation, and rapid feedback. It does not convert empirical warrant into software correctness.</w:t>
      </w:r>
    </w:p>
    <w:p>
      <w:pPr>
        <w:pStyle w:val="Heading1"/>
      </w:pPr>
      <w:r>
        <w:rPr>
          <w:rFonts w:ascii="Arial" w:hAnsi="Arial" w:eastAsia="Arial"/>
          <w:b/>
          <w:color w:val="000000"/>
          <w:sz w:val="26"/>
        </w:rPr>
        <w:t>11 Conditions for a scientific transformation</w:t>
      </w:r>
    </w:p>
    <w:p>
      <w:pPr>
        <w:widowControl/>
        <w:spacing w:before="0" w:after="100" w:line="254" w:lineRule="auto"/>
      </w:pPr>
      <w:r>
        <w:rPr>
          <w:rFonts w:ascii="Times New Roman" w:hAnsi="Times New Roman" w:eastAsia="Times New Roman"/>
          <w:color w:val="000000"/>
          <w:sz w:val="20"/>
        </w:rPr>
        <w:t>A Kuhnian transformation cannot be established by naming a discipline. It requires a community to adopt new exemplars, instruments, standards, and forms of competent work because they solve persistent problems better than the previous practice [1]. Four observations would indicate that such a transition had begun.</w:t>
      </w:r>
    </w:p>
    <w:p>
      <w:pPr>
        <w:widowControl/>
        <w:spacing w:before="0" w:after="100" w:line="254" w:lineRule="auto"/>
      </w:pPr>
      <w:r>
        <w:rPr>
          <w:rFonts w:ascii="Times New Roman" w:hAnsi="Times New Roman" w:eastAsia="Times New Roman"/>
          <w:color w:val="000000"/>
          <w:sz w:val="20"/>
        </w:rPr>
        <w:t>First, scientific releases rather than narrative papers would become the maintained unit of record. Papers would remain primary vehicles for explanation and argument, but claim status would be resolved from the release graph.</w:t>
      </w:r>
    </w:p>
    <w:p>
      <w:pPr>
        <w:widowControl/>
        <w:spacing w:before="0" w:after="100" w:line="254" w:lineRule="auto"/>
      </w:pPr>
      <w:r>
        <w:rPr>
          <w:rFonts w:ascii="Times New Roman" w:hAnsi="Times New Roman" w:eastAsia="Times New Roman"/>
          <w:color w:val="000000"/>
          <w:sz w:val="20"/>
        </w:rPr>
        <w:t>Second, consequential claims would routinely carry executable or auditable epistemic contracts. Review would ask not only whether methods were reported, but which outcomes the design could have excluded and which degrees of freedom remained.</w:t>
      </w:r>
    </w:p>
    <w:p>
      <w:pPr>
        <w:widowControl/>
        <w:spacing w:before="0" w:after="100" w:line="254" w:lineRule="auto"/>
      </w:pPr>
      <w:r>
        <w:rPr>
          <w:rFonts w:ascii="Times New Roman" w:hAnsi="Times New Roman" w:eastAsia="Times New Roman"/>
          <w:color w:val="000000"/>
          <w:sz w:val="20"/>
        </w:rPr>
        <w:t>Third, changes in evidence would trigger visible impact analyses and qualified updates. A reader would be able to determine which claims still stand without reconstructing a literature manually.</w:t>
      </w:r>
    </w:p>
    <w:p>
      <w:pPr>
        <w:widowControl/>
        <w:spacing w:before="0" w:after="100" w:line="254" w:lineRule="auto"/>
      </w:pPr>
      <w:r>
        <w:rPr>
          <w:rFonts w:ascii="Times New Roman" w:hAnsi="Times New Roman" w:eastAsia="Times New Roman"/>
          <w:color w:val="000000"/>
          <w:sz w:val="20"/>
        </w:rPr>
        <w:t>Fourth, researchers and artificial agents would share a bounded operating environment. Agents could accelerate search, execution, and checking, while promotion authority and unresolved judgment remained explicit.</w:t>
      </w:r>
    </w:p>
    <w:p>
      <w:pPr>
        <w:widowControl/>
        <w:spacing w:before="0" w:after="100" w:line="254" w:lineRule="auto"/>
      </w:pPr>
      <w:r>
        <w:rPr>
          <w:rFonts w:ascii="Times New Roman" w:hAnsi="Times New Roman" w:eastAsia="Times New Roman"/>
          <w:color w:val="000000"/>
          <w:sz w:val="20"/>
        </w:rPr>
        <w:t>These conditions describe a change in normal science rather than a single conceptual revolution. Their value is operational: each can be observed, measured, and reversed if it does not improve inquiry.</w:t>
      </w:r>
    </w:p>
    <w:p>
      <w:pPr>
        <w:pStyle w:val="Heading1"/>
      </w:pPr>
      <w:r>
        <w:rPr>
          <w:rFonts w:ascii="Arial" w:hAnsi="Arial" w:eastAsia="Arial"/>
          <w:b/>
          <w:color w:val="000000"/>
          <w:sz w:val="26"/>
        </w:rPr>
        <w:t>12 Conclusion</w:t>
      </w:r>
    </w:p>
    <w:p>
      <w:pPr>
        <w:widowControl/>
        <w:spacing w:before="0" w:after="100" w:line="254" w:lineRule="auto"/>
      </w:pPr>
      <w:r>
        <w:rPr>
          <w:rFonts w:ascii="Times New Roman" w:hAnsi="Times New Roman" w:eastAsia="Times New Roman"/>
          <w:color w:val="000000"/>
          <w:sz w:val="20"/>
        </w:rPr>
        <w:t>Science has developed strong methods for collecting evidence and increasingly strong infrastructure for preserving its computational production. It has weaker infrastructure for maintaining the relation between evidence and the claims evidence is said to support. The paper carries that relation in prose, and the reader reconstructs it after the fact.</w:t>
      </w:r>
    </w:p>
    <w:p>
      <w:pPr>
        <w:widowControl/>
        <w:spacing w:before="0" w:after="100" w:line="254" w:lineRule="auto"/>
      </w:pPr>
      <w:r>
        <w:rPr>
          <w:rFonts w:ascii="Times New Roman" w:hAnsi="Times New Roman" w:eastAsia="Times New Roman"/>
          <w:color w:val="000000"/>
          <w:sz w:val="20"/>
        </w:rPr>
        <w:t>Philosophy Engineering makes the claim system an engineered object. Epistemic SciOps operates that object through source, registration, execution, qualification, release, and monitoring. The proposal builds on preregistration, reproducible computing, FAIR artifacts, provenance, Research Objects, assurance cases, and existing SciOps. Its additional commitment is that a theory's degrees of freedom, identification conditions, falsifiers, and status transitions belong in the operated system.</w:t>
      </w:r>
    </w:p>
    <w:p>
      <w:pPr>
        <w:widowControl/>
        <w:spacing w:before="0" w:after="100" w:line="254" w:lineRule="auto"/>
      </w:pPr>
      <w:r>
        <w:rPr>
          <w:rFonts w:ascii="Times New Roman" w:hAnsi="Times New Roman" w:eastAsia="Times New Roman"/>
          <w:color w:val="000000"/>
          <w:sz w:val="20"/>
        </w:rPr>
        <w:t>The OLGC case shows the immediate benefit. The method did not produce a confirmation. It exposed that a planned experiment changed the stimulus rather than the budget, that its retained subspace was unidentified, that one intervention destroyed the instrument, and that another changed which observations remained gradeable. The programme advanced by refusing to count those outcomes as evidence.</w:t>
      </w:r>
    </w:p>
    <w:p>
      <w:pPr>
        <w:widowControl/>
        <w:spacing w:before="0" w:after="100" w:line="254" w:lineRule="auto"/>
      </w:pPr>
      <w:r>
        <w:rPr>
          <w:rFonts w:ascii="Times New Roman" w:hAnsi="Times New Roman" w:eastAsia="Times New Roman"/>
          <w:color w:val="000000"/>
          <w:sz w:val="20"/>
        </w:rPr>
        <w:t>The actionable next step is modest: define the minimal claim schema, implement the eight gates in an ordinary repository, retrofit three contrasting programmes, and test whether independent teams find consequential defects earlier. If that test fails, the proposed discipline must change. If it succeeds, science gains a maintainable object between theory and paper: a system that can show what is claimed, why it is currently warranted, and what would make it stop.</w:t>
      </w:r>
    </w:p>
    <w:p>
      <w:pPr>
        <w:pStyle w:val="Heading1"/>
      </w:pPr>
      <w:r>
        <w:rPr>
          <w:rFonts w:ascii="Arial" w:hAnsi="Arial" w:eastAsia="Arial"/>
          <w:b/>
          <w:color w:val="000000"/>
          <w:sz w:val="26"/>
        </w:rPr>
        <w:t>Acknowledgment of AI use</w:t>
      </w:r>
    </w:p>
    <w:p>
      <w:pPr>
        <w:widowControl/>
        <w:spacing w:before="0" w:after="100" w:line="254" w:lineRule="auto"/>
      </w:pPr>
      <w:r>
        <w:rPr>
          <w:rFonts w:ascii="Times New Roman" w:hAnsi="Times New Roman" w:eastAsia="Times New Roman"/>
          <w:color w:val="000000"/>
          <w:sz w:val="20"/>
        </w:rPr>
        <w:t>Drafting, literature discovery, and structural editing were performed with the assistance of a large language model under the author's direction. The proposed discipline, architecture, case interpretation, and responsibility for every claim remain the author's.</w:t>
      </w:r>
    </w:p>
    <w:p>
      <w:pPr>
        <w:pStyle w:val="Heading1"/>
      </w:pPr>
      <w:r>
        <w:rPr>
          <w:rFonts w:ascii="Arial" w:hAnsi="Arial" w:eastAsia="Arial"/>
          <w:b/>
          <w:color w:val="000000"/>
          <w:sz w:val="26"/>
        </w:rPr>
        <w:t>References</w:t>
      </w:r>
    </w:p>
    <w:p>
      <w:pPr>
        <w:widowControl/>
        <w:spacing w:before="0" w:after="40" w:line="240" w:lineRule="auto"/>
        <w:ind w:left="403" w:hanging="403"/>
      </w:pPr>
      <w:r>
        <w:rPr>
          <w:rFonts w:ascii="Times New Roman" w:hAnsi="Times New Roman" w:eastAsia="Times New Roman"/>
          <w:color w:val="000000"/>
          <w:sz w:val="17"/>
        </w:rPr>
        <w:t>[1] T. S. Kuhn, The Structure of Scientific Revolutions, 4th ed. Chicago, IL: University of Chicago Press, 2012. First published 1962.</w:t>
      </w:r>
    </w:p>
    <w:p>
      <w:pPr>
        <w:widowControl/>
        <w:spacing w:before="0" w:after="40" w:line="240" w:lineRule="auto"/>
        <w:ind w:left="403" w:hanging="403"/>
      </w:pPr>
      <w:r>
        <w:rPr>
          <w:rFonts w:ascii="Times New Roman" w:hAnsi="Times New Roman" w:eastAsia="Times New Roman"/>
          <w:color w:val="000000"/>
          <w:sz w:val="17"/>
        </w:rPr>
        <w:t>[2] K. R. Popper, The Logic of Scientific Discovery. London: Hutchinson, 1959.</w:t>
      </w:r>
    </w:p>
    <w:p>
      <w:pPr>
        <w:widowControl/>
        <w:spacing w:before="0" w:after="40" w:line="240" w:lineRule="auto"/>
        <w:ind w:left="403" w:hanging="403"/>
      </w:pPr>
      <w:r>
        <w:rPr>
          <w:rFonts w:ascii="Times New Roman" w:hAnsi="Times New Roman" w:eastAsia="Times New Roman"/>
          <w:color w:val="000000"/>
          <w:sz w:val="17"/>
        </w:rPr>
        <w:t>[3] I. Lakatos, “Falsification and the methodology of scientific research programmes,” in Criticism and the Growth of Knowledge, I. Lakatos and A. Musgrave, Eds. Cambridge: Cambridge University Press, 1970, pp. 91-196.</w:t>
      </w:r>
    </w:p>
    <w:p>
      <w:pPr>
        <w:widowControl/>
        <w:spacing w:before="0" w:after="40" w:line="240" w:lineRule="auto"/>
        <w:ind w:left="403" w:hanging="403"/>
      </w:pPr>
      <w:r>
        <w:rPr>
          <w:rFonts w:ascii="Times New Roman" w:hAnsi="Times New Roman" w:eastAsia="Times New Roman"/>
          <w:color w:val="000000"/>
          <w:sz w:val="17"/>
        </w:rPr>
        <w:t>[4] J. P. A. Ioannidis, “Why most published research findings are false,” PLoS Medicine, vol. 2, no. 8, e124, 2005. doi:10.1371/journal.pmed.0020124.</w:t>
      </w:r>
    </w:p>
    <w:p>
      <w:pPr>
        <w:widowControl/>
        <w:spacing w:before="0" w:after="40" w:line="240" w:lineRule="auto"/>
        <w:ind w:left="403" w:hanging="403"/>
      </w:pPr>
      <w:r>
        <w:rPr>
          <w:rFonts w:ascii="Times New Roman" w:hAnsi="Times New Roman" w:eastAsia="Times New Roman"/>
          <w:color w:val="000000"/>
          <w:sz w:val="17"/>
        </w:rPr>
        <w:t>[5] M. R. Munafò et al., “A manifesto for reproducible science,” Nature Human Behaviour, vol. 1, 0021, 2017. doi:10.1038/s41562-016-0021.</w:t>
      </w:r>
    </w:p>
    <w:p>
      <w:pPr>
        <w:widowControl/>
        <w:spacing w:before="0" w:after="40" w:line="240" w:lineRule="auto"/>
        <w:ind w:left="403" w:hanging="403"/>
      </w:pPr>
      <w:r>
        <w:rPr>
          <w:rFonts w:ascii="Times New Roman" w:hAnsi="Times New Roman" w:eastAsia="Times New Roman"/>
          <w:color w:val="000000"/>
          <w:sz w:val="17"/>
        </w:rPr>
        <w:t>[6] B. A. Nosek, C. R. Ebersole, A. C. DeHaven, and D. T. Mellor, “The preregistration revolution,” Proceedings of the National Academy of Sciences, vol. 115, no. 11, pp. 2600-2606, 2018. doi:10.1073/pnas.1708274114.</w:t>
      </w:r>
    </w:p>
    <w:p>
      <w:pPr>
        <w:widowControl/>
        <w:spacing w:before="0" w:after="40" w:line="240" w:lineRule="auto"/>
        <w:ind w:left="403" w:hanging="403"/>
      </w:pPr>
      <w:r>
        <w:rPr>
          <w:rFonts w:ascii="Times New Roman" w:hAnsi="Times New Roman" w:eastAsia="Times New Roman"/>
          <w:color w:val="000000"/>
          <w:sz w:val="17"/>
        </w:rPr>
        <w:t>[7] C. D. Chambers, “Registered Reports: A new publishing initiative at Cortex,” Cortex, vol. 49, no. 3, pp. 609-610, 2013. doi:10.1016/j.cortex.2012.12.016.</w:t>
      </w:r>
    </w:p>
    <w:p>
      <w:pPr>
        <w:widowControl/>
        <w:spacing w:before="0" w:after="40" w:line="240" w:lineRule="auto"/>
        <w:ind w:left="403" w:hanging="403"/>
      </w:pPr>
      <w:r>
        <w:rPr>
          <w:rFonts w:ascii="Times New Roman" w:hAnsi="Times New Roman" w:eastAsia="Times New Roman"/>
          <w:color w:val="000000"/>
          <w:sz w:val="17"/>
        </w:rPr>
        <w:t>[8] C. D. Chambers and L. Tzavella, “The past, present and future of Registered Reports,” Nature Human Behaviour, vol. 6, pp. 29-42, 2022. doi:10.1038/s41562-021-01193-7.</w:t>
      </w:r>
    </w:p>
    <w:p>
      <w:pPr>
        <w:widowControl/>
        <w:spacing w:before="0" w:after="40" w:line="240" w:lineRule="auto"/>
        <w:ind w:left="403" w:hanging="403"/>
      </w:pPr>
      <w:r>
        <w:rPr>
          <w:rFonts w:ascii="Times New Roman" w:hAnsi="Times New Roman" w:eastAsia="Times New Roman"/>
          <w:color w:val="000000"/>
          <w:sz w:val="17"/>
        </w:rPr>
        <w:t>[9] B. A. Nosek et al., “Promoting an open research culture,” Science, vol. 348, no. 6242, pp. 1422-1425, 2015. doi:10.1126/science.aab2374.</w:t>
      </w:r>
    </w:p>
    <w:p>
      <w:pPr>
        <w:widowControl/>
        <w:spacing w:before="0" w:after="40" w:line="240" w:lineRule="auto"/>
        <w:ind w:left="403" w:hanging="403"/>
      </w:pPr>
      <w:r>
        <w:rPr>
          <w:rFonts w:ascii="Times New Roman" w:hAnsi="Times New Roman" w:eastAsia="Times New Roman"/>
          <w:color w:val="000000"/>
          <w:sz w:val="17"/>
        </w:rPr>
        <w:t>[10] M. D. Wilkinson et al., “The FAIR Guiding Principles for scientific data management and stewardship,” Scientific Data, vol. 3, 160018, 2016. doi:10.1038/sdata.2016.18.</w:t>
      </w:r>
    </w:p>
    <w:p>
      <w:pPr>
        <w:widowControl/>
        <w:spacing w:before="0" w:after="40" w:line="240" w:lineRule="auto"/>
        <w:ind w:left="403" w:hanging="403"/>
      </w:pPr>
      <w:r>
        <w:rPr>
          <w:rFonts w:ascii="Times New Roman" w:hAnsi="Times New Roman" w:eastAsia="Times New Roman"/>
          <w:color w:val="000000"/>
          <w:sz w:val="17"/>
        </w:rPr>
        <w:t>[11] National Academies of Sciences, Engineering, and Medicine, Reproducibility and Replicability in Science. Washington, DC: National Academies Press, 2019. doi:10.17226/25303.</w:t>
      </w:r>
    </w:p>
    <w:p>
      <w:pPr>
        <w:widowControl/>
        <w:spacing w:before="0" w:after="40" w:line="240" w:lineRule="auto"/>
        <w:ind w:left="403" w:hanging="403"/>
      </w:pPr>
      <w:r>
        <w:rPr>
          <w:rFonts w:ascii="Times New Roman" w:hAnsi="Times New Roman" w:eastAsia="Times New Roman"/>
          <w:color w:val="000000"/>
          <w:sz w:val="17"/>
        </w:rPr>
        <w:t>[12] R. D. Peng, “Reproducible research in computational science,” Science, vol. 334, no. 6060, pp. 1226-1227, 2011. doi:10.1126/science.1213847.</w:t>
      </w:r>
    </w:p>
    <w:p>
      <w:pPr>
        <w:widowControl/>
        <w:spacing w:before="0" w:after="40" w:line="240" w:lineRule="auto"/>
        <w:ind w:left="403" w:hanging="403"/>
      </w:pPr>
      <w:r>
        <w:rPr>
          <w:rFonts w:ascii="Times New Roman" w:hAnsi="Times New Roman" w:eastAsia="Times New Roman"/>
          <w:color w:val="000000"/>
          <w:sz w:val="17"/>
        </w:rPr>
        <w:t>[13] G. K. Sandve, A. Nekrutenko, J. Taylor, and E. Hovig, “Ten simple rules for reproducible computational research,” PLoS Computational Biology, vol. 9, no. 10, e1003285, 2013. doi:10.1371/journal.pcbi.1003285.</w:t>
      </w:r>
    </w:p>
    <w:p>
      <w:pPr>
        <w:widowControl/>
        <w:spacing w:before="0" w:after="40" w:line="240" w:lineRule="auto"/>
        <w:ind w:left="403" w:hanging="403"/>
      </w:pPr>
      <w:r>
        <w:rPr>
          <w:rFonts w:ascii="Times New Roman" w:hAnsi="Times New Roman" w:eastAsia="Times New Roman"/>
          <w:color w:val="000000"/>
          <w:sz w:val="17"/>
        </w:rPr>
        <w:t>[14] P. Groth, A. Gibson, and J. Velterop, “The anatomy of a nanopublication,” Information Services and Use, vol. 30, no. 1-2, pp. 51-56, 2010. doi:10.3233/ISU-2010-0613.</w:t>
      </w:r>
    </w:p>
    <w:p>
      <w:pPr>
        <w:widowControl/>
        <w:spacing w:before="0" w:after="40" w:line="240" w:lineRule="auto"/>
        <w:ind w:left="403" w:hanging="403"/>
      </w:pPr>
      <w:r>
        <w:rPr>
          <w:rFonts w:ascii="Times New Roman" w:hAnsi="Times New Roman" w:eastAsia="Times New Roman"/>
          <w:color w:val="000000"/>
          <w:sz w:val="17"/>
        </w:rPr>
        <w:t>[15] S. Bechhofer et al., “Why linked data is not enough for scientists,” Future Generation Computer Systems, vol. 29, no. 2, pp. 599-611, 2013. doi:10.1016/j.future.2011.08.004.</w:t>
      </w:r>
    </w:p>
    <w:p>
      <w:pPr>
        <w:widowControl/>
        <w:spacing w:before="0" w:after="40" w:line="240" w:lineRule="auto"/>
        <w:ind w:left="403" w:hanging="403"/>
      </w:pPr>
      <w:r>
        <w:rPr>
          <w:rFonts w:ascii="Times New Roman" w:hAnsi="Times New Roman" w:eastAsia="Times New Roman"/>
          <w:color w:val="000000"/>
          <w:sz w:val="17"/>
        </w:rPr>
        <w:t>[16] S. Soiland-Reyes et al., “Packaging research artefacts with RO-Crate,” Data Science, vol. 5, no. 2, pp. 97-138, 2022. doi:10.3233/DS-210053.</w:t>
      </w:r>
    </w:p>
    <w:p>
      <w:pPr>
        <w:widowControl/>
        <w:spacing w:before="0" w:after="40" w:line="240" w:lineRule="auto"/>
        <w:ind w:left="403" w:hanging="403"/>
      </w:pPr>
      <w:r>
        <w:rPr>
          <w:rFonts w:ascii="Times New Roman" w:hAnsi="Times New Roman" w:eastAsia="Times New Roman"/>
          <w:color w:val="000000"/>
          <w:sz w:val="17"/>
        </w:rPr>
        <w:t>[17] L. Moreau and P. Missier, Eds., PROV-DM: The PROV Data Model. W3C Recommendation, 30 April 2013. https://www.w3.org/TR/prov-dm/.</w:t>
      </w:r>
    </w:p>
    <w:p>
      <w:pPr>
        <w:widowControl/>
        <w:spacing w:before="0" w:after="40" w:line="240" w:lineRule="auto"/>
        <w:ind w:left="403" w:hanging="403"/>
      </w:pPr>
      <w:r>
        <w:rPr>
          <w:rFonts w:ascii="Times New Roman" w:hAnsi="Times New Roman" w:eastAsia="Times New Roman"/>
          <w:color w:val="000000"/>
          <w:sz w:val="17"/>
        </w:rPr>
        <w:t>[18] E. C. Johnson et al., “SciOps: Achieving productivity and reliability in data-intensive research,” arXiv:2401.00077, 2024.</w:t>
      </w:r>
    </w:p>
    <w:p>
      <w:pPr>
        <w:widowControl/>
        <w:spacing w:before="0" w:after="40" w:line="240" w:lineRule="auto"/>
        <w:ind w:left="403" w:hanging="403"/>
      </w:pPr>
      <w:r>
        <w:rPr>
          <w:rFonts w:ascii="Times New Roman" w:hAnsi="Times New Roman" w:eastAsia="Times New Roman"/>
          <w:color w:val="000000"/>
          <w:sz w:val="17"/>
        </w:rPr>
        <w:t>[19] P. Nuyujukian, “Leveraging DevOps for scientific computing,” arXiv:2310.08247, 2023.</w:t>
      </w:r>
    </w:p>
    <w:p>
      <w:pPr>
        <w:widowControl/>
        <w:spacing w:before="0" w:after="40" w:line="240" w:lineRule="auto"/>
        <w:ind w:left="403" w:hanging="403"/>
      </w:pPr>
      <w:r>
        <w:rPr>
          <w:rFonts w:ascii="Times New Roman" w:hAnsi="Times New Roman" w:eastAsia="Times New Roman"/>
          <w:color w:val="000000"/>
          <w:sz w:val="17"/>
        </w:rPr>
        <w:t>[20] P. Basu and F. Echenique, “On the falsifiability and learnability of decision theories,” Theoretical Economics, vol. 15, no. 4, pp. 1279-1305, 2020. doi:10.3982/TE3438.</w:t>
      </w:r>
    </w:p>
    <w:p>
      <w:pPr>
        <w:widowControl/>
        <w:spacing w:before="0" w:after="40" w:line="240" w:lineRule="auto"/>
        <w:ind w:left="403" w:hanging="403"/>
      </w:pPr>
      <w:r>
        <w:rPr>
          <w:rFonts w:ascii="Times New Roman" w:hAnsi="Times New Roman" w:eastAsia="Times New Roman"/>
          <w:color w:val="000000"/>
          <w:sz w:val="17"/>
        </w:rPr>
        <w:t>[21] C. P. Chambers, F. Echenique, and N. S. Lambert, “Recovering preferences from finite data,” Econometrica, vol. 89, no. 4, pp. 1633-1664, 2021. doi:10.3982/ECTA17845.</w:t>
      </w:r>
    </w:p>
    <w:p>
      <w:pPr>
        <w:widowControl/>
        <w:spacing w:before="0" w:after="40" w:line="240" w:lineRule="auto"/>
        <w:ind w:left="403" w:hanging="403"/>
      </w:pPr>
      <w:r>
        <w:rPr>
          <w:rFonts w:ascii="Times New Roman" w:hAnsi="Times New Roman" w:eastAsia="Times New Roman"/>
          <w:color w:val="000000"/>
          <w:sz w:val="17"/>
        </w:rPr>
        <w:t>[22] T. P. Kelly and R. A. Weaver, “The Goal Structuring Notation: A safety argument notation,” in Proceedings of the Dependable Systems and Networks Workshop on Assurance Cases, 2004.</w:t>
      </w:r>
    </w:p>
    <w:p>
      <w:pPr>
        <w:widowControl/>
        <w:spacing w:before="0" w:after="40" w:line="240" w:lineRule="auto"/>
        <w:ind w:left="403" w:hanging="403"/>
      </w:pPr>
      <w:r>
        <w:rPr>
          <w:rFonts w:ascii="Times New Roman" w:hAnsi="Times New Roman" w:eastAsia="Times New Roman"/>
          <w:color w:val="000000"/>
          <w:sz w:val="17"/>
        </w:rPr>
        <w:t>[23] C. Lu, C. Lu, R. T. Lange, J. Foerster, J. Clune, and D. Ha, “The AI Scientist: Towards fully automated open-ended scientific discovery,” arXiv:2408.06292, 2024.</w:t>
      </w:r>
    </w:p>
    <w:p>
      <w:pPr>
        <w:widowControl/>
        <w:spacing w:before="0" w:after="40" w:line="240" w:lineRule="auto"/>
        <w:ind w:left="403" w:hanging="403"/>
      </w:pPr>
      <w:r>
        <w:rPr>
          <w:rFonts w:ascii="Times New Roman" w:hAnsi="Times New Roman" w:eastAsia="Times New Roman"/>
          <w:color w:val="000000"/>
          <w:sz w:val="17"/>
        </w:rPr>
        <w:t>[24] J. Gottweis et al., “Accelerating scientific discovery with Co-Scientist,” Nature, 2026. doi:10.1038/s41586-026-10644-y.</w:t>
      </w:r>
    </w:p>
    <w:p>
      <w:pPr>
        <w:widowControl/>
        <w:spacing w:before="0" w:after="40" w:line="240" w:lineRule="auto"/>
        <w:ind w:left="403" w:hanging="403"/>
      </w:pPr>
      <w:r>
        <w:rPr>
          <w:rFonts w:ascii="Times New Roman" w:hAnsi="Times New Roman" w:eastAsia="Times New Roman"/>
          <w:color w:val="000000"/>
          <w:sz w:val="17"/>
        </w:rPr>
        <w:t>[25] A. H. Bond, “Observer-Limited Geometric Cognition: The identification problem, and what has to hold for the theory to say anything a flexible embedding does not,” draft 0.1, San José State University, 2026.</w:t>
      </w:r>
    </w:p>
    <w:p>
      <w:pPr>
        <w:widowControl/>
        <w:spacing w:before="0" w:after="40" w:line="240" w:lineRule="auto"/>
        <w:ind w:left="403" w:hanging="403"/>
      </w:pPr>
      <w:r>
        <w:rPr>
          <w:rFonts w:ascii="Times New Roman" w:hAnsi="Times New Roman" w:eastAsia="Times New Roman"/>
          <w:color w:val="000000"/>
          <w:sz w:val="17"/>
        </w:rPr>
        <w:t>[26] A. H. Bond, “Geometric Evaluation Theory,” foundational paper draft 0.2, 2026.</w:t>
      </w:r>
    </w:p>
    <w:p>
      <w:pPr>
        <w:widowControl/>
        <w:spacing w:before="0" w:after="40" w:line="240" w:lineRule="auto"/>
        <w:ind w:left="403" w:hanging="403"/>
      </w:pPr>
      <w:r>
        <w:rPr>
          <w:rFonts w:ascii="Times New Roman" w:hAnsi="Times New Roman" w:eastAsia="Times New Roman"/>
          <w:color w:val="000000"/>
          <w:sz w:val="17"/>
        </w:rPr>
        <w:t>[27] A. H. Bond, “Observation Theory,” campaign record, 2026.</w:t>
      </w:r>
    </w:p>
    <w:sectPr w:rsidR="00FC693F" w:rsidRPr="0006063C" w:rsidSect="00034616">
      <w:footerReference w:type="default" r:id="rId9"/>
      <w:pgSz w:w="12240" w:h="15840"/>
      <w:pgMar w:top="1037" w:right="1181" w:bottom="1037" w:left="1181"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000000"/>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9" w:lineRule="auto"/>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line="240" w:lineRule="auto"/>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60" w:line="240" w:lineRule="auto"/>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00" w:line="240" w:lineRule="auto" w:before="0"/>
      <w:contextualSpacing/>
    </w:pPr>
    <w:rPr>
      <w:rFonts w:asciiTheme="majorHAnsi" w:eastAsiaTheme="majorEastAsia" w:hAnsiTheme="majorHAnsi" w:cstheme="majorBidi" w:ascii="Times New Roman" w:hAnsi="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Philosophy Engineering and Epistemic SciOps</dc:title>
  <dc:subject>An architecture and implementation plan for continuous auditable science</dc:subject>
  <dc:creator>Andrew H. Bond</dc:creator>
  <cp:keywords>philosophy engineering, SciOps, scientific method, reproducibility, claim graphs</cp:keywords>
  <dc:description>Draft 0.1</dc:description>
  <cp:lastModifiedBy/>
  <cp:revision>1</cp:revision>
  <dcterms:created xsi:type="dcterms:W3CDTF">2013-12-23T23:15:00Z</dcterms:created>
  <dcterms:modified xsi:type="dcterms:W3CDTF">2013-12-23T23:15:00Z</dcterms:modified>
  <cp:category/>
</cp:coreProperties>
</file>