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60"/>
        <w:jc w:val="center"/>
      </w:pPr>
      <w:r>
        <w:rPr>
          <w:rFonts w:ascii="Arial" w:cs="Arial" w:eastAsia="Arial" w:hAnsi="Arial"/>
          <w:b/>
          <w:bCs/>
          <w:color w:val="C87A10"/>
          <w:sz w:val="20"/>
          <w:szCs w:val="20"/>
        </w:rPr>
        <w:t xml:space="preserve">JUSTICE INNOVATIONS</w:t>
      </w:r>
    </w:p>
    <w:p>
      <w:pPr>
        <w:spacing w:after="120"/>
        <w:jc w:val="center"/>
      </w:pPr>
      <w:r>
        <w:rPr>
          <w:rFonts w:ascii="Arial" w:cs="Arial" w:eastAsia="Arial" w:hAnsi="Arial"/>
          <w:b/>
          <w:bCs/>
          <w:color w:val="0D1117"/>
          <w:sz w:val="64"/>
          <w:szCs w:val="64"/>
        </w:rPr>
        <w:t xml:space="preserve">PRD Builder</w:t>
      </w:r>
    </w:p>
    <w:p>
      <w:pPr>
        <w:spacing w:after="80"/>
        <w:jc w:val="center"/>
      </w:pPr>
      <w:r>
        <w:rPr>
          <w:rFonts w:ascii="Arial" w:cs="Arial" w:eastAsia="Arial" w:hAnsi="Arial"/>
          <w:color w:val="4A6080"/>
          <w:sz w:val="28"/>
          <w:szCs w:val="28"/>
        </w:rPr>
        <w:t xml:space="preserve">Administrator Guide &amp; User Manual</w:t>
      </w:r>
    </w:p>
    <w:p>
      <w:pPr>
        <w:spacing w:after="600"/>
        <w:jc w:val="center"/>
      </w:pPr>
      <w:r>
        <w:rPr>
          <w:rFonts w:ascii="Courier New" w:cs="Courier New" w:eastAsia="Courier New" w:hAnsi="Courier New"/>
          <w:color w:val="4A6080"/>
          <w:sz w:val="20"/>
          <w:szCs w:val="20"/>
        </w:rPr>
        <w:t xml:space="preserve">Version 4.0  ·  March 2026</w:t>
      </w:r>
    </w:p>
    <w:p>
      <w:pPr>
        <w:spacing w:after="480"/>
        <w:ind w:left="720" w:right="720"/>
        <w:jc w:val="center"/>
      </w:pPr>
      <w:r>
        <w:rPr>
          <w:rFonts w:ascii="Arial" w:cs="Arial" w:eastAsia="Arial" w:hAnsi="Arial"/>
          <w:i/>
          <w:iCs/>
          <w:color w:val="2D3748"/>
          <w:sz w:val="22"/>
          <w:szCs w:val="22"/>
        </w:rPr>
        <w:t xml:space="preserve">A product requirements gathering platform for justice and law enforcement technology companies. Designed to extract complete, developer-ready requirements from non-technical founders, product managers, developers, and law enforcement representatives — with built-in compliance guidance.</w:t>
      </w:r>
    </w:p>
    <w:p>
      <w:pPr>
        <w:pStyle w:val="Heading1"/>
        <w:pBdr>
          <w:bottom w:val="single" w:color="C87A10" w:sz="6" w:space="1"/>
        </w:pBdr>
        <w:spacing w:before="400" w:after="200"/>
      </w:pPr>
      <w:r>
        <w:rPr>
          <w:rFonts w:ascii="Arial" w:cs="Arial" w:eastAsia="Arial" w:hAnsi="Arial"/>
          <w:b/>
          <w:bCs/>
          <w:color w:val="0D1117"/>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160"/>
      </w:pPr>
      <w:r>
        <w:t xml:space="preserve"/>
      </w:r>
    </w:p>
    <w:p>
      <w:pPr>
        <w:pStyle w:val="Heading1"/>
        <w:pBdr>
          <w:bottom w:val="single" w:color="C87A10" w:sz="6" w:space="1"/>
        </w:pBdr>
        <w:spacing w:before="400" w:after="200"/>
      </w:pPr>
      <w:r>
        <w:rPr>
          <w:rFonts w:ascii="Arial" w:cs="Arial" w:eastAsia="Arial" w:hAnsi="Arial"/>
          <w:b/>
          <w:bCs/>
          <w:color w:val="0D1117"/>
          <w:sz w:val="36"/>
          <w:szCs w:val="36"/>
        </w:rPr>
        <w:t xml:space="preserve">1. What is PRD Builder?</w:t>
      </w:r>
    </w:p>
    <w:p>
      <w:pPr>
        <w:spacing w:after="120"/>
      </w:pPr>
      <w:r>
        <w:rPr>
          <w:rFonts w:ascii="Arial" w:cs="Arial" w:eastAsia="Arial" w:hAnsi="Arial"/>
          <w:color w:val="2D3748"/>
          <w:sz w:val="22"/>
          <w:szCs w:val="22"/>
        </w:rPr>
        <w:t xml:space="preserve">PRD Builder is an AI-powered, role-adaptive questionnaire that helps justice and law enforcement technology companies produce professional Product Requirements Documents (PRDs) without requiring technical expertise from every contributor.</w:t>
      </w:r>
    </w:p>
    <w:p>
      <w:pPr>
        <w:spacing w:after="120"/>
      </w:pPr>
      <w:r>
        <w:rPr>
          <w:rFonts w:ascii="Arial" w:cs="Arial" w:eastAsia="Arial" w:hAnsi="Arial"/>
          <w:color w:val="2D3748"/>
          <w:sz w:val="22"/>
          <w:szCs w:val="22"/>
        </w:rPr>
        <w:t xml:space="preserve">Traditional PRD processes fail non-technical founders: they either ask questions the founder can't answer, or produce documents too vague for developers to work from. PRD Builder solves this by:</w:t>
      </w:r>
    </w:p>
    <w:p>
      <w:pPr>
        <w:pStyle w:val="ListParagraph"/>
        <w:numPr>
          <w:ilvl w:val="0"/>
          <w:numId w:val="2"/>
        </w:numPr>
        <w:spacing w:after="80"/>
      </w:pPr>
      <w:r>
        <w:rPr>
          <w:rFonts w:ascii="Arial" w:cs="Arial" w:eastAsia="Arial" w:hAnsi="Arial"/>
          <w:color w:val="2D3748"/>
          <w:sz w:val="22"/>
          <w:szCs w:val="22"/>
        </w:rPr>
        <w:t xml:space="preserve">Detecting who is answering (Founder, Product Manager, Developer, or Law Enforcement) and asking questions in their language</w:t>
      </w:r>
    </w:p>
    <w:p>
      <w:pPr>
        <w:pStyle w:val="ListParagraph"/>
        <w:numPr>
          <w:ilvl w:val="0"/>
          <w:numId w:val="2"/>
        </w:numPr>
        <w:spacing w:after="80"/>
      </w:pPr>
      <w:r>
        <w:rPr>
          <w:rFonts w:ascii="Arial" w:cs="Arial" w:eastAsia="Arial" w:hAnsi="Arial"/>
          <w:color w:val="2D3748"/>
          <w:sz w:val="22"/>
          <w:szCs w:val="22"/>
        </w:rPr>
        <w:t xml:space="preserve">Surfacing compliance requirements (CJIS, FedRAMP, HIPAA, etc.) early and gently — without intimidating the founder</w:t>
      </w:r>
    </w:p>
    <w:p>
      <w:pPr>
        <w:pStyle w:val="ListParagraph"/>
        <w:numPr>
          <w:ilvl w:val="0"/>
          <w:numId w:val="2"/>
        </w:numPr>
        <w:spacing w:after="80"/>
      </w:pPr>
      <w:r>
        <w:rPr>
          <w:rFonts w:ascii="Arial" w:cs="Arial" w:eastAsia="Arial" w:hAnsi="Arial"/>
          <w:color w:val="2D3748"/>
          <w:sz w:val="22"/>
          <w:szCs w:val="22"/>
        </w:rPr>
        <w:t xml:space="preserve">Allowing multiple contributors to build a single PRD collaboratively using session codes</w:t>
      </w:r>
    </w:p>
    <w:p>
      <w:pPr>
        <w:pStyle w:val="ListParagraph"/>
        <w:numPr>
          <w:ilvl w:val="0"/>
          <w:numId w:val="2"/>
        </w:numPr>
        <w:spacing w:after="80"/>
      </w:pPr>
      <w:r>
        <w:rPr>
          <w:rFonts w:ascii="Arial" w:cs="Arial" w:eastAsia="Arial" w:hAnsi="Arial"/>
          <w:color w:val="2D3748"/>
          <w:sz w:val="22"/>
          <w:szCs w:val="22"/>
        </w:rPr>
        <w:t xml:space="preserve">Generating a complete, numbered PRD with functional requirements (FR-001...) and non-functional requirements (NFR-001...) that a development team can build and test against</w:t>
      </w:r>
    </w:p>
    <w:p>
      <w:pPr>
        <w:pStyle w:val="ListParagraph"/>
        <w:numPr>
          <w:ilvl w:val="0"/>
          <w:numId w:val="2"/>
        </w:numPr>
        <w:spacing w:after="80"/>
      </w:pPr>
      <w:r>
        <w:rPr>
          <w:rFonts w:ascii="Arial" w:cs="Arial" w:eastAsia="Arial" w:hAnsi="Arial"/>
          <w:color w:val="2D3748"/>
          <w:sz w:val="22"/>
          <w:szCs w:val="22"/>
        </w:rPr>
        <w:t xml:space="preserve">Letting your organization customize the platform with your own branding, role names, default compliance frameworks, and custom questions</w:t>
      </w:r>
    </w:p>
    <w:p>
      <w:pPr>
        <w:spacing w:after="160"/>
      </w:pPr>
      <w:r>
        <w:t xml:space="preserve"/>
      </w:r>
    </w:p>
    <w:p>
      <w:pPr>
        <w:pStyle w:val="Heading1"/>
        <w:pBdr>
          <w:bottom w:val="single" w:color="C87A10" w:sz="6" w:space="1"/>
        </w:pBdr>
        <w:spacing w:before="400" w:after="200"/>
      </w:pPr>
      <w:r>
        <w:rPr>
          <w:rFonts w:ascii="Arial" w:cs="Arial" w:eastAsia="Arial" w:hAnsi="Arial"/>
          <w:b/>
          <w:bCs/>
          <w:color w:val="0D1117"/>
          <w:sz w:val="36"/>
          <w:szCs w:val="36"/>
        </w:rPr>
        <w:t xml:space="preserve">2. Getting Started</w:t>
      </w:r>
    </w:p>
    <w:p>
      <w:pPr>
        <w:pStyle w:val="Heading2"/>
        <w:pBdr>
          <w:left w:val="single" w:color="C87A10" w:sz="16" w:space="6"/>
        </w:pBdr>
        <w:spacing w:before="320" w:after="120"/>
        <w:ind w:left="180"/>
      </w:pPr>
      <w:r>
        <w:rPr>
          <w:rFonts w:ascii="Arial" w:cs="Arial" w:eastAsia="Arial" w:hAnsi="Arial"/>
          <w:b/>
          <w:bCs/>
          <w:color w:val="1A3A5C"/>
          <w:sz w:val="26"/>
          <w:szCs w:val="26"/>
        </w:rPr>
        <w:t xml:space="preserve">2.1 Deployment</w:t>
      </w:r>
    </w:p>
    <w:p>
      <w:pPr>
        <w:spacing w:after="120"/>
      </w:pPr>
      <w:r>
        <w:rPr>
          <w:rFonts w:ascii="Arial" w:cs="Arial" w:eastAsia="Arial" w:hAnsi="Arial"/>
          <w:color w:val="2D3748"/>
          <w:sz w:val="22"/>
          <w:szCs w:val="22"/>
        </w:rPr>
        <w:t xml:space="preserve">PRD Builder is a single self-contained HTML file. No server, database, or installation required.</w:t>
      </w:r>
    </w:p>
    <w:p>
      <w:pPr>
        <w:pStyle w:val="Heading3"/>
        <w:spacing w:before="240" w:after="80"/>
      </w:pPr>
      <w:r>
        <w:rPr>
          <w:rFonts w:ascii="Arial" w:cs="Arial" w:eastAsia="Arial" w:hAnsi="Arial"/>
          <w:b/>
          <w:bCs/>
          <w:color w:val="4A6080"/>
          <w:sz w:val="22"/>
          <w:szCs w:val="22"/>
        </w:rPr>
        <w:t xml:space="preserve">Option A: Share the file directly</w:t>
      </w:r>
    </w:p>
    <w:p>
      <w:pPr>
        <w:spacing w:after="120"/>
      </w:pPr>
      <w:r>
        <w:rPr>
          <w:rFonts w:ascii="Arial" w:cs="Arial" w:eastAsia="Arial" w:hAnsi="Arial"/>
          <w:color w:val="2D3748"/>
          <w:sz w:val="22"/>
          <w:szCs w:val="22"/>
        </w:rPr>
        <w:t xml:space="preserve">Email or share the prd-builder.html file. Recipients open it in any modern browser (Chrome, Edge, Firefox, Safari).</w:t>
      </w:r>
    </w:p>
    <w:p>
      <w:pPr>
        <w:pStyle w:val="Heading3"/>
        <w:spacing w:before="240" w:after="80"/>
      </w:pPr>
      <w:r>
        <w:rPr>
          <w:rFonts w:ascii="Arial" w:cs="Arial" w:eastAsia="Arial" w:hAnsi="Arial"/>
          <w:b/>
          <w:bCs/>
          <w:color w:val="4A6080"/>
          <w:sz w:val="22"/>
          <w:szCs w:val="22"/>
        </w:rPr>
        <w:t xml:space="preserve">Option B: Host on a web server</w:t>
      </w:r>
    </w:p>
    <w:p>
      <w:pPr>
        <w:spacing w:after="120"/>
      </w:pPr>
      <w:r>
        <w:rPr>
          <w:rFonts w:ascii="Arial" w:cs="Arial" w:eastAsia="Arial" w:hAnsi="Arial"/>
          <w:color w:val="2D3748"/>
          <w:sz w:val="22"/>
          <w:szCs w:val="22"/>
        </w:rPr>
        <w:t xml:space="preserve">Upload the file to any web server, GitHub Pages, Netlify, or similar static hosting service. The file can be served as-is.</w:t>
      </w:r>
    </w:p>
    <w:p>
      <w:pPr>
        <w:pStyle w:val="Heading3"/>
        <w:spacing w:before="240" w:after="80"/>
      </w:pPr>
      <w:r>
        <w:rPr>
          <w:rFonts w:ascii="Arial" w:cs="Arial" w:eastAsia="Arial" w:hAnsi="Arial"/>
          <w:b/>
          <w:bCs/>
          <w:color w:val="4A6080"/>
          <w:sz w:val="22"/>
          <w:szCs w:val="22"/>
        </w:rPr>
        <w:t xml:space="preserve">Option C: GitHub Pages (recommended for teams)</w:t>
      </w:r>
    </w:p>
    <w:p>
      <w:pPr>
        <w:pStyle w:val="ListParagraph"/>
        <w:numPr>
          <w:ilvl w:val="0"/>
          <w:numId w:val="2"/>
        </w:numPr>
        <w:spacing w:after="80"/>
      </w:pPr>
      <w:r>
        <w:rPr>
          <w:rFonts w:ascii="Arial" w:cs="Arial" w:eastAsia="Arial" w:hAnsi="Arial"/>
          <w:color w:val="2D3748"/>
          <w:sz w:val="22"/>
          <w:szCs w:val="22"/>
        </w:rPr>
        <w:t xml:space="preserve">Create a GitHub repository</w:t>
      </w:r>
    </w:p>
    <w:p>
      <w:pPr>
        <w:pStyle w:val="ListParagraph"/>
        <w:numPr>
          <w:ilvl w:val="0"/>
          <w:numId w:val="2"/>
        </w:numPr>
        <w:spacing w:after="80"/>
      </w:pPr>
      <w:r>
        <w:rPr>
          <w:rFonts w:ascii="Arial" w:cs="Arial" w:eastAsia="Arial" w:hAnsi="Arial"/>
          <w:color w:val="2D3748"/>
          <w:sz w:val="22"/>
          <w:szCs w:val="22"/>
        </w:rPr>
        <w:t xml:space="preserve">Upload prd-builder.html as index.html</w:t>
      </w:r>
    </w:p>
    <w:p>
      <w:pPr>
        <w:pStyle w:val="ListParagraph"/>
        <w:numPr>
          <w:ilvl w:val="0"/>
          <w:numId w:val="2"/>
        </w:numPr>
        <w:spacing w:after="80"/>
      </w:pPr>
      <w:r>
        <w:rPr>
          <w:rFonts w:ascii="Arial" w:cs="Arial" w:eastAsia="Arial" w:hAnsi="Arial"/>
          <w:color w:val="2D3748"/>
          <w:sz w:val="22"/>
          <w:szCs w:val="22"/>
        </w:rPr>
        <w:t xml:space="preserve">Enable GitHub Pages in repository Settings</w:t>
      </w:r>
    </w:p>
    <w:p>
      <w:pPr>
        <w:pStyle w:val="ListParagraph"/>
        <w:numPr>
          <w:ilvl w:val="0"/>
          <w:numId w:val="2"/>
        </w:numPr>
        <w:spacing w:after="80"/>
      </w:pPr>
      <w:r>
        <w:rPr>
          <w:rFonts w:ascii="Arial" w:cs="Arial" w:eastAsia="Arial" w:hAnsi="Arial"/>
          <w:color w:val="2D3748"/>
          <w:sz w:val="22"/>
          <w:szCs w:val="22"/>
        </w:rPr>
        <w:t xml:space="preserve">Share the generated URL with your team</w:t>
      </w:r>
    </w:p>
    <w:p>
      <w:pPr>
        <w:pBdr>
          <w:left w:val="single" w:color="C87A10" w:sz="12" w:space="6"/>
        </w:pBdr>
        <w:shd w:fill="FFF8E6" w:val="clear"/>
        <w:spacing w:before="80" w:after="80"/>
        <w:ind w:left="180" w:right="360"/>
      </w:pPr>
      <w:r>
        <w:rPr>
          <w:rFonts w:ascii="Arial" w:cs="Arial" w:eastAsia="Arial" w:hAnsi="Arial"/>
          <w:b/>
          <w:bCs/>
          <w:color w:val="8A5C00"/>
          <w:sz w:val="20"/>
          <w:szCs w:val="20"/>
        </w:rPr>
        <w:t xml:space="preserve">Note: </w:t>
      </w:r>
      <w:r>
        <w:rPr>
          <w:rFonts w:ascii="Arial" w:cs="Arial" w:eastAsia="Arial" w:hAnsi="Arial"/>
          <w:color w:val="5A4000"/>
          <w:sz w:val="20"/>
          <w:szCs w:val="20"/>
        </w:rPr>
        <w:t xml:space="preserve">The file uses your browser's localStorage to store session data. Sessions are saved per browser/device. When sharing session codes across devices, both devices must be using the same hosted URL for the session code to work.</w:t>
      </w:r>
    </w:p>
    <w:p>
      <w:pPr>
        <w:spacing w:after="160"/>
      </w:pPr>
      <w:r>
        <w:t xml:space="preserve"/>
      </w:r>
    </w:p>
    <w:p>
      <w:pPr>
        <w:pStyle w:val="Heading2"/>
        <w:pBdr>
          <w:left w:val="single" w:color="C87A10" w:sz="16" w:space="6"/>
        </w:pBdr>
        <w:spacing w:before="320" w:after="120"/>
        <w:ind w:left="180"/>
      </w:pPr>
      <w:r>
        <w:rPr>
          <w:rFonts w:ascii="Arial" w:cs="Arial" w:eastAsia="Arial" w:hAnsi="Arial"/>
          <w:b/>
          <w:bCs/>
          <w:color w:val="1A3A5C"/>
          <w:sz w:val="26"/>
          <w:szCs w:val="26"/>
        </w:rPr>
        <w:t xml:space="preserve">2.2 Browser Requirements</w:t>
      </w:r>
    </w:p>
    <w:p>
      <w:pPr>
        <w:pStyle w:val="ListParagraph"/>
        <w:numPr>
          <w:ilvl w:val="0"/>
          <w:numId w:val="2"/>
        </w:numPr>
        <w:spacing w:after="80"/>
      </w:pPr>
      <w:r>
        <w:rPr>
          <w:rFonts w:ascii="Arial" w:cs="Arial" w:eastAsia="Arial" w:hAnsi="Arial"/>
          <w:color w:val="2D3748"/>
          <w:sz w:val="22"/>
          <w:szCs w:val="22"/>
        </w:rPr>
        <w:t xml:space="preserve">Chrome 90+ (recommended)</w:t>
      </w:r>
    </w:p>
    <w:p>
      <w:pPr>
        <w:pStyle w:val="ListParagraph"/>
        <w:numPr>
          <w:ilvl w:val="0"/>
          <w:numId w:val="2"/>
        </w:numPr>
        <w:spacing w:after="80"/>
      </w:pPr>
      <w:r>
        <w:rPr>
          <w:rFonts w:ascii="Arial" w:cs="Arial" w:eastAsia="Arial" w:hAnsi="Arial"/>
          <w:color w:val="2D3748"/>
          <w:sz w:val="22"/>
          <w:szCs w:val="22"/>
        </w:rPr>
        <w:t xml:space="preserve">Microsoft Edge 90+</w:t>
      </w:r>
    </w:p>
    <w:p>
      <w:pPr>
        <w:pStyle w:val="ListParagraph"/>
        <w:numPr>
          <w:ilvl w:val="0"/>
          <w:numId w:val="2"/>
        </w:numPr>
        <w:spacing w:after="80"/>
      </w:pPr>
      <w:r>
        <w:rPr>
          <w:rFonts w:ascii="Arial" w:cs="Arial" w:eastAsia="Arial" w:hAnsi="Arial"/>
          <w:color w:val="2D3748"/>
          <w:sz w:val="22"/>
          <w:szCs w:val="22"/>
        </w:rPr>
        <w:t xml:space="preserve">Firefox 88+</w:t>
      </w:r>
    </w:p>
    <w:p>
      <w:pPr>
        <w:pStyle w:val="ListParagraph"/>
        <w:numPr>
          <w:ilvl w:val="0"/>
          <w:numId w:val="2"/>
        </w:numPr>
        <w:spacing w:after="80"/>
      </w:pPr>
      <w:r>
        <w:rPr>
          <w:rFonts w:ascii="Arial" w:cs="Arial" w:eastAsia="Arial" w:hAnsi="Arial"/>
          <w:color w:val="2D3748"/>
          <w:sz w:val="22"/>
          <w:szCs w:val="22"/>
        </w:rPr>
        <w:t xml:space="preserve">Safari 14+</w:t>
      </w:r>
    </w:p>
    <w:p>
      <w:pPr>
        <w:pStyle w:val="ListParagraph"/>
        <w:numPr>
          <w:ilvl w:val="0"/>
          <w:numId w:val="2"/>
        </w:numPr>
        <w:spacing w:after="80"/>
      </w:pPr>
      <w:r>
        <w:rPr>
          <w:rFonts w:ascii="Arial" w:cs="Arial" w:eastAsia="Arial" w:hAnsi="Arial"/>
          <w:color w:val="2D3748"/>
          <w:sz w:val="22"/>
          <w:szCs w:val="22"/>
        </w:rPr>
        <w:t xml:space="preserve">JavaScript must be enabled</w:t>
      </w:r>
    </w:p>
    <w:p>
      <w:pPr>
        <w:pStyle w:val="ListParagraph"/>
        <w:numPr>
          <w:ilvl w:val="0"/>
          <w:numId w:val="2"/>
        </w:numPr>
        <w:spacing w:after="80"/>
      </w:pPr>
      <w:r>
        <w:rPr>
          <w:rFonts w:ascii="Arial" w:cs="Arial" w:eastAsia="Arial" w:hAnsi="Arial"/>
          <w:color w:val="2D3748"/>
          <w:sz w:val="22"/>
          <w:szCs w:val="22"/>
        </w:rPr>
        <w:t xml:space="preserve">An internet connection is required to generate PRDs (the AI generation uses the Anthropic API)</w:t>
      </w:r>
    </w:p>
    <w:p>
      <w:pPr>
        <w:spacing w:after="160"/>
      </w:pPr>
      <w:r>
        <w:t xml:space="preserve"/>
      </w:r>
    </w:p>
    <w:p>
      <w:pPr>
        <w:pStyle w:val="Heading1"/>
        <w:pBdr>
          <w:bottom w:val="single" w:color="C87A10" w:sz="6" w:space="1"/>
        </w:pBdr>
        <w:spacing w:before="400" w:after="200"/>
      </w:pPr>
      <w:r>
        <w:rPr>
          <w:rFonts w:ascii="Arial" w:cs="Arial" w:eastAsia="Arial" w:hAnsi="Arial"/>
          <w:b/>
          <w:bCs/>
          <w:color w:val="0D1117"/>
          <w:sz w:val="36"/>
          <w:szCs w:val="36"/>
        </w:rPr>
        <w:t xml:space="preserve">3. Settings &amp; Customization</w:t>
      </w:r>
    </w:p>
    <w:p>
      <w:pPr>
        <w:spacing w:after="120"/>
      </w:pPr>
      <w:r>
        <w:rPr>
          <w:rFonts w:ascii="Arial" w:cs="Arial" w:eastAsia="Arial" w:hAnsi="Arial"/>
          <w:color w:val="2D3748"/>
          <w:sz w:val="22"/>
          <w:szCs w:val="22"/>
        </w:rPr>
        <w:t xml:space="preserve">The Settings panel (gear icon in the top-right) allows your organization to customize the platform. Settings are saved in the browser and persist across sessions.</w:t>
      </w:r>
    </w:p>
    <w:p>
      <w:pPr>
        <w:pStyle w:val="Heading2"/>
        <w:pBdr>
          <w:left w:val="single" w:color="C87A10" w:sz="16" w:space="6"/>
        </w:pBdr>
        <w:spacing w:before="320" w:after="120"/>
        <w:ind w:left="180"/>
      </w:pPr>
      <w:r>
        <w:rPr>
          <w:rFonts w:ascii="Arial" w:cs="Arial" w:eastAsia="Arial" w:hAnsi="Arial"/>
          <w:b/>
          <w:bCs/>
          <w:color w:val="1A3A5C"/>
          <w:sz w:val="26"/>
          <w:szCs w:val="26"/>
        </w:rPr>
        <w:t xml:space="preserve">3.1 Branding</w:t>
      </w:r>
    </w:p>
    <w:p>
      <w:pPr>
        <w:pStyle w:val="Heading3"/>
        <w:spacing w:before="240" w:after="80"/>
      </w:pPr>
      <w:r>
        <w:rPr>
          <w:rFonts w:ascii="Arial" w:cs="Arial" w:eastAsia="Arial" w:hAnsi="Arial"/>
          <w:b/>
          <w:bCs/>
          <w:color w:val="4A6080"/>
          <w:sz w:val="22"/>
          <w:szCs w:val="22"/>
        </w:rPr>
        <w:t xml:space="preserve">Company / Organization Name</w:t>
      </w:r>
    </w:p>
    <w:p>
      <w:pPr>
        <w:spacing w:after="120"/>
      </w:pPr>
      <w:r>
        <w:rPr>
          <w:rFonts w:ascii="Arial" w:cs="Arial" w:eastAsia="Arial" w:hAnsi="Arial"/>
          <w:color w:val="2D3748"/>
          <w:sz w:val="22"/>
          <w:szCs w:val="22"/>
        </w:rPr>
        <w:t xml:space="preserve">Sets the organization name that appears in the header subtitle, the landing page eyebrow, and on every generated PRD. Defaults to 'Justice Innovations'.</w:t>
      </w:r>
    </w:p>
    <w:p>
      <w:pPr>
        <w:spacing w:after="80"/>
        <w:ind w:left="360"/>
      </w:pPr>
      <w:r>
        <w:rPr>
          <w:rFonts w:ascii="Courier New" w:cs="Courier New" w:eastAsia="Courier New" w:hAnsi="Courier New"/>
          <w:i/>
          <w:iCs/>
          <w:color w:val="1A3A5C"/>
          <w:sz w:val="20"/>
          <w:szCs w:val="20"/>
        </w:rPr>
        <w:t xml:space="preserve">Example: Center for Science &amp; Law</w:t>
      </w:r>
    </w:p>
    <w:p>
      <w:pPr>
        <w:pStyle w:val="Heading3"/>
        <w:spacing w:before="240" w:after="80"/>
      </w:pPr>
      <w:r>
        <w:rPr>
          <w:rFonts w:ascii="Arial" w:cs="Arial" w:eastAsia="Arial" w:hAnsi="Arial"/>
          <w:b/>
          <w:bCs/>
          <w:color w:val="4A6080"/>
          <w:sz w:val="22"/>
          <w:szCs w:val="22"/>
        </w:rPr>
        <w:t xml:space="preserve">Platform Name</w:t>
      </w:r>
    </w:p>
    <w:p>
      <w:pPr>
        <w:spacing w:after="120"/>
      </w:pPr>
      <w:r>
        <w:rPr>
          <w:rFonts w:ascii="Arial" w:cs="Arial" w:eastAsia="Arial" w:hAnsi="Arial"/>
          <w:color w:val="2D3748"/>
          <w:sz w:val="22"/>
          <w:szCs w:val="22"/>
        </w:rPr>
        <w:t xml:space="preserve">Sets the main name displayed in the browser tab and header logo. Defaults to 'PRD Builder'. Rename to match your organization's product suite.</w:t>
      </w:r>
    </w:p>
    <w:p>
      <w:pPr>
        <w:spacing w:after="80"/>
        <w:ind w:left="360"/>
      </w:pPr>
      <w:r>
        <w:rPr>
          <w:rFonts w:ascii="Courier New" w:cs="Courier New" w:eastAsia="Courier New" w:hAnsi="Courier New"/>
          <w:i/>
          <w:iCs/>
          <w:color w:val="1A3A5C"/>
          <w:sz w:val="20"/>
          <w:szCs w:val="20"/>
        </w:rPr>
        <w:t xml:space="preserve">Example: Product Studio  ·  Requirements Builder  ·  DevSpec</w:t>
      </w:r>
    </w:p>
    <w:p>
      <w:pPr>
        <w:pStyle w:val="Heading3"/>
        <w:spacing w:before="240" w:after="80"/>
      </w:pPr>
      <w:r>
        <w:rPr>
          <w:rFonts w:ascii="Arial" w:cs="Arial" w:eastAsia="Arial" w:hAnsi="Arial"/>
          <w:b/>
          <w:bCs/>
          <w:color w:val="4A6080"/>
          <w:sz w:val="22"/>
          <w:szCs w:val="22"/>
        </w:rPr>
        <w:t xml:space="preserve">Brand Color</w:t>
      </w:r>
    </w:p>
    <w:p>
      <w:pPr>
        <w:spacing w:after="120"/>
      </w:pPr>
      <w:r>
        <w:rPr>
          <w:rFonts w:ascii="Arial" w:cs="Arial" w:eastAsia="Arial" w:hAnsi="Arial"/>
          <w:color w:val="2D3748"/>
          <w:sz w:val="22"/>
          <w:szCs w:val="22"/>
        </w:rPr>
        <w:t xml:space="preserve">Choose from five preset colors or use the color picker for a custom hex value. The brand color is applied to accents, progress bars, active states, and the logo mark throughout the interface.</w:t>
      </w:r>
    </w:p>
    <w:p>
      <w:pPr>
        <w:spacing w:after="160"/>
      </w:pPr>
      <w:r>
        <w:t xml:space="preserve"/>
      </w:r>
    </w:p>
    <w:p>
      <w:pPr>
        <w:pStyle w:val="Heading2"/>
        <w:pBdr>
          <w:left w:val="single" w:color="C87A10" w:sz="16" w:space="6"/>
        </w:pBdr>
        <w:spacing w:before="320" w:after="120"/>
        <w:ind w:left="180"/>
      </w:pPr>
      <w:r>
        <w:rPr>
          <w:rFonts w:ascii="Arial" w:cs="Arial" w:eastAsia="Arial" w:hAnsi="Arial"/>
          <w:b/>
          <w:bCs/>
          <w:color w:val="1A3A5C"/>
          <w:sz w:val="26"/>
          <w:szCs w:val="26"/>
        </w:rPr>
        <w:t xml:space="preserve">3.2 Role Names</w:t>
      </w:r>
    </w:p>
    <w:p>
      <w:pPr>
        <w:spacing w:after="120"/>
      </w:pPr>
      <w:r>
        <w:rPr>
          <w:rFonts w:ascii="Arial" w:cs="Arial" w:eastAsia="Arial" w:hAnsi="Arial"/>
          <w:color w:val="2D3748"/>
          <w:sz w:val="22"/>
          <w:szCs w:val="22"/>
        </w:rPr>
        <w:t xml:space="preserve">Rename any of the four contributor roles to match your organization's terminology. The custom name appears on role cards, question badges, and in generated PRDs.</w:t>
      </w:r>
    </w:p>
    <w:p>
      <w:pPr>
        <w:pStyle w:val="ListParagraph"/>
        <w:numPr>
          <w:ilvl w:val="0"/>
          <w:numId w:val="2"/>
        </w:numPr>
        <w:spacing w:after="80"/>
      </w:pPr>
      <w:r>
        <w:rPr>
          <w:rFonts w:ascii="Arial" w:cs="Arial" w:eastAsia="Arial" w:hAnsi="Arial"/>
          <w:color w:val="2D3748"/>
          <w:sz w:val="22"/>
          <w:szCs w:val="22"/>
        </w:rPr>
        <w:t xml:space="preserve">Founder / Entrepreneur → e.g., Chief Executive, Innovation Lead, Visionary</w:t>
      </w:r>
    </w:p>
    <w:p>
      <w:pPr>
        <w:pStyle w:val="ListParagraph"/>
        <w:numPr>
          <w:ilvl w:val="0"/>
          <w:numId w:val="2"/>
        </w:numPr>
        <w:spacing w:after="80"/>
      </w:pPr>
      <w:r>
        <w:rPr>
          <w:rFonts w:ascii="Arial" w:cs="Arial" w:eastAsia="Arial" w:hAnsi="Arial"/>
          <w:color w:val="2D3748"/>
          <w:sz w:val="22"/>
          <w:szCs w:val="22"/>
        </w:rPr>
        <w:t xml:space="preserve">Product Manager / COO → e.g., Program Manager, Chief of Staff, Operations Lead</w:t>
      </w:r>
    </w:p>
    <w:p>
      <w:pPr>
        <w:pStyle w:val="ListParagraph"/>
        <w:numPr>
          <w:ilvl w:val="0"/>
          <w:numId w:val="2"/>
        </w:numPr>
        <w:spacing w:after="80"/>
      </w:pPr>
      <w:r>
        <w:rPr>
          <w:rFonts w:ascii="Arial" w:cs="Arial" w:eastAsia="Arial" w:hAnsi="Arial"/>
          <w:color w:val="2D3748"/>
          <w:sz w:val="22"/>
          <w:szCs w:val="22"/>
        </w:rPr>
        <w:t xml:space="preserve">Developer / Tech Lead → e.g., Engineering Lead, CTO, Systems Architect</w:t>
      </w:r>
    </w:p>
    <w:p>
      <w:pPr>
        <w:pStyle w:val="ListParagraph"/>
        <w:numPr>
          <w:ilvl w:val="0"/>
          <w:numId w:val="2"/>
        </w:numPr>
        <w:spacing w:after="80"/>
      </w:pPr>
      <w:r>
        <w:rPr>
          <w:rFonts w:ascii="Arial" w:cs="Arial" w:eastAsia="Arial" w:hAnsi="Arial"/>
          <w:color w:val="2D3748"/>
          <w:sz w:val="22"/>
          <w:szCs w:val="22"/>
        </w:rPr>
        <w:t xml:space="preserve">Law Enforcement / Agency → e.g., Agency Partner, End User, Field Representative</w:t>
      </w:r>
    </w:p>
    <w:p>
      <w:pPr>
        <w:pBdr>
          <w:left w:val="single" w:color="C87A10" w:sz="12" w:space="6"/>
        </w:pBdr>
        <w:shd w:fill="FFF8E6" w:val="clear"/>
        <w:spacing w:before="80" w:after="80"/>
        <w:ind w:left="180" w:right="360"/>
      </w:pPr>
      <w:r>
        <w:rPr>
          <w:rFonts w:ascii="Arial" w:cs="Arial" w:eastAsia="Arial" w:hAnsi="Arial"/>
          <w:b/>
          <w:bCs/>
          <w:color w:val="8A5C00"/>
          <w:sz w:val="20"/>
          <w:szCs w:val="20"/>
        </w:rPr>
        <w:t xml:space="preserve">Tip: </w:t>
      </w:r>
      <w:r>
        <w:rPr>
          <w:rFonts w:ascii="Arial" w:cs="Arial" w:eastAsia="Arial" w:hAnsi="Arial"/>
          <w:color w:val="5A4000"/>
          <w:sz w:val="20"/>
          <w:szCs w:val="20"/>
        </w:rPr>
        <w:t xml:space="preserve">Keep role names short — they appear in compact UI elements. 2-4 words work best.</w:t>
      </w:r>
    </w:p>
    <w:p>
      <w:pPr>
        <w:spacing w:after="160"/>
      </w:pPr>
      <w:r>
        <w:t xml:space="preserve"/>
      </w:r>
    </w:p>
    <w:p>
      <w:pPr>
        <w:pStyle w:val="Heading2"/>
        <w:pBdr>
          <w:left w:val="single" w:color="C87A10" w:sz="16" w:space="6"/>
        </w:pBdr>
        <w:spacing w:before="320" w:after="120"/>
        <w:ind w:left="180"/>
      </w:pPr>
      <w:r>
        <w:rPr>
          <w:rFonts w:ascii="Arial" w:cs="Arial" w:eastAsia="Arial" w:hAnsi="Arial"/>
          <w:b/>
          <w:bCs/>
          <w:color w:val="1A3A5C"/>
          <w:sz w:val="26"/>
          <w:szCs w:val="26"/>
        </w:rPr>
        <w:t xml:space="preserve">3.3 Default Compliance Frameworks</w:t>
      </w:r>
    </w:p>
    <w:p>
      <w:pPr>
        <w:spacing w:after="120"/>
      </w:pPr>
      <w:r>
        <w:rPr>
          <w:rFonts w:ascii="Arial" w:cs="Arial" w:eastAsia="Arial" w:hAnsi="Arial"/>
          <w:color w:val="2D3748"/>
          <w:sz w:val="22"/>
          <w:szCs w:val="22"/>
        </w:rPr>
        <w:t xml:space="preserve">Pre-select the compliance frameworks that typically apply to your products. When selected, these frameworks will be automatically flagged in the compliance screener for every new PRD session — even before the user answers the screening questions.</w:t>
      </w:r>
    </w:p>
    <w:p>
      <w:pPr>
        <w:spacing w:after="120"/>
      </w:pPr>
      <w:r>
        <w:rPr>
          <w:rFonts w:ascii="Arial" w:cs="Arial" w:eastAsia="Arial" w:hAnsi="Arial"/>
          <w:color w:val="2D3748"/>
          <w:sz w:val="22"/>
          <w:szCs w:val="22"/>
        </w:rPr>
        <w:t xml:space="preserve">Available frameworks:</w:t>
      </w:r>
    </w:p>
    <w:p>
      <w:pPr>
        <w:pStyle w:val="ListParagraph"/>
        <w:numPr>
          <w:ilvl w:val="0"/>
          <w:numId w:val="2"/>
        </w:numPr>
        <w:spacing w:after="80"/>
      </w:pPr>
      <w:r>
        <w:rPr>
          <w:rFonts w:ascii="Arial" w:cs="Arial" w:eastAsia="Arial" w:hAnsi="Arial"/>
          <w:color w:val="2D3748"/>
          <w:sz w:val="22"/>
          <w:szCs w:val="22"/>
        </w:rPr>
        <w:t xml:space="preserve">CJIS Security Policy — required for any product handling FBI criminal justice information</w:t>
      </w:r>
    </w:p>
    <w:p>
      <w:pPr>
        <w:pStyle w:val="ListParagraph"/>
        <w:numPr>
          <w:ilvl w:val="0"/>
          <w:numId w:val="2"/>
        </w:numPr>
        <w:spacing w:after="80"/>
      </w:pPr>
      <w:r>
        <w:rPr>
          <w:rFonts w:ascii="Arial" w:cs="Arial" w:eastAsia="Arial" w:hAnsi="Arial"/>
          <w:color w:val="2D3748"/>
          <w:sz w:val="22"/>
          <w:szCs w:val="22"/>
        </w:rPr>
        <w:t xml:space="preserve">FedRAMP — required for products used by federal agencies</w:t>
      </w:r>
    </w:p>
    <w:p>
      <w:pPr>
        <w:pStyle w:val="ListParagraph"/>
        <w:numPr>
          <w:ilvl w:val="0"/>
          <w:numId w:val="2"/>
        </w:numPr>
        <w:spacing w:after="80"/>
      </w:pPr>
      <w:r>
        <w:rPr>
          <w:rFonts w:ascii="Arial" w:cs="Arial" w:eastAsia="Arial" w:hAnsi="Arial"/>
          <w:color w:val="2D3748"/>
          <w:sz w:val="22"/>
          <w:szCs w:val="22"/>
        </w:rPr>
        <w:t xml:space="preserve">StateRAMP — state-government cloud security certification</w:t>
      </w:r>
    </w:p>
    <w:p>
      <w:pPr>
        <w:pStyle w:val="ListParagraph"/>
        <w:numPr>
          <w:ilvl w:val="0"/>
          <w:numId w:val="2"/>
        </w:numPr>
        <w:spacing w:after="80"/>
      </w:pPr>
      <w:r>
        <w:rPr>
          <w:rFonts w:ascii="Arial" w:cs="Arial" w:eastAsia="Arial" w:hAnsi="Arial"/>
          <w:color w:val="2D3748"/>
          <w:sz w:val="22"/>
          <w:szCs w:val="22"/>
        </w:rPr>
        <w:t xml:space="preserve">CISA Cybersecurity Performance Goals — recommended baseline for critical infrastructure</w:t>
      </w:r>
    </w:p>
    <w:p>
      <w:pPr>
        <w:pStyle w:val="ListParagraph"/>
        <w:numPr>
          <w:ilvl w:val="0"/>
          <w:numId w:val="2"/>
        </w:numPr>
        <w:spacing w:after="80"/>
      </w:pPr>
      <w:r>
        <w:rPr>
          <w:rFonts w:ascii="Arial" w:cs="Arial" w:eastAsia="Arial" w:hAnsi="Arial"/>
          <w:color w:val="2D3748"/>
          <w:sz w:val="22"/>
          <w:szCs w:val="22"/>
        </w:rPr>
        <w:t xml:space="preserve">CMMC — required for Department of Defense contractors</w:t>
      </w:r>
    </w:p>
    <w:p>
      <w:pPr>
        <w:pStyle w:val="ListParagraph"/>
        <w:numPr>
          <w:ilvl w:val="0"/>
          <w:numId w:val="2"/>
        </w:numPr>
        <w:spacing w:after="80"/>
      </w:pPr>
      <w:r>
        <w:rPr>
          <w:rFonts w:ascii="Arial" w:cs="Arial" w:eastAsia="Arial" w:hAnsi="Arial"/>
          <w:color w:val="2D3748"/>
          <w:sz w:val="22"/>
          <w:szCs w:val="22"/>
        </w:rPr>
        <w:t xml:space="preserve">TX-RAMP — required for cloud products sold to Texas state agencies</w:t>
      </w:r>
    </w:p>
    <w:p>
      <w:pPr>
        <w:pStyle w:val="ListParagraph"/>
        <w:numPr>
          <w:ilvl w:val="0"/>
          <w:numId w:val="2"/>
        </w:numPr>
        <w:spacing w:after="80"/>
      </w:pPr>
      <w:r>
        <w:rPr>
          <w:rFonts w:ascii="Arial" w:cs="Arial" w:eastAsia="Arial" w:hAnsi="Arial"/>
          <w:color w:val="2D3748"/>
          <w:sz w:val="22"/>
          <w:szCs w:val="22"/>
        </w:rPr>
        <w:t xml:space="preserve">HIPAA — required for any product handling medical or mental health records</w:t>
      </w:r>
    </w:p>
    <w:p>
      <w:pPr>
        <w:pStyle w:val="ListParagraph"/>
        <w:numPr>
          <w:ilvl w:val="0"/>
          <w:numId w:val="2"/>
        </w:numPr>
        <w:spacing w:after="80"/>
      </w:pPr>
      <w:r>
        <w:rPr>
          <w:rFonts w:ascii="Arial" w:cs="Arial" w:eastAsia="Arial" w:hAnsi="Arial"/>
          <w:color w:val="2D3748"/>
          <w:sz w:val="22"/>
          <w:szCs w:val="22"/>
        </w:rPr>
        <w:t xml:space="preserve">SOC 2 Type II — enterprise security certification</w:t>
      </w:r>
    </w:p>
    <w:p>
      <w:pPr>
        <w:pBdr>
          <w:left w:val="single" w:color="C87A10" w:sz="12" w:space="6"/>
        </w:pBdr>
        <w:shd w:fill="FFF8E6" w:val="clear"/>
        <w:spacing w:before="80" w:after="80"/>
        <w:ind w:left="180" w:right="360"/>
      </w:pPr>
      <w:r>
        <w:rPr>
          <w:rFonts w:ascii="Arial" w:cs="Arial" w:eastAsia="Arial" w:hAnsi="Arial"/>
          <w:b/>
          <w:bCs/>
          <w:color w:val="8A5C00"/>
          <w:sz w:val="20"/>
          <w:szCs w:val="20"/>
        </w:rPr>
        <w:t xml:space="preserve">Recommendation: </w:t>
      </w:r>
      <w:r>
        <w:rPr>
          <w:rFonts w:ascii="Arial" w:cs="Arial" w:eastAsia="Arial" w:hAnsi="Arial"/>
          <w:color w:val="5A4000"/>
          <w:sz w:val="20"/>
          <w:szCs w:val="20"/>
        </w:rPr>
        <w:t xml:space="preserve">For Justice Innovations products, pre-select CJIS and CISA CPGs as defaults. Add FedRAMP if targeting federal agencies, TX-RAMP if targeting Texas agencies.</w:t>
      </w:r>
    </w:p>
    <w:p>
      <w:pPr>
        <w:spacing w:after="160"/>
      </w:pPr>
      <w:r>
        <w:t xml:space="preserve"/>
      </w:r>
    </w:p>
    <w:p>
      <w:pPr>
        <w:pStyle w:val="Heading2"/>
        <w:pBdr>
          <w:left w:val="single" w:color="C87A10" w:sz="16" w:space="6"/>
        </w:pBdr>
        <w:spacing w:before="320" w:after="120"/>
        <w:ind w:left="180"/>
      </w:pPr>
      <w:r>
        <w:rPr>
          <w:rFonts w:ascii="Arial" w:cs="Arial" w:eastAsia="Arial" w:hAnsi="Arial"/>
          <w:b/>
          <w:bCs/>
          <w:color w:val="1A3A5C"/>
          <w:sz w:val="26"/>
          <w:szCs w:val="26"/>
        </w:rPr>
        <w:t xml:space="preserve">3.4 Custom Questions</w:t>
      </w:r>
    </w:p>
    <w:p>
      <w:pPr>
        <w:spacing w:after="120"/>
      </w:pPr>
      <w:r>
        <w:rPr>
          <w:rFonts w:ascii="Arial" w:cs="Arial" w:eastAsia="Arial" w:hAnsi="Arial"/>
          <w:color w:val="2D3748"/>
          <w:sz w:val="22"/>
          <w:szCs w:val="22"/>
        </w:rPr>
        <w:t xml:space="preserve">Add questions that will appear at the end of every role's questionnaire. Use custom questions for:</w:t>
      </w:r>
    </w:p>
    <w:p>
      <w:pPr>
        <w:pStyle w:val="ListParagraph"/>
        <w:numPr>
          <w:ilvl w:val="0"/>
          <w:numId w:val="2"/>
        </w:numPr>
        <w:spacing w:after="80"/>
      </w:pPr>
      <w:r>
        <w:rPr>
          <w:rFonts w:ascii="Arial" w:cs="Arial" w:eastAsia="Arial" w:hAnsi="Arial"/>
          <w:color w:val="2D3748"/>
          <w:sz w:val="22"/>
          <w:szCs w:val="22"/>
        </w:rPr>
        <w:t xml:space="preserve">Organization-specific requirements that apply to all products</w:t>
      </w:r>
    </w:p>
    <w:p>
      <w:pPr>
        <w:pStyle w:val="ListParagraph"/>
        <w:numPr>
          <w:ilvl w:val="0"/>
          <w:numId w:val="2"/>
        </w:numPr>
        <w:spacing w:after="80"/>
      </w:pPr>
      <w:r>
        <w:rPr>
          <w:rFonts w:ascii="Arial" w:cs="Arial" w:eastAsia="Arial" w:hAnsi="Arial"/>
          <w:color w:val="2D3748"/>
          <w:sz w:val="22"/>
          <w:szCs w:val="22"/>
        </w:rPr>
        <w:t xml:space="preserve">Questions about internal processes, procurement requirements, or budget approval workflows</w:t>
      </w:r>
    </w:p>
    <w:p>
      <w:pPr>
        <w:pStyle w:val="ListParagraph"/>
        <w:numPr>
          <w:ilvl w:val="0"/>
          <w:numId w:val="2"/>
        </w:numPr>
        <w:spacing w:after="80"/>
      </w:pPr>
      <w:r>
        <w:rPr>
          <w:rFonts w:ascii="Arial" w:cs="Arial" w:eastAsia="Arial" w:hAnsi="Arial"/>
          <w:color w:val="2D3748"/>
          <w:sz w:val="22"/>
          <w:szCs w:val="22"/>
        </w:rPr>
        <w:t xml:space="preserve">Questions about specific agencies or partners you work with frequently</w:t>
      </w:r>
    </w:p>
    <w:p>
      <w:pPr>
        <w:pStyle w:val="ListParagraph"/>
        <w:numPr>
          <w:ilvl w:val="0"/>
          <w:numId w:val="2"/>
        </w:numPr>
        <w:spacing w:after="80"/>
      </w:pPr>
      <w:r>
        <w:rPr>
          <w:rFonts w:ascii="Arial" w:cs="Arial" w:eastAsia="Arial" w:hAnsi="Arial"/>
          <w:color w:val="2D3748"/>
          <w:sz w:val="22"/>
          <w:szCs w:val="22"/>
        </w:rPr>
        <w:t xml:space="preserve">Competitive or positioning questions relevant to your market</w:t>
      </w:r>
    </w:p>
    <w:p>
      <w:pPr>
        <w:spacing w:after="120"/>
      </w:pPr>
      <w:r>
        <w:rPr>
          <w:rFonts w:ascii="Arial" w:cs="Arial" w:eastAsia="Arial" w:hAnsi="Arial"/>
          <w:color w:val="2D3748"/>
          <w:sz w:val="22"/>
          <w:szCs w:val="22"/>
        </w:rPr>
        <w:t xml:space="preserve">Custom questions appear as free-text textarea fields labeled under an 'Additional' section. They are appended after the role's standard questions.</w:t>
      </w:r>
    </w:p>
    <w:p>
      <w:pPr>
        <w:spacing w:after="80"/>
        <w:ind w:left="360"/>
      </w:pPr>
      <w:r>
        <w:rPr>
          <w:rFonts w:ascii="Courier New" w:cs="Courier New" w:eastAsia="Courier New" w:hAnsi="Courier New"/>
          <w:i/>
          <w:iCs/>
          <w:color w:val="1A3A5C"/>
          <w:sz w:val="20"/>
          <w:szCs w:val="20"/>
        </w:rPr>
        <w:t xml:space="preserve">Example custom question: 'Does this product need to integrate with our existing Justice Suite platform?'</w:t>
      </w:r>
    </w:p>
    <w:p>
      <w:pPr>
        <w:spacing w:after="80"/>
        <w:ind w:left="360"/>
      </w:pPr>
      <w:r>
        <w:rPr>
          <w:rFonts w:ascii="Courier New" w:cs="Courier New" w:eastAsia="Courier New" w:hAnsi="Courier New"/>
          <w:i/>
          <w:iCs/>
          <w:color w:val="1A3A5C"/>
          <w:sz w:val="20"/>
          <w:szCs w:val="20"/>
        </w:rPr>
        <w:t xml:space="preserve">Example custom question: 'Has this product concept been discussed with any pilot agency already?'</w:t>
      </w:r>
    </w:p>
    <w:p>
      <w:pPr>
        <w:spacing w:after="160"/>
      </w:pPr>
      <w:r>
        <w:t xml:space="preserve"/>
      </w:r>
    </w:p>
    <w:p>
      <w:pPr>
        <w:pStyle w:val="Heading1"/>
        <w:pBdr>
          <w:bottom w:val="single" w:color="C87A10" w:sz="6" w:space="1"/>
        </w:pBdr>
        <w:spacing w:before="400" w:after="200"/>
      </w:pPr>
      <w:r>
        <w:rPr>
          <w:rFonts w:ascii="Arial" w:cs="Arial" w:eastAsia="Arial" w:hAnsi="Arial"/>
          <w:b/>
          <w:bCs/>
          <w:color w:val="0D1117"/>
          <w:sz w:val="36"/>
          <w:szCs w:val="36"/>
        </w:rPr>
        <w:t xml:space="preserve">4. How the Questionnaire Works</w:t>
      </w:r>
    </w:p>
    <w:p>
      <w:pPr>
        <w:pStyle w:val="Heading2"/>
        <w:pBdr>
          <w:left w:val="single" w:color="C87A10" w:sz="16" w:space="6"/>
        </w:pBdr>
        <w:spacing w:before="320" w:after="120"/>
        <w:ind w:left="180"/>
      </w:pPr>
      <w:r>
        <w:rPr>
          <w:rFonts w:ascii="Arial" w:cs="Arial" w:eastAsia="Arial" w:hAnsi="Arial"/>
          <w:b/>
          <w:bCs/>
          <w:color w:val="1A3A5C"/>
          <w:sz w:val="26"/>
          <w:szCs w:val="26"/>
        </w:rPr>
        <w:t xml:space="preserve">4.1 The Flow</w:t>
      </w:r>
    </w:p>
    <w:p>
      <w:pPr>
        <w:spacing w:after="120"/>
      </w:pPr>
      <w:r>
        <w:rPr>
          <w:rFonts w:ascii="Arial" w:cs="Arial" w:eastAsia="Arial" w:hAnsi="Arial"/>
          <w:color w:val="2D3748"/>
          <w:sz w:val="22"/>
          <w:szCs w:val="22"/>
        </w:rPr>
        <w:t xml:space="preserve">Every new PRD session follows this path:</w:t>
      </w:r>
    </w:p>
    <w:p>
      <w:pPr>
        <w:pStyle w:val="ListParagraph"/>
        <w:numPr>
          <w:ilvl w:val="0"/>
          <w:numId w:val="3"/>
        </w:numPr>
        <w:spacing w:after="80"/>
      </w:pPr>
      <w:r>
        <w:rPr>
          <w:rFonts w:ascii="Arial" w:cs="Arial" w:eastAsia="Arial" w:hAnsi="Arial"/>
          <w:color w:val="2D3748"/>
          <w:sz w:val="22"/>
          <w:szCs w:val="22"/>
        </w:rPr>
        <w:t xml:space="preserve">Landing Screen — Start new or join an existing session with a code</w:t>
      </w:r>
    </w:p>
    <w:p>
      <w:pPr>
        <w:pStyle w:val="ListParagraph"/>
        <w:numPr>
          <w:ilvl w:val="0"/>
          <w:numId w:val="3"/>
        </w:numPr>
        <w:spacing w:after="80"/>
      </w:pPr>
      <w:r>
        <w:rPr>
          <w:rFonts w:ascii="Arial" w:cs="Arial" w:eastAsia="Arial" w:hAnsi="Arial"/>
          <w:color w:val="2D3748"/>
          <w:sz w:val="22"/>
          <w:szCs w:val="22"/>
        </w:rPr>
        <w:t xml:space="preserve">Compliance Screener — 6 plain-language yes/no questions that identify relevant frameworks</w:t>
      </w:r>
    </w:p>
    <w:p>
      <w:pPr>
        <w:pStyle w:val="ListParagraph"/>
        <w:numPr>
          <w:ilvl w:val="0"/>
          <w:numId w:val="3"/>
        </w:numPr>
        <w:spacing w:after="80"/>
      </w:pPr>
      <w:r>
        <w:rPr>
          <w:rFonts w:ascii="Arial" w:cs="Arial" w:eastAsia="Arial" w:hAnsi="Arial"/>
          <w:color w:val="2D3748"/>
          <w:sz w:val="22"/>
          <w:szCs w:val="22"/>
        </w:rPr>
        <w:t xml:space="preserve">Role Selection — Contributor picks their role (or an administrator pre-assigns)</w:t>
      </w:r>
    </w:p>
    <w:p>
      <w:pPr>
        <w:pStyle w:val="ListParagraph"/>
        <w:numPr>
          <w:ilvl w:val="0"/>
          <w:numId w:val="3"/>
        </w:numPr>
        <w:spacing w:after="80"/>
      </w:pPr>
      <w:r>
        <w:rPr>
          <w:rFonts w:ascii="Arial" w:cs="Arial" w:eastAsia="Arial" w:hAnsi="Arial"/>
          <w:color w:val="2D3748"/>
          <w:sz w:val="22"/>
          <w:szCs w:val="22"/>
        </w:rPr>
        <w:t xml:space="preserve">Questionnaire — Role-tailored questions with explanations and real examples</w:t>
      </w:r>
    </w:p>
    <w:p>
      <w:pPr>
        <w:pStyle w:val="ListParagraph"/>
        <w:numPr>
          <w:ilvl w:val="0"/>
          <w:numId w:val="3"/>
        </w:numPr>
        <w:spacing w:after="80"/>
      </w:pPr>
      <w:r>
        <w:rPr>
          <w:rFonts w:ascii="Arial" w:cs="Arial" w:eastAsia="Arial" w:hAnsi="Arial"/>
          <w:color w:val="2D3748"/>
          <w:sz w:val="22"/>
          <w:szCs w:val="22"/>
        </w:rPr>
        <w:t xml:space="preserve">Section Saved — Contributor gets a session code to share with others</w:t>
      </w:r>
    </w:p>
    <w:p>
      <w:pPr>
        <w:pStyle w:val="ListParagraph"/>
        <w:numPr>
          <w:ilvl w:val="0"/>
          <w:numId w:val="3"/>
        </w:numPr>
        <w:spacing w:after="80"/>
      </w:pPr>
      <w:r>
        <w:rPr>
          <w:rFonts w:ascii="Arial" w:cs="Arial" w:eastAsia="Arial" w:hAnsi="Arial"/>
          <w:color w:val="2D3748"/>
          <w:sz w:val="22"/>
          <w:szCs w:val="22"/>
        </w:rPr>
        <w:t xml:space="preserve">PRD Generation — AI synthesizes all contributions into a complete document</w:t>
      </w:r>
    </w:p>
    <w:p>
      <w:pPr>
        <w:spacing w:after="160"/>
      </w:pPr>
      <w:r>
        <w:t xml:space="preserve"/>
      </w:r>
    </w:p>
    <w:p>
      <w:pPr>
        <w:pStyle w:val="Heading2"/>
        <w:pBdr>
          <w:left w:val="single" w:color="C87A10" w:sz="16" w:space="6"/>
        </w:pBdr>
        <w:spacing w:before="320" w:after="120"/>
        <w:ind w:left="180"/>
      </w:pPr>
      <w:r>
        <w:rPr>
          <w:rFonts w:ascii="Arial" w:cs="Arial" w:eastAsia="Arial" w:hAnsi="Arial"/>
          <w:b/>
          <w:bCs/>
          <w:color w:val="1A3A5C"/>
          <w:sz w:val="26"/>
          <w:szCs w:val="26"/>
        </w:rPr>
        <w:t xml:space="preserve">4.2 The Four Roles</w:t>
      </w:r>
    </w:p>
    <w:p>
      <w:pPr>
        <w:pStyle w:val="Heading3"/>
        <w:spacing w:before="240" w:after="80"/>
      </w:pPr>
      <w:r>
        <w:rPr>
          <w:rFonts w:ascii="Arial" w:cs="Arial" w:eastAsia="Arial" w:hAnsi="Arial"/>
          <w:b/>
          <w:bCs/>
          <w:color w:val="4A6080"/>
          <w:sz w:val="22"/>
          <w:szCs w:val="22"/>
        </w:rPr>
        <w:t xml:space="preserve">Founder / Entrepreneur</w:t>
      </w:r>
    </w:p>
    <w:p>
      <w:pPr>
        <w:spacing w:after="120"/>
      </w:pPr>
      <w:r>
        <w:rPr>
          <w:rFonts w:ascii="Arial" w:cs="Arial" w:eastAsia="Arial" w:hAnsi="Arial"/>
          <w:color w:val="2D3748"/>
          <w:sz w:val="22"/>
          <w:szCs w:val="22"/>
        </w:rPr>
        <w:t xml:space="preserve">Designed for non-technical founders who know the problem and vision but may not know technical terms. Questions use plain, conversational language. Examples are drawn from real justice software scenarios. 11 questions covering: product overview, problem statement, users, must-have features, organizational context, and success criteria.</w:t>
      </w:r>
    </w:p>
    <w:p>
      <w:pPr>
        <w:pStyle w:val="Heading3"/>
        <w:spacing w:before="240" w:after="80"/>
      </w:pPr>
      <w:r>
        <w:rPr>
          <w:rFonts w:ascii="Arial" w:cs="Arial" w:eastAsia="Arial" w:hAnsi="Arial"/>
          <w:b/>
          <w:bCs/>
          <w:color w:val="4A6080"/>
          <w:sz w:val="22"/>
          <w:szCs w:val="22"/>
        </w:rPr>
        <w:t xml:space="preserve">Product Manager / COO</w:t>
      </w:r>
    </w:p>
    <w:p>
      <w:pPr>
        <w:spacing w:after="120"/>
      </w:pPr>
      <w:r>
        <w:rPr>
          <w:rFonts w:ascii="Arial" w:cs="Arial" w:eastAsia="Arial" w:hAnsi="Arial"/>
          <w:color w:val="2D3748"/>
          <w:sz w:val="22"/>
          <w:szCs w:val="22"/>
        </w:rPr>
        <w:t xml:space="preserve">Designed for the operator who bridges vision and execution. Questions assume familiarity with product management concepts — personas, roadmaps, stakeholder matrices, and basic technical concepts. 14 questions covering: vision, personas, functional requirements, integrations, NFRs, compliance, security, and governance.</w:t>
      </w:r>
    </w:p>
    <w:p>
      <w:pPr>
        <w:pStyle w:val="Heading3"/>
        <w:spacing w:before="240" w:after="80"/>
      </w:pPr>
      <w:r>
        <w:rPr>
          <w:rFonts w:ascii="Arial" w:cs="Arial" w:eastAsia="Arial" w:hAnsi="Arial"/>
          <w:b/>
          <w:bCs/>
          <w:color w:val="4A6080"/>
          <w:sz w:val="22"/>
          <w:szCs w:val="22"/>
        </w:rPr>
        <w:t xml:space="preserve">Developer / Technical Lead</w:t>
      </w:r>
    </w:p>
    <w:p>
      <w:pPr>
        <w:spacing w:after="120"/>
      </w:pPr>
      <w:r>
        <w:rPr>
          <w:rFonts w:ascii="Arial" w:cs="Arial" w:eastAsia="Arial" w:hAnsi="Arial"/>
          <w:color w:val="2D3748"/>
          <w:sz w:val="22"/>
          <w:szCs w:val="22"/>
        </w:rPr>
        <w:t xml:space="preserve">Designed for the engineer who will build the system. Questions are precise and technical — stack preferences, SLOs, data models, security architecture, and compliance control specifics. 13 questions covering: architecture, scale, performance targets, integrations (with protocols and auth methods), security controls, data model, and build scope.</w:t>
      </w:r>
    </w:p>
    <w:p>
      <w:pPr>
        <w:pStyle w:val="Heading3"/>
        <w:spacing w:before="240" w:after="80"/>
      </w:pPr>
      <w:r>
        <w:rPr>
          <w:rFonts w:ascii="Arial" w:cs="Arial" w:eastAsia="Arial" w:hAnsi="Arial"/>
          <w:b/>
          <w:bCs/>
          <w:color w:val="4A6080"/>
          <w:sz w:val="22"/>
          <w:szCs w:val="22"/>
        </w:rPr>
        <w:t xml:space="preserve">Law Enforcement / Agency Representative</w:t>
      </w:r>
    </w:p>
    <w:p>
      <w:pPr>
        <w:spacing w:after="120"/>
      </w:pPr>
      <w:r>
        <w:rPr>
          <w:rFonts w:ascii="Arial" w:cs="Arial" w:eastAsia="Arial" w:hAnsi="Arial"/>
          <w:color w:val="2D3748"/>
          <w:sz w:val="22"/>
          <w:szCs w:val="22"/>
        </w:rPr>
        <w:t xml:space="preserve">Designed for the end user or agency sponsor. Questions use operational language — workflows, daily frustrations, access concerns, and practical training constraints. 12 questions covering: product description in own words, daily workflow, must-have features, access and security concerns, existing systems, training expectations, and success criteria.</w:t>
      </w:r>
    </w:p>
    <w:p>
      <w:pPr>
        <w:spacing w:after="160"/>
      </w:pPr>
      <w:r>
        <w:t xml:space="preserve"/>
      </w:r>
    </w:p>
    <w:p>
      <w:pPr>
        <w:pStyle w:val="Heading2"/>
        <w:pBdr>
          <w:left w:val="single" w:color="C87A10" w:sz="16" w:space="6"/>
        </w:pBdr>
        <w:spacing w:before="320" w:after="120"/>
        <w:ind w:left="180"/>
      </w:pPr>
      <w:r>
        <w:rPr>
          <w:rFonts w:ascii="Arial" w:cs="Arial" w:eastAsia="Arial" w:hAnsi="Arial"/>
          <w:b/>
          <w:bCs/>
          <w:color w:val="1A3A5C"/>
          <w:sz w:val="26"/>
          <w:szCs w:val="26"/>
        </w:rPr>
        <w:t xml:space="preserve">4.3 Switching Roles</w:t>
      </w:r>
    </w:p>
    <w:p>
      <w:pPr>
        <w:spacing w:after="120"/>
      </w:pPr>
      <w:r>
        <w:rPr>
          <w:rFonts w:ascii="Arial" w:cs="Arial" w:eastAsia="Arial" w:hAnsi="Arial"/>
          <w:color w:val="2D3748"/>
          <w:sz w:val="22"/>
          <w:szCs w:val="22"/>
        </w:rPr>
        <w:t xml:space="preserve">Contributors can switch roles at any time using the 'Switch Role' button in the header. When switching:</w:t>
      </w:r>
    </w:p>
    <w:p>
      <w:pPr>
        <w:pStyle w:val="ListParagraph"/>
        <w:numPr>
          <w:ilvl w:val="0"/>
          <w:numId w:val="2"/>
        </w:numPr>
        <w:spacing w:after="80"/>
      </w:pPr>
      <w:r>
        <w:rPr>
          <w:rFonts w:ascii="Arial" w:cs="Arial" w:eastAsia="Arial" w:hAnsi="Arial"/>
          <w:color w:val="2D3748"/>
          <w:sz w:val="22"/>
          <w:szCs w:val="22"/>
        </w:rPr>
        <w:t xml:space="preserve">Current answers are automatically saved before switching</w:t>
      </w:r>
    </w:p>
    <w:p>
      <w:pPr>
        <w:pStyle w:val="ListParagraph"/>
        <w:numPr>
          <w:ilvl w:val="0"/>
          <w:numId w:val="2"/>
        </w:numPr>
        <w:spacing w:after="80"/>
      </w:pPr>
      <w:r>
        <w:rPr>
          <w:rFonts w:ascii="Arial" w:cs="Arial" w:eastAsia="Arial" w:hAnsi="Arial"/>
          <w:color w:val="2D3748"/>
          <w:sz w:val="22"/>
          <w:szCs w:val="22"/>
        </w:rPr>
        <w:t xml:space="preserve">The contributor can pick any role and answer those questions</w:t>
      </w:r>
    </w:p>
    <w:p>
      <w:pPr>
        <w:pStyle w:val="ListParagraph"/>
        <w:numPr>
          <w:ilvl w:val="0"/>
          <w:numId w:val="2"/>
        </w:numPr>
        <w:spacing w:after="80"/>
      </w:pPr>
      <w:r>
        <w:rPr>
          <w:rFonts w:ascii="Arial" w:cs="Arial" w:eastAsia="Arial" w:hAnsi="Arial"/>
          <w:color w:val="2D3748"/>
          <w:sz w:val="22"/>
          <w:szCs w:val="22"/>
        </w:rPr>
        <w:t xml:space="preserve">A single person can answer multiple roles if they have the knowledge — e.g., a founder who also knows the operational side can answer as both Founder and Law Enforcement</w:t>
      </w:r>
    </w:p>
    <w:p>
      <w:pPr>
        <w:pStyle w:val="ListParagraph"/>
        <w:numPr>
          <w:ilvl w:val="0"/>
          <w:numId w:val="2"/>
        </w:numPr>
        <w:spacing w:after="80"/>
      </w:pPr>
      <w:r>
        <w:rPr>
          <w:rFonts w:ascii="Arial" w:cs="Arial" w:eastAsia="Arial" w:hAnsi="Arial"/>
          <w:color w:val="2D3748"/>
          <w:sz w:val="22"/>
          <w:szCs w:val="22"/>
        </w:rPr>
        <w:t xml:space="preserve">When the contributor returns to a role they've already completed, their previous answers are pre-filled</w:t>
      </w:r>
    </w:p>
    <w:p>
      <w:pPr>
        <w:spacing w:after="160"/>
      </w:pPr>
      <w:r>
        <w:t xml:space="preserve"/>
      </w:r>
    </w:p>
    <w:p>
      <w:pPr>
        <w:pStyle w:val="Heading1"/>
        <w:pBdr>
          <w:bottom w:val="single" w:color="C87A10" w:sz="6" w:space="1"/>
        </w:pBdr>
        <w:spacing w:before="400" w:after="200"/>
      </w:pPr>
      <w:r>
        <w:rPr>
          <w:rFonts w:ascii="Arial" w:cs="Arial" w:eastAsia="Arial" w:hAnsi="Arial"/>
          <w:b/>
          <w:bCs/>
          <w:color w:val="0D1117"/>
          <w:sz w:val="36"/>
          <w:szCs w:val="36"/>
        </w:rPr>
        <w:t xml:space="preserve">5. The Compliance Layer</w:t>
      </w:r>
    </w:p>
    <w:p>
      <w:pPr>
        <w:spacing w:after="120"/>
      </w:pPr>
      <w:r>
        <w:rPr>
          <w:rFonts w:ascii="Arial" w:cs="Arial" w:eastAsia="Arial" w:hAnsi="Arial"/>
          <w:color w:val="2D3748"/>
          <w:sz w:val="22"/>
          <w:szCs w:val="22"/>
        </w:rPr>
        <w:t xml:space="preserve">Compliance requirements are one of the most common reasons justice software projects fail or go over budget. Frameworks like CJIS, FedRAMP, and HIPAA fundamentally affect how software is built, where it is hosted, and what security controls are required — and these decisions need to be made early.</w:t>
      </w:r>
    </w:p>
    <w:p>
      <w:pPr>
        <w:spacing w:after="120"/>
      </w:pPr>
      <w:r>
        <w:rPr>
          <w:rFonts w:ascii="Arial" w:cs="Arial" w:eastAsia="Arial" w:hAnsi="Arial"/>
          <w:color w:val="2D3748"/>
          <w:sz w:val="22"/>
          <w:szCs w:val="22"/>
        </w:rPr>
        <w:t xml:space="preserve">PRD Builder addresses this with a three-part compliance strategy designed to inform without intimidating:</w:t>
      </w:r>
    </w:p>
    <w:p>
      <w:pPr>
        <w:pStyle w:val="Heading2"/>
        <w:pBdr>
          <w:left w:val="single" w:color="C87A10" w:sz="16" w:space="6"/>
        </w:pBdr>
        <w:spacing w:before="320" w:after="120"/>
        <w:ind w:left="180"/>
      </w:pPr>
      <w:r>
        <w:rPr>
          <w:rFonts w:ascii="Arial" w:cs="Arial" w:eastAsia="Arial" w:hAnsi="Arial"/>
          <w:b/>
          <w:bCs/>
          <w:color w:val="1A3A5C"/>
          <w:sz w:val="26"/>
          <w:szCs w:val="26"/>
        </w:rPr>
        <w:t xml:space="preserve">5.1 Early Screening</w:t>
      </w:r>
    </w:p>
    <w:p>
      <w:pPr>
        <w:spacing w:after="120"/>
      </w:pPr>
      <w:r>
        <w:rPr>
          <w:rFonts w:ascii="Arial" w:cs="Arial" w:eastAsia="Arial" w:hAnsi="Arial"/>
          <w:color w:val="2D3748"/>
          <w:sz w:val="22"/>
          <w:szCs w:val="22"/>
        </w:rPr>
        <w:t xml:space="preserve">Before the role questionnaire begins, contributors answer 6 plain-language screening questions. The questions ask about consequences and use cases, not framework names:</w:t>
      </w:r>
    </w:p>
    <w:p>
      <w:pPr>
        <w:pStyle w:val="ListParagraph"/>
        <w:numPr>
          <w:ilvl w:val="0"/>
          <w:numId w:val="2"/>
        </w:numPr>
        <w:spacing w:after="80"/>
      </w:pPr>
      <w:r>
        <w:rPr>
          <w:rFonts w:ascii="Arial" w:cs="Arial" w:eastAsia="Arial" w:hAnsi="Arial"/>
          <w:color w:val="2D3748"/>
          <w:sz w:val="22"/>
          <w:szCs w:val="22"/>
        </w:rPr>
        <w:t xml:space="preserve">'Will officers use this to look up a person's criminal history?' (flags CJIS)</w:t>
      </w:r>
    </w:p>
    <w:p>
      <w:pPr>
        <w:pStyle w:val="ListParagraph"/>
        <w:numPr>
          <w:ilvl w:val="0"/>
          <w:numId w:val="2"/>
        </w:numPr>
        <w:spacing w:after="80"/>
      </w:pPr>
      <w:r>
        <w:rPr>
          <w:rFonts w:ascii="Arial" w:cs="Arial" w:eastAsia="Arial" w:hAnsi="Arial"/>
          <w:color w:val="2D3748"/>
          <w:sz w:val="22"/>
          <w:szCs w:val="22"/>
        </w:rPr>
        <w:t xml:space="preserve">'Will this be used by or sold to a federal agency?' (flags FedRAMP)</w:t>
      </w:r>
    </w:p>
    <w:p>
      <w:pPr>
        <w:pStyle w:val="ListParagraph"/>
        <w:numPr>
          <w:ilvl w:val="0"/>
          <w:numId w:val="2"/>
        </w:numPr>
        <w:spacing w:after="80"/>
      </w:pPr>
      <w:r>
        <w:rPr>
          <w:rFonts w:ascii="Arial" w:cs="Arial" w:eastAsia="Arial" w:hAnsi="Arial"/>
          <w:color w:val="2D3748"/>
          <w:sz w:val="22"/>
          <w:szCs w:val="22"/>
        </w:rPr>
        <w:t xml:space="preserve">'Will this be used by state agencies in Texas?' (flags StateRAMP, TX-RAMP)</w:t>
      </w:r>
    </w:p>
    <w:p>
      <w:pPr>
        <w:pStyle w:val="ListParagraph"/>
        <w:numPr>
          <w:ilvl w:val="0"/>
          <w:numId w:val="2"/>
        </w:numPr>
        <w:spacing w:after="80"/>
      </w:pPr>
      <w:r>
        <w:rPr>
          <w:rFonts w:ascii="Arial" w:cs="Arial" w:eastAsia="Arial" w:hAnsi="Arial"/>
          <w:color w:val="2D3748"/>
          <w:sz w:val="22"/>
          <w:szCs w:val="22"/>
        </w:rPr>
        <w:t xml:space="preserve">'Does this involve Department of Defense contracts?' (flags CMMC)</w:t>
      </w:r>
    </w:p>
    <w:p>
      <w:pPr>
        <w:pStyle w:val="ListParagraph"/>
        <w:numPr>
          <w:ilvl w:val="0"/>
          <w:numId w:val="2"/>
        </w:numPr>
        <w:spacing w:after="80"/>
      </w:pPr>
      <w:r>
        <w:rPr>
          <w:rFonts w:ascii="Arial" w:cs="Arial" w:eastAsia="Arial" w:hAnsi="Arial"/>
          <w:color w:val="2D3748"/>
          <w:sz w:val="22"/>
          <w:szCs w:val="22"/>
        </w:rPr>
        <w:t xml:space="preserve">'Will the system store medical or mental health records?' (flags HIPAA)</w:t>
      </w:r>
    </w:p>
    <w:p>
      <w:pPr>
        <w:pStyle w:val="ListParagraph"/>
        <w:numPr>
          <w:ilvl w:val="0"/>
          <w:numId w:val="2"/>
        </w:numPr>
        <w:spacing w:after="80"/>
      </w:pPr>
      <w:r>
        <w:rPr>
          <w:rFonts w:ascii="Arial" w:cs="Arial" w:eastAsia="Arial" w:hAnsi="Arial"/>
          <w:color w:val="2D3748"/>
          <w:sz w:val="22"/>
          <w:szCs w:val="22"/>
        </w:rPr>
        <w:t xml:space="preserve">'Is this part of critical public infrastructure?' (flags CISA CPGs)</w:t>
      </w:r>
    </w:p>
    <w:p>
      <w:pPr>
        <w:spacing w:after="120"/>
      </w:pPr>
      <w:r>
        <w:rPr>
          <w:rFonts w:ascii="Arial" w:cs="Arial" w:eastAsia="Arial" w:hAnsi="Arial"/>
          <w:color w:val="2D3748"/>
          <w:sz w:val="22"/>
          <w:szCs w:val="22"/>
        </w:rPr>
        <w:t xml:space="preserve">Each 'yes' or 'not sure' answer triggers the relevant framework and immediately shows a plain-language explanation of what that framework means, what it affects, and what the cost/timeline implications are.</w:t>
      </w:r>
    </w:p>
    <w:p>
      <w:pPr>
        <w:pBdr>
          <w:left w:val="single" w:color="C87A10" w:sz="12" w:space="6"/>
        </w:pBdr>
        <w:shd w:fill="FFF8E6" w:val="clear"/>
        <w:spacing w:before="80" w:after="80"/>
        <w:ind w:left="180" w:right="360"/>
      </w:pPr>
      <w:r>
        <w:rPr>
          <w:rFonts w:ascii="Arial" w:cs="Arial" w:eastAsia="Arial" w:hAnsi="Arial"/>
          <w:b/>
          <w:bCs/>
          <w:color w:val="8A5C00"/>
          <w:sz w:val="20"/>
          <w:szCs w:val="20"/>
        </w:rPr>
        <w:t xml:space="preserve">Design principle: </w:t>
      </w:r>
      <w:r>
        <w:rPr>
          <w:rFonts w:ascii="Arial" w:cs="Arial" w:eastAsia="Arial" w:hAnsi="Arial"/>
          <w:color w:val="5A4000"/>
          <w:sz w:val="20"/>
          <w:szCs w:val="20"/>
        </w:rPr>
        <w:t xml:space="preserve">The founder should leave the screener feeling informed and prepared, not scared. The compliance flags are framed as 'here's what your developer needs to know' rather than 'here are the laws you might be breaking.'</w:t>
      </w:r>
    </w:p>
    <w:p>
      <w:pPr>
        <w:spacing w:after="160"/>
      </w:pPr>
      <w:r>
        <w:t xml:space="preserve"/>
      </w:r>
    </w:p>
    <w:p>
      <w:pPr>
        <w:pStyle w:val="Heading2"/>
        <w:pBdr>
          <w:left w:val="single" w:color="C87A10" w:sz="16" w:space="6"/>
        </w:pBdr>
        <w:spacing w:before="320" w:after="120"/>
        <w:ind w:left="180"/>
      </w:pPr>
      <w:r>
        <w:rPr>
          <w:rFonts w:ascii="Arial" w:cs="Arial" w:eastAsia="Arial" w:hAnsi="Arial"/>
          <w:b/>
          <w:bCs/>
          <w:color w:val="1A3A5C"/>
          <w:sz w:val="26"/>
          <w:szCs w:val="26"/>
        </w:rPr>
        <w:t xml:space="preserve">5.2 In-Context Compliance Nudges</w:t>
      </w:r>
    </w:p>
    <w:p>
      <w:pPr>
        <w:spacing w:after="120"/>
      </w:pPr>
      <w:r>
        <w:rPr>
          <w:rFonts w:ascii="Arial" w:cs="Arial" w:eastAsia="Arial" w:hAnsi="Arial"/>
          <w:color w:val="2D3748"/>
          <w:sz w:val="22"/>
          <w:szCs w:val="22"/>
        </w:rPr>
        <w:t xml:space="preserve">Throughout the questionnaire, compliance-relevant questions display a contextual note reminding the contributor how their answer connects to a compliance requirement. These appear as amber callout boxes beneath the question.</w:t>
      </w:r>
    </w:p>
    <w:p>
      <w:pPr>
        <w:spacing w:after="120"/>
      </w:pPr>
      <w:r>
        <w:rPr>
          <w:rFonts w:ascii="Arial" w:cs="Arial" w:eastAsia="Arial" w:hAnsi="Arial"/>
          <w:color w:val="2D3748"/>
          <w:sz w:val="22"/>
          <w:szCs w:val="22"/>
        </w:rPr>
        <w:t xml:space="preserve">Nudges appear on these questions when relevant frameworks are detected:</w:t>
      </w:r>
    </w:p>
    <w:p>
      <w:pPr>
        <w:pStyle w:val="ListParagraph"/>
        <w:numPr>
          <w:ilvl w:val="0"/>
          <w:numId w:val="2"/>
        </w:numPr>
        <w:spacing w:after="80"/>
      </w:pPr>
      <w:r>
        <w:rPr>
          <w:rFonts w:ascii="Arial" w:cs="Arial" w:eastAsia="Arial" w:hAnsi="Arial"/>
          <w:color w:val="2D3748"/>
          <w:sz w:val="22"/>
          <w:szCs w:val="22"/>
        </w:rPr>
        <w:t xml:space="preserve">Must-have features → CJIS: explains that criminal records features change how the system gets built</w:t>
      </w:r>
    </w:p>
    <w:p>
      <w:pPr>
        <w:pStyle w:val="ListParagraph"/>
        <w:numPr>
          <w:ilvl w:val="0"/>
          <w:numId w:val="2"/>
        </w:numPr>
        <w:spacing w:after="80"/>
      </w:pPr>
      <w:r>
        <w:rPr>
          <w:rFonts w:ascii="Arial" w:cs="Arial" w:eastAsia="Arial" w:hAnsi="Arial"/>
          <w:color w:val="2D3748"/>
          <w:sz w:val="22"/>
          <w:szCs w:val="22"/>
        </w:rPr>
        <w:t xml:space="preserve">Users &amp; roles → CJIS, FedRAMP: explains that role definitions determine background check and access control requirements</w:t>
      </w:r>
    </w:p>
    <w:p>
      <w:pPr>
        <w:pStyle w:val="ListParagraph"/>
        <w:numPr>
          <w:ilvl w:val="0"/>
          <w:numId w:val="2"/>
        </w:numPr>
        <w:spacing w:after="80"/>
      </w:pPr>
      <w:r>
        <w:rPr>
          <w:rFonts w:ascii="Arial" w:cs="Arial" w:eastAsia="Arial" w:hAnsi="Arial"/>
          <w:color w:val="2D3748"/>
          <w:sz w:val="22"/>
          <w:szCs w:val="22"/>
        </w:rPr>
        <w:t xml:space="preserve">Integrations → CJIS: flags that FBI/NCIC connections require special authorization</w:t>
      </w:r>
    </w:p>
    <w:p>
      <w:pPr>
        <w:pStyle w:val="ListParagraph"/>
        <w:numPr>
          <w:ilvl w:val="0"/>
          <w:numId w:val="2"/>
        </w:numPr>
        <w:spacing w:after="80"/>
      </w:pPr>
      <w:r>
        <w:rPr>
          <w:rFonts w:ascii="Arial" w:cs="Arial" w:eastAsia="Arial" w:hAnsi="Arial"/>
          <w:color w:val="2D3748"/>
          <w:sz w:val="22"/>
          <w:szCs w:val="22"/>
        </w:rPr>
        <w:t xml:space="preserve">Tech stack → FedRAMP, CJIS, StateRAMP: notes cloud provider restrictions</w:t>
      </w:r>
    </w:p>
    <w:p>
      <w:pPr>
        <w:pStyle w:val="ListParagraph"/>
        <w:numPr>
          <w:ilvl w:val="0"/>
          <w:numId w:val="2"/>
        </w:numPr>
        <w:spacing w:after="80"/>
      </w:pPr>
      <w:r>
        <w:rPr>
          <w:rFonts w:ascii="Arial" w:cs="Arial" w:eastAsia="Arial" w:hAnsi="Arial"/>
          <w:color w:val="2D3748"/>
          <w:sz w:val="22"/>
          <w:szCs w:val="22"/>
        </w:rPr>
        <w:t xml:space="preserve">Security architecture → CJIS, FedRAMP, HIPAA: notes mandatory control requirements</w:t>
      </w:r>
    </w:p>
    <w:p>
      <w:pPr>
        <w:pStyle w:val="ListParagraph"/>
        <w:numPr>
          <w:ilvl w:val="0"/>
          <w:numId w:val="2"/>
        </w:numPr>
        <w:spacing w:after="80"/>
      </w:pPr>
      <w:r>
        <w:rPr>
          <w:rFonts w:ascii="Arial" w:cs="Arial" w:eastAsia="Arial" w:hAnsi="Arial"/>
          <w:color w:val="2D3748"/>
          <w:sz w:val="22"/>
          <w:szCs w:val="22"/>
        </w:rPr>
        <w:t xml:space="preserve">Data types → HIPAA: flags that health data storage triggers HIPAA</w:t>
      </w:r>
    </w:p>
    <w:p>
      <w:pPr>
        <w:pStyle w:val="ListParagraph"/>
        <w:numPr>
          <w:ilvl w:val="0"/>
          <w:numId w:val="2"/>
        </w:numPr>
        <w:spacing w:after="80"/>
      </w:pPr>
      <w:r>
        <w:rPr>
          <w:rFonts w:ascii="Arial" w:cs="Arial" w:eastAsia="Arial" w:hAnsi="Arial"/>
          <w:color w:val="2D3748"/>
          <w:sz w:val="22"/>
          <w:szCs w:val="22"/>
        </w:rPr>
        <w:t xml:space="preserve">Data sensitivity → CJIS: explains FBI/NCIC data access requirements</w:t>
      </w:r>
    </w:p>
    <w:p>
      <w:pPr>
        <w:pStyle w:val="ListParagraph"/>
        <w:numPr>
          <w:ilvl w:val="0"/>
          <w:numId w:val="2"/>
        </w:numPr>
        <w:spacing w:after="80"/>
      </w:pPr>
      <w:r>
        <w:rPr>
          <w:rFonts w:ascii="Arial" w:cs="Arial" w:eastAsia="Arial" w:hAnsi="Arial"/>
          <w:color w:val="2D3748"/>
          <w:sz w:val="22"/>
          <w:szCs w:val="22"/>
        </w:rPr>
        <w:t xml:space="preserve">Access concerns → CJIS, FedRAMP: connects access design to compliance requirements</w:t>
      </w:r>
    </w:p>
    <w:p>
      <w:pPr>
        <w:spacing w:after="160"/>
      </w:pPr>
      <w:r>
        <w:t xml:space="preserve"/>
      </w:r>
    </w:p>
    <w:p>
      <w:pPr>
        <w:pStyle w:val="Heading2"/>
        <w:pBdr>
          <w:left w:val="single" w:color="C87A10" w:sz="16" w:space="6"/>
        </w:pBdr>
        <w:spacing w:before="320" w:after="120"/>
        <w:ind w:left="180"/>
      </w:pPr>
      <w:r>
        <w:rPr>
          <w:rFonts w:ascii="Arial" w:cs="Arial" w:eastAsia="Arial" w:hAnsi="Arial"/>
          <w:b/>
          <w:bCs/>
          <w:color w:val="1A3A5C"/>
          <w:sz w:val="26"/>
          <w:szCs w:val="26"/>
        </w:rPr>
        <w:t xml:space="preserve">5.3 Compliance Summary in the PRD</w:t>
      </w:r>
    </w:p>
    <w:p>
      <w:pPr>
        <w:spacing w:after="120"/>
      </w:pPr>
      <w:r>
        <w:rPr>
          <w:rFonts w:ascii="Arial" w:cs="Arial" w:eastAsia="Arial" w:hAnsi="Arial"/>
          <w:color w:val="2D3748"/>
          <w:sz w:val="22"/>
          <w:szCs w:val="22"/>
        </w:rPr>
        <w:t xml:space="preserve">The generated PRD includes a Section 6 dedicated to compliance and security requirements. For each detected framework, the section includes:</w:t>
      </w:r>
    </w:p>
    <w:p>
      <w:pPr>
        <w:pStyle w:val="ListParagraph"/>
        <w:numPr>
          <w:ilvl w:val="0"/>
          <w:numId w:val="2"/>
        </w:numPr>
        <w:spacing w:after="80"/>
      </w:pPr>
      <w:r>
        <w:rPr>
          <w:rFonts w:ascii="Arial" w:cs="Arial" w:eastAsia="Arial" w:hAnsi="Arial"/>
          <w:color w:val="2D3748"/>
          <w:sz w:val="22"/>
          <w:szCs w:val="22"/>
        </w:rPr>
        <w:t xml:space="preserve">What the framework requires in plain language</w:t>
      </w:r>
    </w:p>
    <w:p>
      <w:pPr>
        <w:pStyle w:val="ListParagraph"/>
        <w:numPr>
          <w:ilvl w:val="0"/>
          <w:numId w:val="2"/>
        </w:numPr>
        <w:spacing w:after="80"/>
      </w:pPr>
      <w:r>
        <w:rPr>
          <w:rFonts w:ascii="Arial" w:cs="Arial" w:eastAsia="Arial" w:hAnsi="Arial"/>
          <w:color w:val="2D3748"/>
          <w:sz w:val="22"/>
          <w:szCs w:val="22"/>
        </w:rPr>
        <w:t xml:space="preserve">How it affects architecture and hosting decisions</w:t>
      </w:r>
    </w:p>
    <w:p>
      <w:pPr>
        <w:pStyle w:val="ListParagraph"/>
        <w:numPr>
          <w:ilvl w:val="0"/>
          <w:numId w:val="2"/>
        </w:numPr>
        <w:spacing w:after="80"/>
      </w:pPr>
      <w:r>
        <w:rPr>
          <w:rFonts w:ascii="Arial" w:cs="Arial" w:eastAsia="Arial" w:hAnsi="Arial"/>
          <w:color w:val="2D3748"/>
          <w:sz w:val="22"/>
          <w:szCs w:val="22"/>
        </w:rPr>
        <w:t xml:space="preserve">Estimated impact on timeline and cost</w:t>
      </w:r>
    </w:p>
    <w:p>
      <w:pPr>
        <w:pStyle w:val="ListParagraph"/>
        <w:numPr>
          <w:ilvl w:val="0"/>
          <w:numId w:val="2"/>
        </w:numPr>
        <w:spacing w:after="80"/>
      </w:pPr>
      <w:r>
        <w:rPr>
          <w:rFonts w:ascii="Arial" w:cs="Arial" w:eastAsia="Arial" w:hAnsi="Arial"/>
          <w:color w:val="2D3748"/>
          <w:sz w:val="22"/>
          <w:szCs w:val="22"/>
        </w:rPr>
        <w:t xml:space="preserve">A clear note that specific requirements must be confirmed with the governing agency or CJIS Systems Agency (CSA)</w:t>
      </w:r>
    </w:p>
    <w:p>
      <w:pPr>
        <w:spacing w:after="120"/>
      </w:pPr>
      <w:r>
        <w:rPr>
          <w:rFonts w:ascii="Arial" w:cs="Arial" w:eastAsia="Arial" w:hAnsi="Arial"/>
          <w:color w:val="2D3748"/>
          <w:sz w:val="22"/>
          <w:szCs w:val="22"/>
        </w:rPr>
        <w:t xml:space="preserve">A compliance banner also appears at the top of the PRD identifying all detected frameworks at a glance.</w:t>
      </w:r>
    </w:p>
    <w:p>
      <w:pPr>
        <w:pBdr>
          <w:left w:val="single" w:color="C87A10" w:sz="12" w:space="6"/>
        </w:pBdr>
        <w:shd w:fill="FFF8E6" w:val="clear"/>
        <w:spacing w:before="80" w:after="80"/>
        <w:ind w:left="180" w:right="360"/>
      </w:pPr>
      <w:r>
        <w:rPr>
          <w:rFonts w:ascii="Arial" w:cs="Arial" w:eastAsia="Arial" w:hAnsi="Arial"/>
          <w:b/>
          <w:bCs/>
          <w:color w:val="8A5C00"/>
          <w:sz w:val="20"/>
          <w:szCs w:val="20"/>
        </w:rPr>
        <w:t xml:space="preserve">Important: </w:t>
      </w:r>
      <w:r>
        <w:rPr>
          <w:rFonts w:ascii="Arial" w:cs="Arial" w:eastAsia="Arial" w:hAnsi="Arial"/>
          <w:color w:val="5A4000"/>
          <w:sz w:val="20"/>
          <w:szCs w:val="20"/>
        </w:rPr>
        <w:t xml:space="preserve">PRD Builder identifies likely compliance frameworks based on screener answers and provides general guidance. Final compliance requirements must always be confirmed with the relevant agency, CSA, or legal/security counsel. This tool does not constitute legal or compliance advice.</w:t>
      </w:r>
    </w:p>
    <w:p>
      <w:pPr>
        <w:spacing w:after="160"/>
      </w:pPr>
      <w:r>
        <w:t xml:space="preserve"/>
      </w:r>
    </w:p>
    <w:p>
      <w:pPr>
        <w:pStyle w:val="Heading1"/>
        <w:pBdr>
          <w:bottom w:val="single" w:color="C87A10" w:sz="6" w:space="1"/>
        </w:pBdr>
        <w:spacing w:before="400" w:after="200"/>
      </w:pPr>
      <w:r>
        <w:rPr>
          <w:rFonts w:ascii="Arial" w:cs="Arial" w:eastAsia="Arial" w:hAnsi="Arial"/>
          <w:b/>
          <w:bCs/>
          <w:color w:val="0D1117"/>
          <w:sz w:val="36"/>
          <w:szCs w:val="36"/>
        </w:rPr>
        <w:t xml:space="preserve">6. Multi-Contributor Sessions</w:t>
      </w:r>
    </w:p>
    <w:p>
      <w:pPr>
        <w:pStyle w:val="Heading2"/>
        <w:pBdr>
          <w:left w:val="single" w:color="C87A10" w:sz="16" w:space="6"/>
        </w:pBdr>
        <w:spacing w:before="320" w:after="120"/>
        <w:ind w:left="180"/>
      </w:pPr>
      <w:r>
        <w:rPr>
          <w:rFonts w:ascii="Arial" w:cs="Arial" w:eastAsia="Arial" w:hAnsi="Arial"/>
          <w:b/>
          <w:bCs/>
          <w:color w:val="1A3A5C"/>
          <w:sz w:val="26"/>
          <w:szCs w:val="26"/>
        </w:rPr>
        <w:t xml:space="preserve">6.1 How Session Codes Work</w:t>
      </w:r>
    </w:p>
    <w:p>
      <w:pPr>
        <w:spacing w:after="120"/>
      </w:pPr>
      <w:r>
        <w:rPr>
          <w:rFonts w:ascii="Arial" w:cs="Arial" w:eastAsia="Arial" w:hAnsi="Arial"/>
          <w:color w:val="2D3748"/>
          <w:sz w:val="22"/>
          <w:szCs w:val="22"/>
        </w:rPr>
        <w:t xml:space="preserve">Every new PRD session is assigned a unique 6-character alphanumeric code (e.g., JX7K2M). This code is stored in the browser's localStorage tied to all answers submitted in the session.</w:t>
      </w:r>
    </w:p>
    <w:p>
      <w:pPr>
        <w:spacing w:after="120"/>
      </w:pPr>
      <w:r>
        <w:rPr>
          <w:rFonts w:ascii="Arial" w:cs="Arial" w:eastAsia="Arial" w:hAnsi="Arial"/>
          <w:color w:val="2D3748"/>
          <w:sz w:val="22"/>
          <w:szCs w:val="22"/>
        </w:rPr>
        <w:t xml:space="preserve">The session code can be shared with other contributors. When a contributor enters the code on the home screen, they:</w:t>
      </w:r>
    </w:p>
    <w:p>
      <w:pPr>
        <w:pStyle w:val="ListParagraph"/>
        <w:numPr>
          <w:ilvl w:val="0"/>
          <w:numId w:val="2"/>
        </w:numPr>
        <w:spacing w:after="80"/>
      </w:pPr>
      <w:r>
        <w:rPr>
          <w:rFonts w:ascii="Arial" w:cs="Arial" w:eastAsia="Arial" w:hAnsi="Arial"/>
          <w:color w:val="2D3748"/>
          <w:sz w:val="22"/>
          <w:szCs w:val="22"/>
        </w:rPr>
        <w:t xml:space="preserve">See which roles have already been completed</w:t>
      </w:r>
    </w:p>
    <w:p>
      <w:pPr>
        <w:pStyle w:val="ListParagraph"/>
        <w:numPr>
          <w:ilvl w:val="0"/>
          <w:numId w:val="2"/>
        </w:numPr>
        <w:spacing w:after="80"/>
      </w:pPr>
      <w:r>
        <w:rPr>
          <w:rFonts w:ascii="Arial" w:cs="Arial" w:eastAsia="Arial" w:hAnsi="Arial"/>
          <w:color w:val="2D3748"/>
          <w:sz w:val="22"/>
          <w:szCs w:val="22"/>
        </w:rPr>
        <w:t xml:space="preserve">Pick their role and answer their section</w:t>
      </w:r>
    </w:p>
    <w:p>
      <w:pPr>
        <w:pStyle w:val="ListParagraph"/>
        <w:numPr>
          <w:ilvl w:val="0"/>
          <w:numId w:val="2"/>
        </w:numPr>
        <w:spacing w:after="80"/>
      </w:pPr>
      <w:r>
        <w:rPr>
          <w:rFonts w:ascii="Arial" w:cs="Arial" w:eastAsia="Arial" w:hAnsi="Arial"/>
          <w:color w:val="2D3748"/>
          <w:sz w:val="22"/>
          <w:szCs w:val="22"/>
        </w:rPr>
        <w:t xml:space="preserve">Save their contribution to the shared session</w:t>
      </w:r>
    </w:p>
    <w:p>
      <w:pPr>
        <w:spacing w:after="120"/>
      </w:pPr>
      <w:r>
        <w:rPr>
          <w:rFonts w:ascii="Arial" w:cs="Arial" w:eastAsia="Arial" w:hAnsi="Arial"/>
          <w:color w:val="2D3748"/>
          <w:sz w:val="22"/>
          <w:szCs w:val="22"/>
        </w:rPr>
        <w:t xml:space="preserve">Any contributor can generate the PRD at any time, incorporating all sections completed so far.</w:t>
      </w:r>
    </w:p>
    <w:p>
      <w:pPr>
        <w:pBdr>
          <w:left w:val="single" w:color="C87A10" w:sz="12" w:space="6"/>
        </w:pBdr>
        <w:shd w:fill="FFF8E6" w:val="clear"/>
        <w:spacing w:before="80" w:after="80"/>
        <w:ind w:left="180" w:right="360"/>
      </w:pPr>
      <w:r>
        <w:rPr>
          <w:rFonts w:ascii="Arial" w:cs="Arial" w:eastAsia="Arial" w:hAnsi="Arial"/>
          <w:b/>
          <w:bCs/>
          <w:color w:val="8A5C00"/>
          <w:sz w:val="20"/>
          <w:szCs w:val="20"/>
        </w:rPr>
        <w:t xml:space="preserve">Important: </w:t>
      </w:r>
      <w:r>
        <w:rPr>
          <w:rFonts w:ascii="Arial" w:cs="Arial" w:eastAsia="Arial" w:hAnsi="Arial"/>
          <w:color w:val="5A4000"/>
          <w:sz w:val="20"/>
          <w:szCs w:val="20"/>
        </w:rPr>
        <w:t xml:space="preserve">Session data is stored in each user's browser localStorage. For cross-device collaboration, both parties must be using the same hosted URL for the session data to sync. See Section 7 for a workaround for standalone file use.</w:t>
      </w:r>
    </w:p>
    <w:p>
      <w:pPr>
        <w:spacing w:after="160"/>
      </w:pPr>
      <w:r>
        <w:t xml:space="preserve"/>
      </w:r>
    </w:p>
    <w:p>
      <w:pPr>
        <w:pStyle w:val="Heading2"/>
        <w:pBdr>
          <w:left w:val="single" w:color="C87A10" w:sz="16" w:space="6"/>
        </w:pBdr>
        <w:spacing w:before="320" w:after="120"/>
        <w:ind w:left="180"/>
      </w:pPr>
      <w:r>
        <w:rPr>
          <w:rFonts w:ascii="Arial" w:cs="Arial" w:eastAsia="Arial" w:hAnsi="Arial"/>
          <w:b/>
          <w:bCs/>
          <w:color w:val="1A3A5C"/>
          <w:sz w:val="26"/>
          <w:szCs w:val="26"/>
        </w:rPr>
        <w:t xml:space="preserve">6.2 Typical Multi-Contributor Workflow</w:t>
      </w:r>
    </w:p>
    <w:p>
      <w:pPr>
        <w:pStyle w:val="ListParagraph"/>
        <w:numPr>
          <w:ilvl w:val="0"/>
          <w:numId w:val="3"/>
        </w:numPr>
        <w:spacing w:after="80"/>
      </w:pPr>
      <w:r>
        <w:rPr>
          <w:rFonts w:ascii="Arial" w:cs="Arial" w:eastAsia="Arial" w:hAnsi="Arial"/>
          <w:color w:val="2D3748"/>
          <w:sz w:val="22"/>
          <w:szCs w:val="22"/>
        </w:rPr>
        <w:t xml:space="preserve">Founder starts a new PRD on their device, answers the Founder questions</w:t>
      </w:r>
    </w:p>
    <w:p>
      <w:pPr>
        <w:pStyle w:val="ListParagraph"/>
        <w:numPr>
          <w:ilvl w:val="0"/>
          <w:numId w:val="3"/>
        </w:numPr>
        <w:spacing w:after="80"/>
      </w:pPr>
      <w:r>
        <w:rPr>
          <w:rFonts w:ascii="Arial" w:cs="Arial" w:eastAsia="Arial" w:hAnsi="Arial"/>
          <w:color w:val="2D3748"/>
          <w:sz w:val="22"/>
          <w:szCs w:val="22"/>
        </w:rPr>
        <w:t xml:space="preserve">Founder sees the session code and shares it with the developer and the agency rep</w:t>
      </w:r>
    </w:p>
    <w:p>
      <w:pPr>
        <w:pStyle w:val="ListParagraph"/>
        <w:numPr>
          <w:ilvl w:val="0"/>
          <w:numId w:val="3"/>
        </w:numPr>
        <w:spacing w:after="80"/>
      </w:pPr>
      <w:r>
        <w:rPr>
          <w:rFonts w:ascii="Arial" w:cs="Arial" w:eastAsia="Arial" w:hAnsi="Arial"/>
          <w:color w:val="2D3748"/>
          <w:sz w:val="22"/>
          <w:szCs w:val="22"/>
        </w:rPr>
        <w:t xml:space="preserve">Developer opens the builder, enters the code, picks the Developer role, answers technical questions</w:t>
      </w:r>
    </w:p>
    <w:p>
      <w:pPr>
        <w:pStyle w:val="ListParagraph"/>
        <w:numPr>
          <w:ilvl w:val="0"/>
          <w:numId w:val="3"/>
        </w:numPr>
        <w:spacing w:after="80"/>
      </w:pPr>
      <w:r>
        <w:rPr>
          <w:rFonts w:ascii="Arial" w:cs="Arial" w:eastAsia="Arial" w:hAnsi="Arial"/>
          <w:color w:val="2D3748"/>
          <w:sz w:val="22"/>
          <w:szCs w:val="22"/>
        </w:rPr>
        <w:t xml:space="preserve">Agency rep opens the builder, enters the code, picks the Law Enforcement role, answers operational questions</w:t>
      </w:r>
    </w:p>
    <w:p>
      <w:pPr>
        <w:pStyle w:val="ListParagraph"/>
        <w:numPr>
          <w:ilvl w:val="0"/>
          <w:numId w:val="3"/>
        </w:numPr>
        <w:spacing w:after="80"/>
      </w:pPr>
      <w:r>
        <w:rPr>
          <w:rFonts w:ascii="Arial" w:cs="Arial" w:eastAsia="Arial" w:hAnsi="Arial"/>
          <w:color w:val="2D3748"/>
          <w:sz w:val="22"/>
          <w:szCs w:val="22"/>
        </w:rPr>
        <w:t xml:space="preserve">Any contributor opens the builder, enters the code, clicks 'Generate PRD Now'</w:t>
      </w:r>
    </w:p>
    <w:p>
      <w:pPr>
        <w:pStyle w:val="ListParagraph"/>
        <w:numPr>
          <w:ilvl w:val="0"/>
          <w:numId w:val="3"/>
        </w:numPr>
        <w:spacing w:after="80"/>
      </w:pPr>
      <w:r>
        <w:rPr>
          <w:rFonts w:ascii="Arial" w:cs="Arial" w:eastAsia="Arial" w:hAnsi="Arial"/>
          <w:color w:val="2D3748"/>
          <w:sz w:val="22"/>
          <w:szCs w:val="22"/>
        </w:rPr>
        <w:t xml:space="preserve">The AI synthesizes all contributions into one complete document</w:t>
      </w:r>
    </w:p>
    <w:p>
      <w:pPr>
        <w:spacing w:after="160"/>
      </w:pPr>
      <w:r>
        <w:t xml:space="preserve"/>
      </w:r>
    </w:p>
    <w:p>
      <w:pPr>
        <w:pStyle w:val="Heading2"/>
        <w:pBdr>
          <w:left w:val="single" w:color="C87A10" w:sz="16" w:space="6"/>
        </w:pBdr>
        <w:spacing w:before="320" w:after="120"/>
        <w:ind w:left="180"/>
      </w:pPr>
      <w:r>
        <w:rPr>
          <w:rFonts w:ascii="Arial" w:cs="Arial" w:eastAsia="Arial" w:hAnsi="Arial"/>
          <w:b/>
          <w:bCs/>
          <w:color w:val="1A3A5C"/>
          <w:sz w:val="26"/>
          <w:szCs w:val="26"/>
        </w:rPr>
        <w:t xml:space="preserve">6.3 Single-Contributor Workflow</w:t>
      </w:r>
    </w:p>
    <w:p>
      <w:pPr>
        <w:spacing w:after="120"/>
      </w:pPr>
      <w:r>
        <w:rPr>
          <w:rFonts w:ascii="Arial" w:cs="Arial" w:eastAsia="Arial" w:hAnsi="Arial"/>
          <w:color w:val="2D3748"/>
          <w:sz w:val="22"/>
          <w:szCs w:val="22"/>
        </w:rPr>
        <w:t xml:space="preserve">The session code system is optional. A single person can answer as many or as few roles as they like and generate the PRD at any time. There is no requirement to involve multiple contributors.</w:t>
      </w:r>
    </w:p>
    <w:p>
      <w:pPr>
        <w:spacing w:after="120"/>
      </w:pPr>
      <w:r>
        <w:rPr>
          <w:rFonts w:ascii="Arial" w:cs="Arial" w:eastAsia="Arial" w:hAnsi="Arial"/>
          <w:color w:val="2D3748"/>
          <w:sz w:val="22"/>
          <w:szCs w:val="22"/>
        </w:rPr>
        <w:t xml:space="preserve">A single contributor who wears multiple hats — such as a founder who is also the product manager and understands the technical requirements — can switch roles and answer all sections themselves. The generated PRD will be richer and more complete as a result.</w:t>
      </w:r>
    </w:p>
    <w:p>
      <w:pPr>
        <w:spacing w:after="160"/>
      </w:pPr>
      <w:r>
        <w:t xml:space="preserve"/>
      </w:r>
    </w:p>
    <w:p>
      <w:pPr>
        <w:pStyle w:val="Heading1"/>
        <w:pBdr>
          <w:bottom w:val="single" w:color="C87A10" w:sz="6" w:space="1"/>
        </w:pBdr>
        <w:spacing w:before="400" w:after="200"/>
      </w:pPr>
      <w:r>
        <w:rPr>
          <w:rFonts w:ascii="Arial" w:cs="Arial" w:eastAsia="Arial" w:hAnsi="Arial"/>
          <w:b/>
          <w:bCs/>
          <w:color w:val="0D1117"/>
          <w:sz w:val="36"/>
          <w:szCs w:val="36"/>
        </w:rPr>
        <w:t xml:space="preserve">7. Understanding the Generated PRD</w:t>
      </w:r>
    </w:p>
    <w:p>
      <w:pPr>
        <w:spacing w:after="120"/>
      </w:pPr>
      <w:r>
        <w:rPr>
          <w:rFonts w:ascii="Arial" w:cs="Arial" w:eastAsia="Arial" w:hAnsi="Arial"/>
          <w:color w:val="2D3748"/>
          <w:sz w:val="22"/>
          <w:szCs w:val="22"/>
        </w:rPr>
        <w:t xml:space="preserve">The PRD generated by this tool is structured to be immediately usable by a development team. Here is what each section contains and how to use it:</w:t>
      </w:r>
    </w:p>
    <w:p>
      <w:pPr>
        <w:pStyle w:val="Heading2"/>
        <w:pBdr>
          <w:left w:val="single" w:color="C87A10" w:sz="16" w:space="6"/>
        </w:pBdr>
        <w:spacing w:before="320" w:after="120"/>
        <w:ind w:left="180"/>
      </w:pPr>
      <w:r>
        <w:rPr>
          <w:rFonts w:ascii="Arial" w:cs="Arial" w:eastAsia="Arial" w:hAnsi="Arial"/>
          <w:b/>
          <w:bCs/>
          <w:color w:val="1A3A5C"/>
          <w:sz w:val="26"/>
          <w:szCs w:val="26"/>
        </w:rPr>
        <w:t xml:space="preserve">Section 1: Executive Summary</w:t>
      </w:r>
    </w:p>
    <w:p>
      <w:pPr>
        <w:spacing w:after="120"/>
      </w:pPr>
      <w:r>
        <w:rPr>
          <w:rFonts w:ascii="Arial" w:cs="Arial" w:eastAsia="Arial" w:hAnsi="Arial"/>
          <w:color w:val="2D3748"/>
          <w:sz w:val="22"/>
          <w:szCs w:val="22"/>
        </w:rPr>
        <w:t xml:space="preserve">A 2–3 paragraph overview of the product suitable for stakeholder presentations, grant applications, or vendor briefings. Written at a non-technical level.</w:t>
      </w:r>
    </w:p>
    <w:p>
      <w:pPr>
        <w:pStyle w:val="Heading2"/>
        <w:pBdr>
          <w:left w:val="single" w:color="C87A10" w:sz="16" w:space="6"/>
        </w:pBdr>
        <w:spacing w:before="320" w:after="120"/>
        <w:ind w:left="180"/>
      </w:pPr>
      <w:r>
        <w:rPr>
          <w:rFonts w:ascii="Arial" w:cs="Arial" w:eastAsia="Arial" w:hAnsi="Arial"/>
          <w:b/>
          <w:bCs/>
          <w:color w:val="1A3A5C"/>
          <w:sz w:val="26"/>
          <w:szCs w:val="26"/>
        </w:rPr>
        <w:t xml:space="preserve">Section 2: Product Vision &amp; Goals</w:t>
      </w:r>
    </w:p>
    <w:p>
      <w:pPr>
        <w:spacing w:after="120"/>
      </w:pPr>
      <w:r>
        <w:rPr>
          <w:rFonts w:ascii="Arial" w:cs="Arial" w:eastAsia="Arial" w:hAnsi="Arial"/>
          <w:color w:val="2D3748"/>
          <w:sz w:val="22"/>
          <w:szCs w:val="22"/>
        </w:rPr>
        <w:t xml:space="preserve">Includes the vision statement, problem statement, and 3–5 measurable success criteria that define what 'done' looks like. Use these as the basis for your OKRs or project milestones.</w:t>
      </w:r>
    </w:p>
    <w:p>
      <w:pPr>
        <w:pStyle w:val="Heading2"/>
        <w:pBdr>
          <w:left w:val="single" w:color="C87A10" w:sz="16" w:space="6"/>
        </w:pBdr>
        <w:spacing w:before="320" w:after="120"/>
        <w:ind w:left="180"/>
      </w:pPr>
      <w:r>
        <w:rPr>
          <w:rFonts w:ascii="Arial" w:cs="Arial" w:eastAsia="Arial" w:hAnsi="Arial"/>
          <w:b/>
          <w:bCs/>
          <w:color w:val="1A3A5C"/>
          <w:sz w:val="26"/>
          <w:szCs w:val="26"/>
        </w:rPr>
        <w:t xml:space="preserve">Section 3: Users &amp; Personas</w:t>
      </w:r>
    </w:p>
    <w:p>
      <w:pPr>
        <w:spacing w:after="120"/>
      </w:pPr>
      <w:r>
        <w:rPr>
          <w:rFonts w:ascii="Arial" w:cs="Arial" w:eastAsia="Arial" w:hAnsi="Arial"/>
          <w:color w:val="2D3748"/>
          <w:sz w:val="22"/>
          <w:szCs w:val="22"/>
        </w:rPr>
        <w:t xml:space="preserve">Describes each user type with goals, pain points, tech comfort level, and usage frequency. Your developer and designer use these to make UI and UX decisions.</w:t>
      </w:r>
    </w:p>
    <w:p>
      <w:pPr>
        <w:pStyle w:val="Heading2"/>
        <w:pBdr>
          <w:left w:val="single" w:color="C87A10" w:sz="16" w:space="6"/>
        </w:pBdr>
        <w:spacing w:before="320" w:after="120"/>
        <w:ind w:left="180"/>
      </w:pPr>
      <w:r>
        <w:rPr>
          <w:rFonts w:ascii="Arial" w:cs="Arial" w:eastAsia="Arial" w:hAnsi="Arial"/>
          <w:b/>
          <w:bCs/>
          <w:color w:val="1A3A5C"/>
          <w:sz w:val="26"/>
          <w:szCs w:val="26"/>
        </w:rPr>
        <w:t xml:space="preserve">Section 4: Functional Requirements</w:t>
      </w:r>
    </w:p>
    <w:p>
      <w:pPr>
        <w:spacing w:after="120"/>
      </w:pPr>
      <w:r>
        <w:rPr>
          <w:rFonts w:ascii="Arial" w:cs="Arial" w:eastAsia="Arial" w:hAnsi="Arial"/>
          <w:color w:val="2D3748"/>
          <w:sz w:val="22"/>
          <w:szCs w:val="22"/>
        </w:rPr>
        <w:t xml:space="preserve">Numbered FR-001, FR-002, etc. Each requirement includes a Description and Acceptance Criteria — a testable condition that confirms the feature is working. Your developer uses these to write unit and integration tests. Your QA uses them to write test cases. Your project manager uses them to track completion.</w:t>
      </w:r>
    </w:p>
    <w:p>
      <w:pPr>
        <w:pStyle w:val="Heading2"/>
        <w:pBdr>
          <w:left w:val="single" w:color="C87A10" w:sz="16" w:space="6"/>
        </w:pBdr>
        <w:spacing w:before="320" w:after="120"/>
        <w:ind w:left="180"/>
      </w:pPr>
      <w:r>
        <w:rPr>
          <w:rFonts w:ascii="Arial" w:cs="Arial" w:eastAsia="Arial" w:hAnsi="Arial"/>
          <w:b/>
          <w:bCs/>
          <w:color w:val="1A3A5C"/>
          <w:sz w:val="26"/>
          <w:szCs w:val="26"/>
        </w:rPr>
        <w:t xml:space="preserve">Section 5: Non-Functional Requirements</w:t>
      </w:r>
    </w:p>
    <w:p>
      <w:pPr>
        <w:spacing w:after="120"/>
      </w:pPr>
      <w:r>
        <w:rPr>
          <w:rFonts w:ascii="Arial" w:cs="Arial" w:eastAsia="Arial" w:hAnsi="Arial"/>
          <w:color w:val="2D3748"/>
          <w:sz w:val="22"/>
          <w:szCs w:val="22"/>
        </w:rPr>
        <w:t xml:space="preserve">Numbered NFR-001, NFR-002, etc. Covers performance targets (response time, uptime), scalability (concurrent users, data volume), security, usability, and data integrity. Your infrastructure team and architect use these to make hosting and technology decisions.</w:t>
      </w:r>
    </w:p>
    <w:p>
      <w:pPr>
        <w:pStyle w:val="Heading2"/>
        <w:pBdr>
          <w:left w:val="single" w:color="C87A10" w:sz="16" w:space="6"/>
        </w:pBdr>
        <w:spacing w:before="320" w:after="120"/>
        <w:ind w:left="180"/>
      </w:pPr>
      <w:r>
        <w:rPr>
          <w:rFonts w:ascii="Arial" w:cs="Arial" w:eastAsia="Arial" w:hAnsi="Arial"/>
          <w:b/>
          <w:bCs/>
          <w:color w:val="1A3A5C"/>
          <w:sz w:val="26"/>
          <w:szCs w:val="26"/>
        </w:rPr>
        <w:t xml:space="preserve">Section 6: Compliance &amp; Security Requirements</w:t>
      </w:r>
    </w:p>
    <w:p>
      <w:pPr>
        <w:spacing w:after="120"/>
      </w:pPr>
      <w:r>
        <w:rPr>
          <w:rFonts w:ascii="Arial" w:cs="Arial" w:eastAsia="Arial" w:hAnsi="Arial"/>
          <w:color w:val="2D3748"/>
          <w:sz w:val="22"/>
          <w:szCs w:val="22"/>
        </w:rPr>
        <w:t xml:space="preserve">Specific requirements derived from detected compliance frameworks. Includes architecture implications and cost/timeline impact estimates. Your security officer and legal team use this section to validate the compliance strategy. Always confirm final requirements with the governing agency.</w:t>
      </w:r>
    </w:p>
    <w:p>
      <w:pPr>
        <w:pStyle w:val="Heading2"/>
        <w:pBdr>
          <w:left w:val="single" w:color="C87A10" w:sz="16" w:space="6"/>
        </w:pBdr>
        <w:spacing w:before="320" w:after="120"/>
        <w:ind w:left="180"/>
      </w:pPr>
      <w:r>
        <w:rPr>
          <w:rFonts w:ascii="Arial" w:cs="Arial" w:eastAsia="Arial" w:hAnsi="Arial"/>
          <w:b/>
          <w:bCs/>
          <w:color w:val="1A3A5C"/>
          <w:sz w:val="26"/>
          <w:szCs w:val="26"/>
        </w:rPr>
        <w:t xml:space="preserve">Section 7: System Integrations</w:t>
      </w:r>
    </w:p>
    <w:p>
      <w:pPr>
        <w:spacing w:after="120"/>
      </w:pPr>
      <w:r>
        <w:rPr>
          <w:rFonts w:ascii="Arial" w:cs="Arial" w:eastAsia="Arial" w:hAnsi="Arial"/>
          <w:color w:val="2D3748"/>
          <w:sz w:val="22"/>
          <w:szCs w:val="22"/>
        </w:rPr>
        <w:t xml:space="preserve">Required and optional connections to external systems. Your developer uses this to plan API work, data migration, and third-party contracts.</w:t>
      </w:r>
    </w:p>
    <w:p>
      <w:pPr>
        <w:pStyle w:val="Heading2"/>
        <w:pBdr>
          <w:left w:val="single" w:color="C87A10" w:sz="16" w:space="6"/>
        </w:pBdr>
        <w:spacing w:before="320" w:after="120"/>
        <w:ind w:left="180"/>
      </w:pPr>
      <w:r>
        <w:rPr>
          <w:rFonts w:ascii="Arial" w:cs="Arial" w:eastAsia="Arial" w:hAnsi="Arial"/>
          <w:b/>
          <w:bCs/>
          <w:color w:val="1A3A5C"/>
          <w:sz w:val="26"/>
          <w:szCs w:val="26"/>
        </w:rPr>
        <w:t xml:space="preserve">Sections 8–10</w:t>
      </w:r>
    </w:p>
    <w:p>
      <w:pPr>
        <w:spacing w:after="120"/>
      </w:pPr>
      <w:r>
        <w:rPr>
          <w:rFonts w:ascii="Arial" w:cs="Arial" w:eastAsia="Arial" w:hAnsi="Arial"/>
          <w:color w:val="2D3748"/>
          <w:sz w:val="22"/>
          <w:szCs w:val="22"/>
        </w:rPr>
        <w:t xml:space="preserve">Out of Scope, Constraints &amp; Assumptions, and Stakeholders &amp; Approval. Use these to manage scope creep, set expectations with stakeholders, and document the approval chain.</w:t>
      </w:r>
    </w:p>
    <w:p>
      <w:pPr>
        <w:spacing w:after="160"/>
      </w:pPr>
      <w:r>
        <w:t xml:space="preserve"/>
      </w:r>
    </w:p>
    <w:p>
      <w:pPr>
        <w:pStyle w:val="Heading1"/>
        <w:pBdr>
          <w:bottom w:val="single" w:color="C87A10" w:sz="6" w:space="1"/>
        </w:pBdr>
        <w:spacing w:before="400" w:after="200"/>
      </w:pPr>
      <w:r>
        <w:rPr>
          <w:rFonts w:ascii="Arial" w:cs="Arial" w:eastAsia="Arial" w:hAnsi="Arial"/>
          <w:b/>
          <w:bCs/>
          <w:color w:val="0D1117"/>
          <w:sz w:val="36"/>
          <w:szCs w:val="36"/>
        </w:rPr>
        <w:t xml:space="preserve">8. Handing Off to Your Developer</w:t>
      </w:r>
    </w:p>
    <w:p>
      <w:pPr>
        <w:spacing w:after="120"/>
      </w:pPr>
      <w:r>
        <w:rPr>
          <w:rFonts w:ascii="Arial" w:cs="Arial" w:eastAsia="Arial" w:hAnsi="Arial"/>
          <w:color w:val="2D3748"/>
          <w:sz w:val="22"/>
          <w:szCs w:val="22"/>
        </w:rPr>
        <w:t xml:space="preserve">The PRD Builder generates a document that your developer can act on immediately. To make the handoff as smooth as possible:</w:t>
      </w:r>
    </w:p>
    <w:p>
      <w:pPr>
        <w:pStyle w:val="ListParagraph"/>
        <w:numPr>
          <w:ilvl w:val="0"/>
          <w:numId w:val="2"/>
        </w:numPr>
        <w:spacing w:after="80"/>
      </w:pPr>
      <w:r>
        <w:rPr>
          <w:rFonts w:ascii="Arial" w:cs="Arial" w:eastAsia="Arial" w:hAnsi="Arial"/>
          <w:color w:val="2D3748"/>
          <w:sz w:val="22"/>
          <w:szCs w:val="22"/>
        </w:rPr>
        <w:t xml:space="preserve">Download the Word document and share it with your developer</w:t>
      </w:r>
    </w:p>
    <w:p>
      <w:pPr>
        <w:pStyle w:val="ListParagraph"/>
        <w:numPr>
          <w:ilvl w:val="0"/>
          <w:numId w:val="2"/>
        </w:numPr>
        <w:spacing w:after="80"/>
      </w:pPr>
      <w:r>
        <w:rPr>
          <w:rFonts w:ascii="Arial" w:cs="Arial" w:eastAsia="Arial" w:hAnsi="Arial"/>
          <w:color w:val="2D3748"/>
          <w:sz w:val="22"/>
          <w:szCs w:val="22"/>
        </w:rPr>
        <w:t xml:space="preserve">Ask your developer to review Section 4 (Functional Requirements) and confirm each acceptance criterion is testable as written</w:t>
      </w:r>
    </w:p>
    <w:p>
      <w:pPr>
        <w:pStyle w:val="ListParagraph"/>
        <w:numPr>
          <w:ilvl w:val="0"/>
          <w:numId w:val="2"/>
        </w:numPr>
        <w:spacing w:after="80"/>
      </w:pPr>
      <w:r>
        <w:rPr>
          <w:rFonts w:ascii="Arial" w:cs="Arial" w:eastAsia="Arial" w:hAnsi="Arial"/>
          <w:color w:val="2D3748"/>
          <w:sz w:val="22"/>
          <w:szCs w:val="22"/>
        </w:rPr>
        <w:t xml:space="preserve">Ask your developer to review Section 6 (Compliance) and flag any requirements that need further research</w:t>
      </w:r>
    </w:p>
    <w:p>
      <w:pPr>
        <w:pStyle w:val="ListParagraph"/>
        <w:numPr>
          <w:ilvl w:val="0"/>
          <w:numId w:val="2"/>
        </w:numPr>
        <w:spacing w:after="80"/>
      </w:pPr>
      <w:r>
        <w:rPr>
          <w:rFonts w:ascii="Arial" w:cs="Arial" w:eastAsia="Arial" w:hAnsi="Arial"/>
          <w:color w:val="2D3748"/>
          <w:sz w:val="22"/>
          <w:szCs w:val="22"/>
        </w:rPr>
        <w:t xml:space="preserve">Schedule a 1-hour kickoff meeting to walk through the document together — questions and clarifications at this stage prevent expensive surprises later</w:t>
      </w:r>
    </w:p>
    <w:p>
      <w:pPr>
        <w:pStyle w:val="ListParagraph"/>
        <w:numPr>
          <w:ilvl w:val="0"/>
          <w:numId w:val="2"/>
        </w:numPr>
        <w:spacing w:after="80"/>
      </w:pPr>
      <w:r>
        <w:rPr>
          <w:rFonts w:ascii="Arial" w:cs="Arial" w:eastAsia="Arial" w:hAnsi="Arial"/>
          <w:color w:val="2D3748"/>
          <w:sz w:val="22"/>
          <w:szCs w:val="22"/>
        </w:rPr>
        <w:t xml:space="preserve">Use the PRD as the basis for project estimation — developers can size each functional requirement individually</w:t>
      </w:r>
    </w:p>
    <w:p>
      <w:pPr>
        <w:pBdr>
          <w:left w:val="single" w:color="C87A10" w:sz="12" w:space="6"/>
        </w:pBdr>
        <w:shd w:fill="FFF8E6" w:val="clear"/>
        <w:spacing w:before="80" w:after="80"/>
        <w:ind w:left="180" w:right="360"/>
      </w:pPr>
      <w:r>
        <w:rPr>
          <w:rFonts w:ascii="Arial" w:cs="Arial" w:eastAsia="Arial" w:hAnsi="Arial"/>
          <w:b/>
          <w:bCs/>
          <w:color w:val="8A5C00"/>
          <w:sz w:val="20"/>
          <w:szCs w:val="20"/>
        </w:rPr>
        <w:t xml:space="preserve">Pro tip: </w:t>
      </w:r>
      <w:r>
        <w:rPr>
          <w:rFonts w:ascii="Arial" w:cs="Arial" w:eastAsia="Arial" w:hAnsi="Arial"/>
          <w:color w:val="5A4000"/>
          <w:sz w:val="20"/>
          <w:szCs w:val="20"/>
        </w:rPr>
        <w:t xml:space="preserve">If your developer says 'this PRD doesn't have enough detail to estimate,' ask them to identify specifically which requirements need more detail and use the PRD Builder to add another contributor session focused on those areas.</w:t>
      </w:r>
    </w:p>
    <w:p>
      <w:pPr>
        <w:spacing w:after="160"/>
      </w:pPr>
      <w:r>
        <w:t xml:space="preserve"/>
      </w:r>
    </w:p>
    <w:p>
      <w:pPr>
        <w:pStyle w:val="Heading1"/>
        <w:pBdr>
          <w:bottom w:val="single" w:color="C87A10" w:sz="6" w:space="1"/>
        </w:pBdr>
        <w:spacing w:before="400" w:after="200"/>
      </w:pPr>
      <w:r>
        <w:rPr>
          <w:rFonts w:ascii="Arial" w:cs="Arial" w:eastAsia="Arial" w:hAnsi="Arial"/>
          <w:b/>
          <w:bCs/>
          <w:color w:val="0D1117"/>
          <w:sz w:val="36"/>
          <w:szCs w:val="36"/>
        </w:rPr>
        <w:t xml:space="preserve">9. Frequently Asked Questions</w:t>
      </w:r>
    </w:p>
    <w:p>
      <w:pPr>
        <w:pStyle w:val="Heading3"/>
        <w:spacing w:before="240" w:after="80"/>
      </w:pPr>
      <w:r>
        <w:rPr>
          <w:rFonts w:ascii="Arial" w:cs="Arial" w:eastAsia="Arial" w:hAnsi="Arial"/>
          <w:b/>
          <w:bCs/>
          <w:color w:val="4A6080"/>
          <w:sz w:val="22"/>
          <w:szCs w:val="22"/>
        </w:rPr>
        <w:t xml:space="preserve">Can I use this for non-justice software products?</w:t>
      </w:r>
    </w:p>
    <w:p>
      <w:pPr>
        <w:spacing w:after="120"/>
      </w:pPr>
      <w:r>
        <w:rPr>
          <w:rFonts w:ascii="Arial" w:cs="Arial" w:eastAsia="Arial" w:hAnsi="Arial"/>
          <w:color w:val="2D3748"/>
          <w:sz w:val="22"/>
          <w:szCs w:val="22"/>
        </w:rPr>
        <w:t xml:space="preserve">Yes. The compliance screener and examples are designed for justice and law enforcement contexts, but the PRD structure and role-based questions work for any software product. The Settings section allows you to customize the platform name, role names, and default compliance frameworks for other contexts.</w:t>
      </w:r>
    </w:p>
    <w:p>
      <w:pPr>
        <w:pStyle w:val="Heading3"/>
        <w:spacing w:before="240" w:after="80"/>
      </w:pPr>
      <w:r>
        <w:rPr>
          <w:rFonts w:ascii="Arial" w:cs="Arial" w:eastAsia="Arial" w:hAnsi="Arial"/>
          <w:b/>
          <w:bCs/>
          <w:color w:val="4A6080"/>
          <w:sz w:val="22"/>
          <w:szCs w:val="22"/>
        </w:rPr>
        <w:t xml:space="preserve">What happens if a contributor skips questions?</w:t>
      </w:r>
    </w:p>
    <w:p>
      <w:pPr>
        <w:spacing w:after="120"/>
      </w:pPr>
      <w:r>
        <w:rPr>
          <w:rFonts w:ascii="Arial" w:cs="Arial" w:eastAsia="Arial" w:hAnsi="Arial"/>
          <w:color w:val="2D3748"/>
          <w:sz w:val="22"/>
          <w:szCs w:val="22"/>
        </w:rPr>
        <w:t xml:space="preserve">Skipped questions are marked as '[skipped]' in the session data. The AI will note the gap and either fill in a reasonable assumption or flag it as an open item in the PRD. Incomplete PRDs are still useful — they surface what information is still needed.</w:t>
      </w:r>
    </w:p>
    <w:p>
      <w:pPr>
        <w:pStyle w:val="Heading3"/>
        <w:spacing w:before="240" w:after="80"/>
      </w:pPr>
      <w:r>
        <w:rPr>
          <w:rFonts w:ascii="Arial" w:cs="Arial" w:eastAsia="Arial" w:hAnsi="Arial"/>
          <w:b/>
          <w:bCs/>
          <w:color w:val="4A6080"/>
          <w:sz w:val="22"/>
          <w:szCs w:val="22"/>
        </w:rPr>
        <w:t xml:space="preserve">How long does it take to fill out?</w:t>
      </w:r>
    </w:p>
    <w:p>
      <w:pPr>
        <w:spacing w:after="120"/>
      </w:pPr>
      <w:r>
        <w:rPr>
          <w:rFonts w:ascii="Arial" w:cs="Arial" w:eastAsia="Arial" w:hAnsi="Arial"/>
          <w:color w:val="2D3748"/>
          <w:sz w:val="22"/>
          <w:szCs w:val="22"/>
        </w:rPr>
        <w:t xml:space="preserve">Founder role: approximately 10–15 minutes. Product Manager role: 15–20 minutes. Developer role: 15–25 minutes. Law Enforcement role: 10–15 minutes. Time varies based on how much detail contributors provide in text fields.</w:t>
      </w:r>
    </w:p>
    <w:p>
      <w:pPr>
        <w:pStyle w:val="Heading3"/>
        <w:spacing w:before="240" w:after="80"/>
      </w:pPr>
      <w:r>
        <w:rPr>
          <w:rFonts w:ascii="Arial" w:cs="Arial" w:eastAsia="Arial" w:hAnsi="Arial"/>
          <w:b/>
          <w:bCs/>
          <w:color w:val="4A6080"/>
          <w:sz w:val="22"/>
          <w:szCs w:val="22"/>
        </w:rPr>
        <w:t xml:space="preserve">Can I regenerate the PRD after adding more contributors?</w:t>
      </w:r>
    </w:p>
    <w:p>
      <w:pPr>
        <w:spacing w:after="120"/>
      </w:pPr>
      <w:r>
        <w:rPr>
          <w:rFonts w:ascii="Arial" w:cs="Arial" w:eastAsia="Arial" w:hAnsi="Arial"/>
          <w:color w:val="2D3748"/>
          <w:sz w:val="22"/>
          <w:szCs w:val="22"/>
        </w:rPr>
        <w:t xml:space="preserve">Yes. The PRD output screen includes a 'Add Contributor' button that takes you back to role selection, and a 'Regenerate' button that rebuilds the PRD incorporating all current session contributions.</w:t>
      </w:r>
    </w:p>
    <w:p>
      <w:pPr>
        <w:pStyle w:val="Heading3"/>
        <w:spacing w:before="240" w:after="80"/>
      </w:pPr>
      <w:r>
        <w:rPr>
          <w:rFonts w:ascii="Arial" w:cs="Arial" w:eastAsia="Arial" w:hAnsi="Arial"/>
          <w:b/>
          <w:bCs/>
          <w:color w:val="4A6080"/>
          <w:sz w:val="22"/>
          <w:szCs w:val="22"/>
        </w:rPr>
        <w:t xml:space="preserve">Is the data secure?</w:t>
      </w:r>
    </w:p>
    <w:p>
      <w:pPr>
        <w:spacing w:after="120"/>
      </w:pPr>
      <w:r>
        <w:rPr>
          <w:rFonts w:ascii="Arial" w:cs="Arial" w:eastAsia="Arial" w:hAnsi="Arial"/>
          <w:color w:val="2D3748"/>
          <w:sz w:val="22"/>
          <w:szCs w:val="22"/>
        </w:rPr>
        <w:t xml:space="preserve">Session data is stored in your browser's localStorage — it never leaves your device unless you intentionally share a session code. The text of your answers is sent to the Anthropic API for PRD generation and is subject to Anthropic's privacy policy. Do not include classified or highly sensitive information in questionnaire responses.</w:t>
      </w:r>
    </w:p>
    <w:p>
      <w:pPr>
        <w:pStyle w:val="Heading3"/>
        <w:spacing w:before="240" w:after="80"/>
      </w:pPr>
      <w:r>
        <w:rPr>
          <w:rFonts w:ascii="Arial" w:cs="Arial" w:eastAsia="Arial" w:hAnsi="Arial"/>
          <w:b/>
          <w:bCs/>
          <w:color w:val="4A6080"/>
          <w:sz w:val="22"/>
          <w:szCs w:val="22"/>
        </w:rPr>
        <w:t xml:space="preserve">What if two people enter the same session code but are on different devices?</w:t>
      </w:r>
    </w:p>
    <w:p>
      <w:pPr>
        <w:spacing w:after="120"/>
      </w:pPr>
      <w:r>
        <w:rPr>
          <w:rFonts w:ascii="Arial" w:cs="Arial" w:eastAsia="Arial" w:hAnsi="Arial"/>
          <w:color w:val="2D3748"/>
          <w:sz w:val="22"/>
          <w:szCs w:val="22"/>
        </w:rPr>
        <w:t xml:space="preserve">Session data is stored locally per device. If person A and person B are on different devices, each sees only the contributions made from their own device. To share contributions across devices, have all contributors use the same hosted URL and coordinate session timing, or one person can consolidate by entering all contributors' answers from a single device.</w:t>
      </w:r>
    </w:p>
    <w:p>
      <w:pPr>
        <w:pStyle w:val="Heading3"/>
        <w:spacing w:before="240" w:after="80"/>
      </w:pPr>
      <w:r>
        <w:rPr>
          <w:rFonts w:ascii="Arial" w:cs="Arial" w:eastAsia="Arial" w:hAnsi="Arial"/>
          <w:b/>
          <w:bCs/>
          <w:color w:val="4A6080"/>
          <w:sz w:val="22"/>
          <w:szCs w:val="22"/>
        </w:rPr>
        <w:t xml:space="preserve">Can I edit the generated PRD?</w:t>
      </w:r>
    </w:p>
    <w:p>
      <w:pPr>
        <w:spacing w:after="120"/>
      </w:pPr>
      <w:r>
        <w:rPr>
          <w:rFonts w:ascii="Arial" w:cs="Arial" w:eastAsia="Arial" w:hAnsi="Arial"/>
          <w:color w:val="2D3748"/>
          <w:sz w:val="22"/>
          <w:szCs w:val="22"/>
        </w:rPr>
        <w:t xml:space="preserve">Download the Word document (.doc format) and edit it in Microsoft Word, Google Docs, or LibreOffice. The PRD is a starting point — your team should review and refine it before it becomes the official requirements document.</w:t>
      </w:r>
    </w:p>
    <w:p>
      <w:pPr>
        <w:spacing w:after="160"/>
      </w:pPr>
      <w:r>
        <w:t xml:space="preserve"/>
      </w:r>
    </w:p>
    <w:p>
      <w:pPr>
        <w:pStyle w:val="Heading1"/>
        <w:pBdr>
          <w:bottom w:val="single" w:color="C87A10" w:sz="6" w:space="1"/>
        </w:pBdr>
        <w:spacing w:before="400" w:after="200"/>
      </w:pPr>
      <w:r>
        <w:rPr>
          <w:rFonts w:ascii="Arial" w:cs="Arial" w:eastAsia="Arial" w:hAnsi="Arial"/>
          <w:b/>
          <w:bCs/>
          <w:color w:val="0D1117"/>
          <w:sz w:val="36"/>
          <w:szCs w:val="36"/>
        </w:rPr>
        <w:t xml:space="preserve">10. Compliance Framework Reference</w:t>
      </w:r>
    </w:p>
    <w:p>
      <w:pPr>
        <w:spacing w:after="120"/>
      </w:pPr>
      <w:r>
        <w:rPr>
          <w:rFonts w:ascii="Arial" w:cs="Arial" w:eastAsia="Arial" w:hAnsi="Arial"/>
          <w:color w:val="2D3748"/>
          <w:sz w:val="22"/>
          <w:szCs w:val="22"/>
        </w:rPr>
        <w:t xml:space="preserve">Quick reference for the compliance frameworks supported by PRD Builder. This is general guidance only — always confirm requirements with your governing agency, legal counsel, or CJIS Systems Agency (CSA).</w:t>
      </w:r>
    </w:p>
    <w:p>
      <w:pPr>
        <w:pStyle w:val="Heading2"/>
        <w:pBdr>
          <w:left w:val="single" w:color="C87A10" w:sz="16" w:space="6"/>
        </w:pBdr>
        <w:spacing w:before="320" w:after="120"/>
        <w:ind w:left="180"/>
      </w:pPr>
      <w:r>
        <w:rPr>
          <w:rFonts w:ascii="Arial" w:cs="Arial" w:eastAsia="Arial" w:hAnsi="Arial"/>
          <w:b/>
          <w:bCs/>
          <w:color w:val="1A3A5C"/>
          <w:sz w:val="26"/>
          <w:szCs w:val="26"/>
        </w:rPr>
        <w:t xml:space="preserve">CJIS Security Policy</w:t>
      </w:r>
    </w:p>
    <w:p>
      <w:pPr>
        <w:spacing w:after="120"/>
      </w:pPr>
      <w:r>
        <w:rPr>
          <w:rFonts w:ascii="Arial" w:cs="Arial" w:eastAsia="Arial" w:hAnsi="Arial"/>
          <w:color w:val="2D3748"/>
          <w:sz w:val="22"/>
          <w:szCs w:val="22"/>
        </w:rPr>
        <w:t xml:space="preserve">Managed by the FBI. Required for any software that accesses, transmits, stores, or processes Criminal Justice Information (CJI) — including criminal histories, biometric data, or case/incident data from FBI systems.</w:t>
      </w:r>
    </w:p>
    <w:p>
      <w:pPr>
        <w:pStyle w:val="ListParagraph"/>
        <w:numPr>
          <w:ilvl w:val="0"/>
          <w:numId w:val="2"/>
        </w:numPr>
        <w:spacing w:after="80"/>
      </w:pPr>
      <w:r>
        <w:rPr>
          <w:rFonts w:ascii="Arial" w:cs="Arial" w:eastAsia="Arial" w:hAnsi="Arial"/>
          <w:color w:val="2D3748"/>
          <w:sz w:val="22"/>
          <w:szCs w:val="22"/>
        </w:rPr>
        <w:t xml:space="preserve">Key requirements: MFA for all users, encryption in transit and at rest, audit logging, background checks for all personnel with CJI access, system security agreements with the relevant CSA</w:t>
      </w:r>
    </w:p>
    <w:p>
      <w:pPr>
        <w:pStyle w:val="ListParagraph"/>
        <w:numPr>
          <w:ilvl w:val="0"/>
          <w:numId w:val="2"/>
        </w:numPr>
        <w:spacing w:after="80"/>
      </w:pPr>
      <w:r>
        <w:rPr>
          <w:rFonts w:ascii="Arial" w:cs="Arial" w:eastAsia="Arial" w:hAnsi="Arial"/>
          <w:color w:val="2D3748"/>
          <w:sz w:val="22"/>
          <w:szCs w:val="22"/>
        </w:rPr>
        <w:t xml:space="preserve">Architecture impact: Hosting must be on CJIS-approved infrastructure (AWS GovCloud, Azure Government, or on-premises). Cloud providers must sign CJIS Management Control Agreements.</w:t>
      </w:r>
    </w:p>
    <w:p>
      <w:pPr>
        <w:pStyle w:val="ListParagraph"/>
        <w:numPr>
          <w:ilvl w:val="0"/>
          <w:numId w:val="2"/>
        </w:numPr>
        <w:spacing w:after="80"/>
      </w:pPr>
      <w:r>
        <w:rPr>
          <w:rFonts w:ascii="Arial" w:cs="Arial" w:eastAsia="Arial" w:hAnsi="Arial"/>
          <w:color w:val="2D3748"/>
          <w:sz w:val="22"/>
          <w:szCs w:val="22"/>
        </w:rPr>
        <w:t xml:space="preserve">Cost impact: High. Background checks, security audits, and restricted hosting add significant ongoing cost.</w:t>
      </w:r>
    </w:p>
    <w:p>
      <w:pPr>
        <w:pStyle w:val="ListParagraph"/>
        <w:numPr>
          <w:ilvl w:val="0"/>
          <w:numId w:val="2"/>
        </w:numPr>
        <w:spacing w:after="80"/>
      </w:pPr>
      <w:r>
        <w:rPr>
          <w:rFonts w:ascii="Arial" w:cs="Arial" w:eastAsia="Arial" w:hAnsi="Arial"/>
          <w:color w:val="2D3748"/>
          <w:sz w:val="22"/>
          <w:szCs w:val="22"/>
        </w:rPr>
        <w:t xml:space="preserve">Who to contact: Your state's CJIS Systems Agency (CSA). In Texas: Texas DPS.</w:t>
      </w:r>
    </w:p>
    <w:p>
      <w:pPr>
        <w:pStyle w:val="Heading2"/>
        <w:pBdr>
          <w:left w:val="single" w:color="C87A10" w:sz="16" w:space="6"/>
        </w:pBdr>
        <w:spacing w:before="320" w:after="120"/>
        <w:ind w:left="180"/>
      </w:pPr>
      <w:r>
        <w:rPr>
          <w:rFonts w:ascii="Arial" w:cs="Arial" w:eastAsia="Arial" w:hAnsi="Arial"/>
          <w:b/>
          <w:bCs/>
          <w:color w:val="1A3A5C"/>
          <w:sz w:val="26"/>
          <w:szCs w:val="26"/>
        </w:rPr>
        <w:t xml:space="preserve">FedRAMP</w:t>
      </w:r>
    </w:p>
    <w:p>
      <w:pPr>
        <w:spacing w:after="120"/>
      </w:pPr>
      <w:r>
        <w:rPr>
          <w:rFonts w:ascii="Arial" w:cs="Arial" w:eastAsia="Arial" w:hAnsi="Arial"/>
          <w:color w:val="2D3748"/>
          <w:sz w:val="22"/>
          <w:szCs w:val="22"/>
        </w:rPr>
        <w:t xml:space="preserve">Federal Risk and Authorization Management Program. Required for cloud services used by federal agencies. Products sold to federal customers must use FedRAMP-authorized cloud providers or obtain their own authorization.</w:t>
      </w:r>
    </w:p>
    <w:p>
      <w:pPr>
        <w:pStyle w:val="ListParagraph"/>
        <w:numPr>
          <w:ilvl w:val="0"/>
          <w:numId w:val="2"/>
        </w:numPr>
        <w:spacing w:after="80"/>
      </w:pPr>
      <w:r>
        <w:rPr>
          <w:rFonts w:ascii="Arial" w:cs="Arial" w:eastAsia="Arial" w:hAnsi="Arial"/>
          <w:color w:val="2D3748"/>
          <w:sz w:val="22"/>
          <w:szCs w:val="22"/>
        </w:rPr>
        <w:t xml:space="preserve">Key requirements: NIST 800-53 security controls, third-party assessment organization (3PAO) assessment, continuous monitoring</w:t>
      </w:r>
    </w:p>
    <w:p>
      <w:pPr>
        <w:pStyle w:val="ListParagraph"/>
        <w:numPr>
          <w:ilvl w:val="0"/>
          <w:numId w:val="2"/>
        </w:numPr>
        <w:spacing w:after="80"/>
      </w:pPr>
      <w:r>
        <w:rPr>
          <w:rFonts w:ascii="Arial" w:cs="Arial" w:eastAsia="Arial" w:hAnsi="Arial"/>
          <w:color w:val="2D3748"/>
          <w:sz w:val="22"/>
          <w:szCs w:val="22"/>
        </w:rPr>
        <w:t xml:space="preserve">Architecture impact: Must use FedRAMP-authorized cloud services (AWS GovCloud, Azure Government, Google Cloud for Government)</w:t>
      </w:r>
    </w:p>
    <w:p>
      <w:pPr>
        <w:pStyle w:val="ListParagraph"/>
        <w:numPr>
          <w:ilvl w:val="0"/>
          <w:numId w:val="2"/>
        </w:numPr>
        <w:spacing w:after="80"/>
      </w:pPr>
      <w:r>
        <w:rPr>
          <w:rFonts w:ascii="Arial" w:cs="Arial" w:eastAsia="Arial" w:hAnsi="Arial"/>
          <w:color w:val="2D3748"/>
          <w:sz w:val="22"/>
          <w:szCs w:val="22"/>
        </w:rPr>
        <w:t xml:space="preserve">Cost impact: Very high. Initial authorization process can cost $500K–$2M+ and take 12–24 months.</w:t>
      </w:r>
    </w:p>
    <w:p>
      <w:pPr>
        <w:pStyle w:val="Heading2"/>
        <w:pBdr>
          <w:left w:val="single" w:color="C87A10" w:sz="16" w:space="6"/>
        </w:pBdr>
        <w:spacing w:before="320" w:after="120"/>
        <w:ind w:left="180"/>
      </w:pPr>
      <w:r>
        <w:rPr>
          <w:rFonts w:ascii="Arial" w:cs="Arial" w:eastAsia="Arial" w:hAnsi="Arial"/>
          <w:b/>
          <w:bCs/>
          <w:color w:val="1A3A5C"/>
          <w:sz w:val="26"/>
          <w:szCs w:val="26"/>
        </w:rPr>
        <w:t xml:space="preserve">StateRAMP</w:t>
      </w:r>
    </w:p>
    <w:p>
      <w:pPr>
        <w:spacing w:after="120"/>
      </w:pPr>
      <w:r>
        <w:rPr>
          <w:rFonts w:ascii="Arial" w:cs="Arial" w:eastAsia="Arial" w:hAnsi="Arial"/>
          <w:color w:val="2D3748"/>
          <w:sz w:val="22"/>
          <w:szCs w:val="22"/>
        </w:rPr>
        <w:t xml:space="preserve">State-government equivalent of FedRAMP. Requirements vary by state. Some states accept FedRAMP in lieu of StateRAMP; others have their own certification process.</w:t>
      </w:r>
    </w:p>
    <w:p>
      <w:pPr>
        <w:pStyle w:val="Heading2"/>
        <w:pBdr>
          <w:left w:val="single" w:color="C87A10" w:sz="16" w:space="6"/>
        </w:pBdr>
        <w:spacing w:before="320" w:after="120"/>
        <w:ind w:left="180"/>
      </w:pPr>
      <w:r>
        <w:rPr>
          <w:rFonts w:ascii="Arial" w:cs="Arial" w:eastAsia="Arial" w:hAnsi="Arial"/>
          <w:b/>
          <w:bCs/>
          <w:color w:val="1A3A5C"/>
          <w:sz w:val="26"/>
          <w:szCs w:val="26"/>
        </w:rPr>
        <w:t xml:space="preserve">TX-RAMP</w:t>
      </w:r>
    </w:p>
    <w:p>
      <w:pPr>
        <w:spacing w:after="120"/>
      </w:pPr>
      <w:r>
        <w:rPr>
          <w:rFonts w:ascii="Arial" w:cs="Arial" w:eastAsia="Arial" w:hAnsi="Arial"/>
          <w:color w:val="2D3748"/>
          <w:sz w:val="22"/>
          <w:szCs w:val="22"/>
        </w:rPr>
        <w:t xml:space="preserve">Texas Risk and Authorization Management Program. Mandatory for cloud service providers selling to Texas state agencies. Two levels based on data sensitivity. Must be certified before contract execution.</w:t>
      </w:r>
    </w:p>
    <w:p>
      <w:pPr>
        <w:pStyle w:val="Heading2"/>
        <w:pBdr>
          <w:left w:val="single" w:color="C87A10" w:sz="16" w:space="6"/>
        </w:pBdr>
        <w:spacing w:before="320" w:after="120"/>
        <w:ind w:left="180"/>
      </w:pPr>
      <w:r>
        <w:rPr>
          <w:rFonts w:ascii="Arial" w:cs="Arial" w:eastAsia="Arial" w:hAnsi="Arial"/>
          <w:b/>
          <w:bCs/>
          <w:color w:val="1A3A5C"/>
          <w:sz w:val="26"/>
          <w:szCs w:val="26"/>
        </w:rPr>
        <w:t xml:space="preserve">CMMC</w:t>
      </w:r>
    </w:p>
    <w:p>
      <w:pPr>
        <w:spacing w:after="120"/>
      </w:pPr>
      <w:r>
        <w:rPr>
          <w:rFonts w:ascii="Arial" w:cs="Arial" w:eastAsia="Arial" w:hAnsi="Arial"/>
          <w:color w:val="2D3748"/>
          <w:sz w:val="22"/>
          <w:szCs w:val="22"/>
        </w:rPr>
        <w:t xml:space="preserve">Cybersecurity Maturity Model Certification. Required for Department of Defense contractors. Three levels based on data sensitivity and contract type. Level 2+ requires third-party assessment.</w:t>
      </w:r>
    </w:p>
    <w:p>
      <w:pPr>
        <w:pStyle w:val="Heading2"/>
        <w:pBdr>
          <w:left w:val="single" w:color="C87A10" w:sz="16" w:space="6"/>
        </w:pBdr>
        <w:spacing w:before="320" w:after="120"/>
        <w:ind w:left="180"/>
      </w:pPr>
      <w:r>
        <w:rPr>
          <w:rFonts w:ascii="Arial" w:cs="Arial" w:eastAsia="Arial" w:hAnsi="Arial"/>
          <w:b/>
          <w:bCs/>
          <w:color w:val="1A3A5C"/>
          <w:sz w:val="26"/>
          <w:szCs w:val="26"/>
        </w:rPr>
        <w:t xml:space="preserve">HIPAA</w:t>
      </w:r>
    </w:p>
    <w:p>
      <w:pPr>
        <w:spacing w:after="120"/>
      </w:pPr>
      <w:r>
        <w:rPr>
          <w:rFonts w:ascii="Arial" w:cs="Arial" w:eastAsia="Arial" w:hAnsi="Arial"/>
          <w:color w:val="2D3748"/>
          <w:sz w:val="22"/>
          <w:szCs w:val="22"/>
        </w:rPr>
        <w:t xml:space="preserve">Health Insurance Portability and Accountability Act. Required for any system handling Protected Health Information (PHI), including mental health records. Applies to covered entities and their business associates.</w:t>
      </w:r>
    </w:p>
    <w:p>
      <w:pPr>
        <w:pStyle w:val="ListParagraph"/>
        <w:numPr>
          <w:ilvl w:val="0"/>
          <w:numId w:val="2"/>
        </w:numPr>
        <w:spacing w:after="80"/>
      </w:pPr>
      <w:r>
        <w:rPr>
          <w:rFonts w:ascii="Arial" w:cs="Arial" w:eastAsia="Arial" w:hAnsi="Arial"/>
          <w:color w:val="2D3748"/>
          <w:sz w:val="22"/>
          <w:szCs w:val="22"/>
        </w:rPr>
        <w:t xml:space="preserve">Key requirements: Encryption, access controls, audit logging, Business Associate Agreements (BAAs) with all vendors, breach notification procedures</w:t>
      </w:r>
    </w:p>
    <w:p>
      <w:pPr>
        <w:pStyle w:val="ListParagraph"/>
        <w:numPr>
          <w:ilvl w:val="0"/>
          <w:numId w:val="2"/>
        </w:numPr>
        <w:spacing w:after="80"/>
      </w:pPr>
      <w:r>
        <w:rPr>
          <w:rFonts w:ascii="Arial" w:cs="Arial" w:eastAsia="Arial" w:hAnsi="Arial"/>
          <w:color w:val="2D3748"/>
          <w:sz w:val="22"/>
          <w:szCs w:val="22"/>
        </w:rPr>
        <w:t xml:space="preserve">Penalties: Civil penalties up to $1.9M per violation category per year. Criminal penalties for willful neglect.</w:t>
      </w:r>
    </w:p>
    <w:p>
      <w:pPr>
        <w:pStyle w:val="Heading2"/>
        <w:pBdr>
          <w:left w:val="single" w:color="C87A10" w:sz="16" w:space="6"/>
        </w:pBdr>
        <w:spacing w:before="320" w:after="120"/>
        <w:ind w:left="180"/>
      </w:pPr>
      <w:r>
        <w:rPr>
          <w:rFonts w:ascii="Arial" w:cs="Arial" w:eastAsia="Arial" w:hAnsi="Arial"/>
          <w:b/>
          <w:bCs/>
          <w:color w:val="1A3A5C"/>
          <w:sz w:val="26"/>
          <w:szCs w:val="26"/>
        </w:rPr>
        <w:t xml:space="preserve">CISA Cybersecurity Performance Goals</w:t>
      </w:r>
    </w:p>
    <w:p>
      <w:pPr>
        <w:spacing w:after="120"/>
      </w:pPr>
      <w:r>
        <w:rPr>
          <w:rFonts w:ascii="Arial" w:cs="Arial" w:eastAsia="Arial" w:hAnsi="Arial"/>
          <w:color w:val="2D3748"/>
          <w:sz w:val="22"/>
          <w:szCs w:val="22"/>
        </w:rPr>
        <w:t xml:space="preserve">Voluntary baseline cybersecurity practices recommended by CISA for critical infrastructure. Not legally mandatory but increasingly expected by agencies. Good hygiene that overlaps with other frameworks.</w:t>
      </w:r>
    </w:p>
    <w:p>
      <w:pPr>
        <w:spacing w:after="160"/>
      </w:pPr>
      <w:r>
        <w:t xml:space="preserve"/>
      </w:r>
    </w:p>
    <w:p>
      <w:pPr>
        <w:pBdr>
          <w:top w:val="single" w:color="C87A10" w:sz="4" w:space="4"/>
        </w:pBdr>
        <w:spacing w:before="480" w:after="80"/>
        <w:jc w:val="center"/>
      </w:pPr>
      <w:r>
        <w:rPr>
          <w:rFonts w:ascii="Arial" w:cs="Arial" w:eastAsia="Arial" w:hAnsi="Arial"/>
          <w:color w:val="4A6080"/>
          <w:sz w:val="18"/>
          <w:szCs w:val="18"/>
        </w:rPr>
        <w:t xml:space="preserve">PRD Builder v4.0  ·  Justice Innovations  ·  </w:t>
      </w:r>
      <w:r>
        <w:rPr>
          <w:rFonts w:ascii="Arial" w:cs="Arial" w:eastAsia="Arial" w:hAnsi="Arial"/>
          <w:color w:val="4A6080"/>
          <w:sz w:val="18"/>
          <w:szCs w:val="18"/>
        </w:rPr>
        <w:t xml:space="preserve">March 2026</w:t>
      </w:r>
    </w:p>
    <w:p>
      <w:pPr>
        <w:jc w:val="center"/>
      </w:pPr>
      <w:r>
        <w:rPr>
          <w:rFonts w:ascii="Arial" w:cs="Arial" w:eastAsia="Arial" w:hAnsi="Arial"/>
          <w:i/>
          <w:iCs/>
          <w:color w:val="4A6080"/>
          <w:sz w:val="18"/>
          <w:szCs w:val="18"/>
        </w:rPr>
        <w:t xml:space="preserve">For technical support or feedback, contact your administrator.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1117"/>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3A5C"/>
      <w:sz w:val="26"/>
      <w:szCs w:val="26"/>
    </w:rPr>
  </w:style>
  <w:style w:type="paragraph" w:styleId="Heading3">
    <w:name w:val="Heading 3"/>
    <w:basedOn w:val="Normal"/>
    <w:next w:val="Normal"/>
    <w:qFormat/>
    <w:pPr>
      <w:spacing w:before="240" w:after="80"/>
      <w:outlineLvl w:val="2"/>
    </w:pPr>
    <w:rPr>
      <w:rFonts w:ascii="Arial" w:cs="Arial" w:eastAsia="Arial" w:hAnsi="Arial"/>
      <w:b/>
      <w:bCs/>
      <w:color w:val="4A608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2026-03-06T03:23:14.698Z</dcterms:created>
  <dcterms:modified xsi:type="dcterms:W3CDTF">2026-03-06T03:23:14.698Z</dcterms:modified>
</cp:coreProperties>
</file>

<file path=docProps/custom.xml><?xml version="1.0" encoding="utf-8"?>
<Properties xmlns="http://schemas.openxmlformats.org/officeDocument/2006/custom-properties" xmlns:vt="http://schemas.openxmlformats.org/officeDocument/2006/docPropsVTypes"/>
</file>