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Xab14b14134fa08069bbecbc53f1a3a8d156539f"/>
    <w:p>
      <w:pPr>
        <w:pStyle w:val="Heading1"/>
      </w:pPr>
      <w:r>
        <w:t xml:space="preserve">Experimental Test Protocols for Non-Abelian Stratified Quantum Normative Dynamics</w:t>
      </w:r>
    </w:p>
    <w:p>
      <w:pPr>
        <w:pStyle w:val="FirstParagraph"/>
      </w:pPr>
      <w:r>
        <w:rPr>
          <w:b/>
          <w:bCs/>
        </w:rPr>
        <w:t xml:space="preserve">Version 1.0 — January 2026</w:t>
      </w:r>
    </w:p>
    <w:p>
      <w:pPr>
        <w:pStyle w:val="BodyText"/>
      </w:pPr>
      <w:r>
        <w:rPr>
          <w:b/>
          <w:bCs/>
        </w:rPr>
        <w:t xml:space="preserve">Principal Investigator</w:t>
      </w:r>
      <w:r>
        <w:t xml:space="preserve">: Andrew H. Bond</w:t>
      </w:r>
      <w:r>
        <w:br/>
      </w:r>
      <w:r>
        <w:t xml:space="preserve">Department of Computer Engineering, San José State University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provides detailed experimental protocols for testing predictions of Non-Abelian Stratified Quantum Normative Dynamics (NA-SQND). The theory makes five classes of testable predictions: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Bond-type rotation</w:t>
      </w:r>
      <w:r>
        <w:t xml:space="preserve"> </w:t>
      </w:r>
      <w:r>
        <w:t xml:space="preserve">at moral thresholds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Path dependence</w:t>
      </w:r>
      <w:r>
        <w:t xml:space="preserve"> </w:t>
      </w:r>
      <w:r>
        <w:t xml:space="preserve">(holonomy) in moral reasoning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Contextuality violations</w:t>
      </w:r>
      <w:r>
        <w:t xml:space="preserve"> </w:t>
      </w:r>
      <w:r>
        <w:t xml:space="preserve">in collective responsibility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Confinement signatures</w:t>
      </w:r>
      <w:r>
        <w:t xml:space="preserve"> </w:t>
      </w:r>
      <w:r>
        <w:t xml:space="preserve">at decision points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Stratified phase transitions</w:t>
      </w:r>
      <w:r>
        <w:t xml:space="preserve"> </w:t>
      </w:r>
      <w:r>
        <w:t xml:space="preserve">under social stress</w:t>
      </w:r>
    </w:p>
    <w:p>
      <w:pPr>
        <w:pStyle w:val="FirstParagraph"/>
      </w:pPr>
      <w:r>
        <w:t xml:space="preserve">Each protocol includes: theoretical basis, operationalization, materials, procedure, sample size determination, analysis plan, and falsification criteria.</w:t>
      </w:r>
    </w:p>
    <w:p>
      <w:pPr>
        <w:pStyle w:val="BodyText"/>
      </w:pPr>
      <w:r>
        <w:rPr>
          <w:b/>
          <w:bCs/>
        </w:rPr>
        <w:t xml:space="preserve">Estimated total participants needed</w:t>
      </w:r>
      <w:r>
        <w:t xml:space="preserve">: 2,400–3,200 across all protocols</w:t>
      </w:r>
      <w:r>
        <w:br/>
      </w:r>
      <w:r>
        <w:rPr>
          <w:b/>
          <w:bCs/>
        </w:rPr>
        <w:t xml:space="preserve">Estimated timeline</w:t>
      </w:r>
      <w:r>
        <w:t xml:space="preserve">: 18–24 months for full test battery</w:t>
      </w:r>
      <w:r>
        <w:br/>
      </w:r>
      <w:r>
        <w:rPr>
          <w:b/>
          <w:bCs/>
        </w:rPr>
        <w:t xml:space="preserve">Required infrastructure</w:t>
      </w:r>
      <w:r>
        <w:t xml:space="preserve">: Online survey platform, IRB approval, statistical analysis software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af59e20e72f557701e64f841eefa6758b221ff6">
        <w:r>
          <w:rPr>
            <w:rStyle w:val="Hyperlink"/>
          </w:rPr>
          <w:t xml:space="preserve">General Methodology</w:t>
        </w:r>
      </w:hyperlink>
    </w:p>
    <w:p>
      <w:pPr>
        <w:pStyle w:val="Compact"/>
        <w:numPr>
          <w:ilvl w:val="0"/>
          <w:numId w:val="1002"/>
        </w:numPr>
      </w:pPr>
      <w:hyperlink w:anchor="X22e7fb9767faafc0bd7721540b55e8e5b7e9f16">
        <w:r>
          <w:rPr>
            <w:rStyle w:val="Hyperlink"/>
          </w:rPr>
          <w:t xml:space="preserve">Protocol 1: Bond-Type Rotation</w:t>
        </w:r>
      </w:hyperlink>
    </w:p>
    <w:p>
      <w:pPr>
        <w:pStyle w:val="Compact"/>
        <w:numPr>
          <w:ilvl w:val="0"/>
          <w:numId w:val="1002"/>
        </w:numPr>
      </w:pPr>
      <w:hyperlink w:anchor="X0af24d218e14dc81ffcc23bbc964c6a822da14e">
        <w:r>
          <w:rPr>
            <w:rStyle w:val="Hyperlink"/>
          </w:rPr>
          <w:t xml:space="preserve">Protocol 2: Holonomy Path Dependence</w:t>
        </w:r>
      </w:hyperlink>
    </w:p>
    <w:p>
      <w:pPr>
        <w:pStyle w:val="Compact"/>
        <w:numPr>
          <w:ilvl w:val="0"/>
          <w:numId w:val="1002"/>
        </w:numPr>
      </w:pPr>
      <w:hyperlink w:anchor="X2de60f2a8ce5bc0e68ee103d82888ff871d6878">
        <w:r>
          <w:rPr>
            <w:rStyle w:val="Hyperlink"/>
          </w:rPr>
          <w:t xml:space="preserve">Protocol 3: Contextuality in Collective Responsibility</w:t>
        </w:r>
      </w:hyperlink>
    </w:p>
    <w:p>
      <w:pPr>
        <w:pStyle w:val="Compact"/>
        <w:numPr>
          <w:ilvl w:val="0"/>
          <w:numId w:val="1002"/>
        </w:numPr>
      </w:pPr>
      <w:hyperlink w:anchor="Xd1f0b4ec032382d0187eb25bd23f1ce13aaf698">
        <w:r>
          <w:rPr>
            <w:rStyle w:val="Hyperlink"/>
          </w:rPr>
          <w:t xml:space="preserve">Protocol 4: Confinement Signature</w:t>
        </w:r>
      </w:hyperlink>
    </w:p>
    <w:p>
      <w:pPr>
        <w:pStyle w:val="Compact"/>
        <w:numPr>
          <w:ilvl w:val="0"/>
          <w:numId w:val="1002"/>
        </w:numPr>
      </w:pPr>
      <w:hyperlink w:anchor="Xc609b1211cf073661a939b3e8fc0f157da31ff8">
        <w:r>
          <w:rPr>
            <w:rStyle w:val="Hyperlink"/>
          </w:rPr>
          <w:t xml:space="preserve">Protocol 5: Stratified Phase Transition</w:t>
        </w:r>
      </w:hyperlink>
    </w:p>
    <w:p>
      <w:pPr>
        <w:pStyle w:val="Compact"/>
        <w:numPr>
          <w:ilvl w:val="0"/>
          <w:numId w:val="1002"/>
        </w:numPr>
      </w:pPr>
      <w:hyperlink w:anchor="X814699e8bc1c4568332f96434ec736990af9974">
        <w:r>
          <w:rPr>
            <w:rStyle w:val="Hyperlink"/>
          </w:rPr>
          <w:t xml:space="preserve">Statistical Analysis Framework</w:t>
        </w:r>
      </w:hyperlink>
    </w:p>
    <w:p>
      <w:pPr>
        <w:pStyle w:val="Compact"/>
        <w:numPr>
          <w:ilvl w:val="0"/>
          <w:numId w:val="1002"/>
        </w:numPr>
      </w:pPr>
      <w:hyperlink w:anchor="Xf8d5bfe00f4731c59609712ea967b645311d6e9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6" w:name="general-methodology"/>
    <w:p>
      <w:pPr>
        <w:pStyle w:val="Heading2"/>
      </w:pPr>
      <w:r>
        <w:t xml:space="preserve">1. General Methodology</w:t>
      </w:r>
    </w:p>
    <w:bookmarkStart w:id="11" w:name="the-povm-measurement-instrument"/>
    <w:p>
      <w:pPr>
        <w:pStyle w:val="Heading3"/>
      </w:pPr>
      <w:r>
        <w:t xml:space="preserve">1.1 The POVM Measurement Instrument</w:t>
      </w:r>
    </w:p>
    <w:p>
      <w:pPr>
        <w:pStyle w:val="FirstParagraph"/>
      </w:pPr>
      <w:r>
        <w:t xml:space="preserve">All protocols use a common measurement instrument based on the four Hohfeldian incident relations.</w:t>
      </w:r>
    </w:p>
    <w:p>
      <w:pPr>
        <w:pStyle w:val="BodyText"/>
      </w:pPr>
      <w:r>
        <w:rPr>
          <w:b/>
          <w:bCs/>
        </w:rPr>
        <w:t xml:space="preserve">The Four-Option Forced Choice (4OFC)</w:t>
      </w:r>
    </w:p>
    <w:p>
      <w:pPr>
        <w:pStyle w:val="BodyText"/>
      </w:pPr>
      <w:r>
        <w:t xml:space="preserve">Participants read a vignette describing a moral relationship between agents A and B, then select the description that best characterizes the relationship: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Description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Obligation</w:t>
            </w:r>
          </w:p>
        </w:tc>
        <w:tc>
          <w:tcPr/>
          <w:p>
            <w:pPr>
              <w:pStyle w:val="Compact"/>
            </w:pPr>
            <w:r>
              <w:t xml:space="preserve">“A has a duty/obligation to B regarding X”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“B has a right/claim against A regarding X”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Liberty</w:t>
            </w:r>
          </w:p>
        </w:tc>
        <w:tc>
          <w:tcPr/>
          <w:p>
            <w:pPr>
              <w:pStyle w:val="Compact"/>
            </w:pPr>
            <w:r>
              <w:t xml:space="preserve">“A is free/permitted regarding X (no duty)”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No-claim</w:t>
            </w:r>
          </w:p>
        </w:tc>
        <w:tc>
          <w:tcPr/>
          <w:p>
            <w:pPr>
              <w:pStyle w:val="Compact"/>
            </w:pPr>
            <w:r>
              <w:t xml:space="preserve">“B has no right/claim against A regarding X”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Theoretical Mapping</w:t>
      </w:r>
      <w:r>
        <w:t xml:space="preserve">: These four options correspond to a POVM on a 2D Hilbert space: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η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t>O</m:t>
          </m:r>
          <m:r>
            <m:rPr>
              <m:sty m:val="p"/>
            </m:rPr>
            <m:t>⟩</m:t>
          </m:r>
          <m:r>
            <m:rPr>
              <m:sty m:val="p"/>
            </m:rPr>
            <m:t>⟨</m:t>
          </m:r>
          <m:r>
            <m:t>O</m:t>
          </m:r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E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η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t>O</m:t>
          </m:r>
          <m:r>
            <m:rPr>
              <m:sty m:val="p"/>
            </m:rPr>
            <m:t>⟩</m:t>
          </m:r>
          <m:r>
            <m:rPr>
              <m:sty m:val="p"/>
            </m:rPr>
            <m:t>⟨</m:t>
          </m:r>
          <m:r>
            <m:t>O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η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t>C</m:t>
          </m:r>
          <m:r>
            <m:rPr>
              <m:sty m:val="p"/>
            </m:rPr>
            <m:t>⟩</m:t>
          </m:r>
          <m:r>
            <m:rPr>
              <m:sty m:val="p"/>
            </m:rPr>
            <m:t>⟨</m:t>
          </m:r>
          <m:r>
            <m:t>C</m:t>
          </m:r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η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t>C</m:t>
          </m:r>
          <m:r>
            <m:rPr>
              <m:sty m:val="p"/>
            </m:rPr>
            <m:t>⟩</m:t>
          </m:r>
          <m:r>
            <m:rPr>
              <m:sty m:val="p"/>
            </m:rPr>
            <m:t>⟨</m:t>
          </m:r>
          <m:r>
            <m:t>C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η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salience parameter (estimated from data).</w:t>
      </w:r>
    </w:p>
    <w:bookmarkEnd w:id="11"/>
    <w:bookmarkStart w:id="12" w:name="Xb97279b12919bce222c8a7692d38511c6c3db4b"/>
    <w:p>
      <w:pPr>
        <w:pStyle w:val="Heading3"/>
      </w:pPr>
      <w:r>
        <w:t xml:space="preserve">1.2 Estimating Theoretical Parameters from Response Data</w:t>
      </w:r>
    </w:p>
    <w:p>
      <w:pPr>
        <w:pStyle w:val="FirstParagraph"/>
      </w:pPr>
      <w:r>
        <w:rPr>
          <w:b/>
          <w:bCs/>
        </w:rPr>
        <w:t xml:space="preserve">Mixing Angle</w:t>
      </w:r>
      <w:r>
        <w:rPr>
          <w:b/>
          <w:bCs/>
        </w:rP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arctan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Salience Parameter</w:t>
      </w:r>
      <w:r>
        <w:rPr>
          <w:b/>
          <w:bCs/>
        </w:rPr>
        <w:t xml:space="preserve"> </w:t>
      </w:r>
      <m:oMath>
        <m:r>
          <m:t>η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η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(These two expressions should agree; discrepancy indicates model violation.)</w:t>
      </w:r>
    </w:p>
    <w:p>
      <w:pPr>
        <w:pStyle w:val="BodyText"/>
      </w:pPr>
      <w:r>
        <w:rPr>
          <w:b/>
          <w:bCs/>
        </w:rPr>
        <w:t xml:space="preserve">Singlet Probability</w:t>
      </w:r>
      <w:r>
        <w:t xml:space="preserve"> </w:t>
      </w:r>
      <w:r>
        <w:t xml:space="preserve">(for two-agent scenarios):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singlet</m:t>
              </m:r>
            </m:sub>
          </m:sSub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sSub>
            <m:e>
              <m:r>
                <m:t>O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2</m:t>
          </m:r>
          <m:rad>
            <m:radPr>
              <m:degHide m:val="on"/>
            </m:radPr>
            <m:deg/>
            <m:e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O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O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</m:e>
          </m:rad>
          <m:r>
            <m:rPr>
              <m:sty m:val="p"/>
            </m:rPr>
            <m:t>⋅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ϕ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estimated from interference patterns.</w:t>
      </w:r>
    </w:p>
    <w:bookmarkEnd w:id="12"/>
    <w:bookmarkStart w:id="13" w:name="standard-vignette-structure"/>
    <w:p>
      <w:pPr>
        <w:pStyle w:val="Heading3"/>
      </w:pPr>
      <w:r>
        <w:t xml:space="preserve">1.3 Standard Vignette Structure</w:t>
      </w:r>
    </w:p>
    <w:p>
      <w:pPr>
        <w:pStyle w:val="FirstParagraph"/>
      </w:pPr>
      <w:r>
        <w:t xml:space="preserve">Each vignette follows a common template:</w:t>
      </w:r>
    </w:p>
    <w:p>
      <w:pPr>
        <w:pStyle w:val="SourceCode"/>
      </w:pPr>
      <w:r>
        <w:rPr>
          <w:rStyle w:val="VerbatimChar"/>
        </w:rPr>
        <w:t xml:space="preserve">[CONTEXT]: Background information establishing the situation</w:t>
      </w:r>
      <w:r>
        <w:br/>
      </w:r>
      <w:r>
        <w:rPr>
          <w:rStyle w:val="VerbatimChar"/>
        </w:rPr>
        <w:t xml:space="preserve">[AGENTS]: Introduction of agents A and B (names counterbalanced)</w:t>
      </w:r>
      <w:r>
        <w:br/>
      </w:r>
      <w:r>
        <w:rPr>
          <w:rStyle w:val="VerbatimChar"/>
        </w:rPr>
        <w:t xml:space="preserve">[RELATIONSHIP]: Description of the moral relationship</w:t>
      </w:r>
      <w:r>
        <w:br/>
      </w:r>
      <w:r>
        <w:rPr>
          <w:rStyle w:val="VerbatimChar"/>
        </w:rPr>
        <w:t xml:space="preserve">[THRESHOLD] (if applicable): Description of context change</w:t>
      </w:r>
      <w:r>
        <w:br/>
      </w:r>
      <w:r>
        <w:rPr>
          <w:rStyle w:val="VerbatimChar"/>
        </w:rPr>
        <w:t xml:space="preserve">[PROBE]: "Which of the following best describes the relationship between A and B?"</w:t>
      </w:r>
      <w:r>
        <w:br/>
      </w:r>
      <w:r>
        <w:rPr>
          <w:rStyle w:val="VerbatimChar"/>
        </w:rPr>
        <w:t xml:space="preserve">[OPTIONS]: O, C, L, N (randomized order)</w:t>
      </w:r>
    </w:p>
    <w:bookmarkEnd w:id="13"/>
    <w:bookmarkStart w:id="14" w:name="common-controls"/>
    <w:p>
      <w:pPr>
        <w:pStyle w:val="Heading3"/>
      </w:pPr>
      <w:r>
        <w:t xml:space="preserve">1.4 Common Controls</w:t>
      </w:r>
    </w:p>
    <w:p>
      <w:pPr>
        <w:pStyle w:val="FirstParagraph"/>
      </w:pPr>
      <w:r>
        <w:t xml:space="preserve">All protocols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Name counterbalancing</w:t>
      </w:r>
      <w:r>
        <w:t xml:space="preserve">: Agent names rotated (Alice/Bob, Chen/David, etc.)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Order randomization</w:t>
      </w:r>
      <w:r>
        <w:t xml:space="preserve">: Option order randomized per participant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Attention checks</w:t>
      </w:r>
      <w:r>
        <w:t xml:space="preserve">: 2–3 per protocol, exclude participants who fail &gt;1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Comprehension checks</w:t>
      </w:r>
      <w:r>
        <w:t xml:space="preserve">: Post-vignette questions verifying understanding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Demographics</w:t>
      </w:r>
      <w:r>
        <w:t xml:space="preserve">: Age, gender, education, political orientation, moral foundations questionnaire (short form)</w:t>
      </w:r>
    </w:p>
    <w:bookmarkEnd w:id="14"/>
    <w:bookmarkStart w:id="15" w:name="exclusion-criteria"/>
    <w:p>
      <w:pPr>
        <w:pStyle w:val="Heading3"/>
      </w:pPr>
      <w:r>
        <w:t xml:space="preserve">1.5 Exclusion Criteria</w:t>
      </w:r>
    </w:p>
    <w:p>
      <w:pPr>
        <w:pStyle w:val="Compact"/>
        <w:numPr>
          <w:ilvl w:val="0"/>
          <w:numId w:val="1004"/>
        </w:numPr>
      </w:pPr>
      <w:r>
        <w:t xml:space="preserve">Failed attention checks (&gt;1)</w:t>
      </w:r>
    </w:p>
    <w:p>
      <w:pPr>
        <w:pStyle w:val="Compact"/>
        <w:numPr>
          <w:ilvl w:val="0"/>
          <w:numId w:val="1004"/>
        </w:numPr>
      </w:pPr>
      <w:r>
        <w:t xml:space="preserve">Completion time &lt;50% of median or &gt;300% of median</w:t>
      </w:r>
    </w:p>
    <w:p>
      <w:pPr>
        <w:pStyle w:val="Compact"/>
        <w:numPr>
          <w:ilvl w:val="0"/>
          <w:numId w:val="1004"/>
        </w:numPr>
      </w:pPr>
      <w:r>
        <w:t xml:space="preserve">Straightlining (same response for &gt;80% of items)</w:t>
      </w:r>
    </w:p>
    <w:p>
      <w:pPr>
        <w:pStyle w:val="Compact"/>
        <w:numPr>
          <w:ilvl w:val="0"/>
          <w:numId w:val="1004"/>
        </w:numPr>
      </w:pPr>
      <w:r>
        <w:t xml:space="preserve">Self-reported non-serious participation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4" w:name="protocol-1-bond-type-rotation"/>
    <w:p>
      <w:pPr>
        <w:pStyle w:val="Heading2"/>
      </w:pPr>
      <w:r>
        <w:t xml:space="preserve">2. Protocol 1: Bond-Type Rotation</w:t>
      </w:r>
    </w:p>
    <w:bookmarkStart w:id="17" w:name="theoretical-basis"/>
    <w:p>
      <w:pPr>
        <w:pStyle w:val="Heading3"/>
      </w:pPr>
      <w:r>
        <w:t xml:space="preserve">2.1 Theoretical Basis</w:t>
      </w:r>
    </w:p>
    <w:p>
      <w:pPr>
        <w:pStyle w:val="FirstParagraph"/>
      </w:pPr>
      <w:r>
        <w:t xml:space="preserve">NA-SQND predicts that crossing a moral threshold induces a rotation in bond-type space: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final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U</m:t>
          </m:r>
          <m:r>
            <m:rPr>
              <m:sty m:val="p"/>
            </m:rPr>
            <m:t>(</m:t>
          </m:r>
          <m:r>
            <m:t>γ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init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t>O</m:t>
          </m:r>
          <m:r>
            <m:rPr>
              <m:sty m:val="p"/>
            </m:rPr>
            <m:t>⟩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t>C</m:t>
          </m:r>
          <m:r>
            <m:rPr>
              <m:sty m:val="p"/>
            </m:rPr>
            <m:t>⟩</m:t>
          </m:r>
        </m:oMath>
      </m:oMathPara>
    </w:p>
    <w:p>
      <w:pPr>
        <w:pStyle w:val="FirstParagraph"/>
      </w:pPr>
      <w:r>
        <w:t xml:space="preserve">The mixing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depends on the holonomy accumulated at the boundary.</w:t>
      </w:r>
    </w:p>
    <w:p>
      <w:pPr>
        <w:pStyle w:val="BodyText"/>
      </w:pPr>
      <w:r>
        <w:rPr>
          <w:b/>
          <w:bCs/>
        </w:rPr>
        <w:t xml:space="preserve">Prediction</w:t>
      </w:r>
      <w:r>
        <w:t xml:space="preserve">: Post-threshold response distributions will show systematic rotation from O toward C (or vice versa), not random perturbation.</w:t>
      </w:r>
    </w:p>
    <w:bookmarkEnd w:id="17"/>
    <w:bookmarkStart w:id="18" w:name="design"/>
    <w:p>
      <w:pPr>
        <w:pStyle w:val="Heading3"/>
      </w:pPr>
      <w:r>
        <w:t xml:space="preserve">2.2 Design</w:t>
      </w:r>
    </w:p>
    <w:p>
      <w:pPr>
        <w:pStyle w:val="FirstParagraph"/>
      </w:pPr>
      <w:r>
        <w:rPr>
          <w:b/>
          <w:bCs/>
        </w:rPr>
        <w:t xml:space="preserve">Type</w:t>
      </w:r>
      <w:r>
        <w:t xml:space="preserve">: Within-subjects, pre-post design with between-subjects threshold manipulation</w:t>
      </w:r>
    </w:p>
    <w:p>
      <w:pPr>
        <w:pStyle w:val="BodyText"/>
      </w:pPr>
      <w:r>
        <w:rPr>
          <w:b/>
          <w:bCs/>
        </w:rPr>
        <w:t xml:space="preserve">Conditions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Control</w:t>
      </w:r>
      <w:r>
        <w:t xml:space="preserve">: No threshold (same context described twice)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Weak threshold</w:t>
      </w:r>
      <w:r>
        <w:t xml:space="preserve">: Minor context change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Strong threshold</w:t>
      </w:r>
      <w:r>
        <w:t xml:space="preserve">: Major context change</w:t>
      </w:r>
    </w:p>
    <w:p>
      <w:pPr>
        <w:pStyle w:val="BodyText"/>
      </w:pPr>
      <w:r>
        <w:rPr>
          <w:b/>
          <w:bCs/>
        </w:rPr>
        <w:t xml:space="preserve">Dependent Variable</w:t>
      </w:r>
      <w:r>
        <w:t xml:space="preserve">: Change in response distribution from pre to post</w:t>
      </w:r>
    </w:p>
    <w:bookmarkEnd w:id="18"/>
    <w:bookmarkStart w:id="19" w:name="materials"/>
    <w:p>
      <w:pPr>
        <w:pStyle w:val="Heading3"/>
      </w:pPr>
      <w:r>
        <w:t xml:space="preserve">2.3 Materials</w:t>
      </w:r>
    </w:p>
    <w:p>
      <w:pPr>
        <w:pStyle w:val="FirstParagraph"/>
      </w:pPr>
      <w:r>
        <w:rPr>
          <w:b/>
          <w:bCs/>
        </w:rPr>
        <w:t xml:space="preserve">Vignette Set 1: Promise Scenario</w:t>
      </w:r>
    </w:p>
    <w:p>
      <w:pPr>
        <w:pStyle w:val="BodyText"/>
      </w:pPr>
      <w:r>
        <w:rPr>
          <w:i/>
          <w:iCs/>
        </w:rPr>
        <w:t xml:space="preserve">Pre-threshold</w:t>
      </w:r>
      <w:r>
        <w:t xml:space="preserve">:</w:t>
      </w:r>
      <w:r>
        <w:t xml:space="preserve"> </w:t>
      </w:r>
      <w:r>
        <w:t xml:space="preserve">&gt; Alex promised to help Jordan move apartments this Saturday. Jordan is counting on Alex’s help.</w:t>
      </w:r>
      <w:r>
        <w:t xml:space="preserve"> </w:t>
      </w:r>
      <w:r>
        <w:t xml:space="preserve">&gt;</w:t>
      </w:r>
      <w:r>
        <w:t xml:space="preserve"> </w:t>
      </w:r>
      <w:r>
        <w:t xml:space="preserve">&gt; Which best describes the relationship between Alex and Jordan regarding the move?</w:t>
      </w:r>
    </w:p>
    <w:p>
      <w:pPr>
        <w:pStyle w:val="BodyText"/>
      </w:pPr>
      <w:r>
        <w:rPr>
          <w:i/>
          <w:iCs/>
        </w:rPr>
        <w:t xml:space="preserve">Post-threshold (Control)</w:t>
      </w:r>
      <w:r>
        <w:t xml:space="preserve">:</w:t>
      </w:r>
      <w:r>
        <w:t xml:space="preserve"> </w:t>
      </w:r>
      <w:r>
        <w:t xml:space="preserve">&gt; It is now Saturday morning. Alex promised to help Jordan move apartments today. Jordan is counting on Alex’s help.</w:t>
      </w:r>
      <w:r>
        <w:t xml:space="preserve"> </w:t>
      </w:r>
      <w:r>
        <w:t xml:space="preserve">&gt;</w:t>
      </w:r>
      <w:r>
        <w:t xml:space="preserve"> </w:t>
      </w:r>
      <w:r>
        <w:t xml:space="preserve">&gt; Which best describes the relationship between Alex and Jordan regarding the move?</w:t>
      </w:r>
    </w:p>
    <w:p>
      <w:pPr>
        <w:pStyle w:val="BodyText"/>
      </w:pPr>
      <w:r>
        <w:rPr>
          <w:i/>
          <w:iCs/>
        </w:rPr>
        <w:t xml:space="preserve">Post-threshold (Weak)</w:t>
      </w:r>
      <w:r>
        <w:t xml:space="preserve">:</w:t>
      </w:r>
      <w:r>
        <w:t xml:space="preserve"> </w:t>
      </w:r>
      <w:r>
        <w:t xml:space="preserve">&gt; It is now Saturday morning. Alex learns that Jordan has already hired professional movers but</w:t>
      </w:r>
      <w:r>
        <w:t xml:space="preserve"> </w:t>
      </w:r>
      <w:r>
        <w:t xml:space="preserve">“wouldn’t mind the extra help.”</w:t>
      </w:r>
      <w:r>
        <w:t xml:space="preserve"> </w:t>
      </w:r>
      <w:r>
        <w:t xml:space="preserve">&gt;</w:t>
      </w:r>
      <w:r>
        <w:t xml:space="preserve"> </w:t>
      </w:r>
      <w:r>
        <w:t xml:space="preserve">&gt; Which best describes the relationship between Alex and Jordan regarding the move?</w:t>
      </w:r>
    </w:p>
    <w:p>
      <w:pPr>
        <w:pStyle w:val="BodyText"/>
      </w:pPr>
      <w:r>
        <w:rPr>
          <w:i/>
          <w:iCs/>
        </w:rPr>
        <w:t xml:space="preserve">Post-threshold (Strong)</w:t>
      </w:r>
      <w:r>
        <w:t xml:space="preserve">:</w:t>
      </w:r>
      <w:r>
        <w:t xml:space="preserve"> </w:t>
      </w:r>
      <w:r>
        <w:t xml:space="preserve">&gt; It is now Saturday morning. Alex learns that Jordan has cancelled the move entirely and is staying in the current apartment.</w:t>
      </w:r>
      <w:r>
        <w:t xml:space="preserve"> </w:t>
      </w:r>
      <w:r>
        <w:t xml:space="preserve">&gt;</w:t>
      </w:r>
      <w:r>
        <w:t xml:space="preserve"> </w:t>
      </w:r>
      <w:r>
        <w:t xml:space="preserve">&gt; Which best describes the relationship between Alex and Jordan regarding the move?</w:t>
      </w:r>
    </w:p>
    <w:p>
      <w:pPr>
        <w:pStyle w:val="BodyText"/>
      </w:pPr>
      <w:r>
        <w:rPr>
          <w:b/>
          <w:bCs/>
        </w:rPr>
        <w:t xml:space="preserve">Additional Vignette Sets</w:t>
      </w:r>
      <w:r>
        <w:t xml:space="preserve"> </w:t>
      </w:r>
      <w:r>
        <w:t xml:space="preserve">(minimum 6 total):</w:t>
      </w:r>
      <w:r>
        <w:t xml:space="preserve"> </w:t>
      </w:r>
      <w:r>
        <w:t xml:space="preserve">- Vignette Set 2: Confidentiality scenario</w:t>
      </w:r>
      <w:r>
        <w:t xml:space="preserve"> </w:t>
      </w:r>
      <w:r>
        <w:t xml:space="preserve">- Vignette Set 3: Financial obligation scenario</w:t>
      </w:r>
      <w:r>
        <w:t xml:space="preserve"> </w:t>
      </w:r>
      <w:r>
        <w:t xml:space="preserve">- Vignette Set 4: Professional duty scenario</w:t>
      </w:r>
      <w:r>
        <w:t xml:space="preserve"> </w:t>
      </w:r>
      <w:r>
        <w:t xml:space="preserve">- Vignette Set 5: Family obligation scenario</w:t>
      </w:r>
      <w:r>
        <w:t xml:space="preserve"> </w:t>
      </w:r>
      <w:r>
        <w:t xml:space="preserve">- Vignette Set 6: Contractual agreement scenario</w:t>
      </w:r>
    </w:p>
    <w:bookmarkEnd w:id="19"/>
    <w:bookmarkStart w:id="20" w:name="procedure"/>
    <w:p>
      <w:pPr>
        <w:pStyle w:val="Heading3"/>
      </w:pPr>
      <w:r>
        <w:t xml:space="preserve">2.4 Procedure</w:t>
      </w:r>
    </w:p>
    <w:p>
      <w:pPr>
        <w:pStyle w:val="Compact"/>
        <w:numPr>
          <w:ilvl w:val="0"/>
          <w:numId w:val="1005"/>
        </w:numPr>
      </w:pPr>
      <w:r>
        <w:t xml:space="preserve">Informed consent</w:t>
      </w:r>
    </w:p>
    <w:p>
      <w:pPr>
        <w:pStyle w:val="Compact"/>
        <w:numPr>
          <w:ilvl w:val="0"/>
          <w:numId w:val="1005"/>
        </w:numPr>
      </w:pPr>
      <w:r>
        <w:t xml:space="preserve">Demographics and moral foundations (short form)</w:t>
      </w:r>
    </w:p>
    <w:p>
      <w:pPr>
        <w:pStyle w:val="Compact"/>
        <w:numPr>
          <w:ilvl w:val="0"/>
          <w:numId w:val="1005"/>
        </w:numPr>
      </w:pPr>
      <w:r>
        <w:t xml:space="preserve">Practice vignette with feedback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Block 1</w:t>
      </w:r>
      <w:r>
        <w:t xml:space="preserve">: 6 pre-threshold vignettes (one from each set)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Threshold manipulation</w:t>
      </w:r>
      <w:r>
        <w:t xml:space="preserve">: Participants randomly assigned to Control/Weak/Strong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Block 2</w:t>
      </w:r>
      <w:r>
        <w:t xml:space="preserve">: 6 post-threshold vignettes (matched to Block 1)</w:t>
      </w:r>
    </w:p>
    <w:p>
      <w:pPr>
        <w:pStyle w:val="Compact"/>
        <w:numPr>
          <w:ilvl w:val="0"/>
          <w:numId w:val="1005"/>
        </w:numPr>
      </w:pPr>
      <w:r>
        <w:t xml:space="preserve">Manipulation check:</w:t>
      </w:r>
      <w:r>
        <w:t xml:space="preserve"> </w:t>
      </w:r>
      <w:r>
        <w:t xml:space="preserve">“How significant was the change in circumstances?”</w:t>
      </w:r>
      <w:r>
        <w:t xml:space="preserve"> </w:t>
      </w:r>
      <w:r>
        <w:t xml:space="preserve">(1–7)</w:t>
      </w:r>
    </w:p>
    <w:p>
      <w:pPr>
        <w:pStyle w:val="Compact"/>
        <w:numPr>
          <w:ilvl w:val="0"/>
          <w:numId w:val="1005"/>
        </w:numPr>
      </w:pPr>
      <w:r>
        <w:t xml:space="preserve">Debriefing</w:t>
      </w:r>
    </w:p>
    <w:p>
      <w:pPr>
        <w:pStyle w:val="FirstParagraph"/>
      </w:pPr>
      <w:r>
        <w:rPr>
          <w:b/>
          <w:bCs/>
        </w:rPr>
        <w:t xml:space="preserve">Timing</w:t>
      </w:r>
      <w:r>
        <w:t xml:space="preserve">: ~20 minutes total</w:t>
      </w:r>
    </w:p>
    <w:bookmarkEnd w:id="20"/>
    <w:bookmarkStart w:id="21" w:name="sample-size-determination"/>
    <w:p>
      <w:pPr>
        <w:pStyle w:val="Heading3"/>
      </w:pPr>
      <w:r>
        <w:t xml:space="preserve">2.5 Sample Size Determination</w:t>
      </w:r>
    </w:p>
    <w:p>
      <w:pPr>
        <w:pStyle w:val="FirstParagraph"/>
      </w:pPr>
      <w:r>
        <w:rPr>
          <w:b/>
          <w:bCs/>
        </w:rPr>
        <w:t xml:space="preserve">Effect size estimate</w:t>
      </w:r>
      <w:r>
        <w:t xml:space="preserve">: Based on pilot data and quantum cognition literature, expect medium effect (Cohen’s d = 0.4–0.6) for rotation magnitude.</w:t>
      </w:r>
    </w:p>
    <w:p>
      <w:pPr>
        <w:pStyle w:val="BodyText"/>
      </w:pPr>
      <w:r>
        <w:rPr>
          <w:b/>
          <w:bCs/>
        </w:rPr>
        <w:t xml:space="preserve">Power analysis</w:t>
      </w:r>
      <w:r>
        <w:t xml:space="preserve">:</w:t>
      </w:r>
      <w:r>
        <w:t xml:space="preserve"> </w:t>
      </w:r>
      <w:r>
        <w:t xml:space="preserve">- Target power: 0.80</w:t>
      </w:r>
      <w:r>
        <w:t xml:space="preserve"> </w:t>
      </w:r>
      <w:r>
        <w:t xml:space="preserve">- Alpha: 0.05</w:t>
      </w:r>
      <w:r>
        <w:t xml:space="preserve"> </w:t>
      </w:r>
      <w:r>
        <w:t xml:space="preserve">- Effect size: d = 0.5</w:t>
      </w:r>
      <w:r>
        <w:t xml:space="preserve"> </w:t>
      </w:r>
      <w:r>
        <w:t xml:space="preserve">- Design: 3 groups, 6 repeated measures</w:t>
      </w:r>
    </w:p>
    <w:p>
      <w:pPr>
        <w:pStyle w:val="BodyText"/>
      </w:pPr>
      <w:r>
        <w:rPr>
          <w:b/>
          <w:bCs/>
        </w:rPr>
        <w:t xml:space="preserve">Required N</w:t>
      </w:r>
      <w:r>
        <w:t xml:space="preserve">: 180 participants (60 per condition)</w:t>
      </w:r>
    </w:p>
    <w:p>
      <w:pPr>
        <w:pStyle w:val="BodyText"/>
      </w:pPr>
      <w:r>
        <w:rPr>
          <w:b/>
          <w:bCs/>
        </w:rPr>
        <w:t xml:space="preserve">Planned N</w:t>
      </w:r>
      <w:r>
        <w:t xml:space="preserve">: 240 (80 per condition) to allow for exclusions</w:t>
      </w:r>
    </w:p>
    <w:bookmarkEnd w:id="21"/>
    <w:bookmarkStart w:id="22" w:name="analysis-plan"/>
    <w:p>
      <w:pPr>
        <w:pStyle w:val="Heading3"/>
      </w:pPr>
      <w:r>
        <w:t xml:space="preserve">2.6 Analysis Plan</w:t>
      </w:r>
    </w:p>
    <w:p>
      <w:pPr>
        <w:pStyle w:val="FirstParagraph"/>
      </w:pPr>
      <w:r>
        <w:rPr>
          <w:b/>
          <w:bCs/>
        </w:rPr>
        <w:t xml:space="preserve">Primary Analysis</w:t>
      </w:r>
      <w:r>
        <w:t xml:space="preserve">: Mixed ANOVA</w:t>
      </w:r>
      <w:r>
        <w:t xml:space="preserve"> </w:t>
      </w:r>
      <w:r>
        <w:t xml:space="preserve">- Between-subjects factor: Threshold condition (Control/Weak/Strong)</w:t>
      </w:r>
      <w:r>
        <w:t xml:space="preserve"> </w:t>
      </w:r>
      <w:r>
        <w:t xml:space="preserve">- Within-subjects factor: Time (Pre/Post)</w:t>
      </w:r>
      <w:r>
        <w:t xml:space="preserve"> </w:t>
      </w:r>
      <w:r>
        <w:t xml:space="preserve">- Dependent variable: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(estimated mixing angle)</w:t>
      </w:r>
    </w:p>
    <w:p>
      <w:pPr>
        <w:pStyle w:val="BodyText"/>
      </w:pPr>
      <w:r>
        <w:rPr>
          <w:b/>
          <w:bCs/>
        </w:rPr>
        <w:t xml:space="preserve">Prediction</w:t>
      </w:r>
      <w:r>
        <w:t xml:space="preserve">: Significant Time × Condition interaction, with:</w:t>
      </w:r>
      <w:r>
        <w:t xml:space="preserve"> </w:t>
      </w:r>
      <w:r>
        <w:t xml:space="preserve">- Control:</w:t>
      </w:r>
      <w:r>
        <w:t xml:space="preserve"> </w:t>
      </w:r>
      <m:oMath>
        <m:r>
          <m:rPr>
            <m:sty m:val="p"/>
          </m:rPr>
          <m:t>Δ</m:t>
        </m:r>
        <m:r>
          <m:t>θ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- Weak:</w:t>
      </w:r>
      <w:r>
        <w:t xml:space="preserve"> </w:t>
      </w:r>
      <m:oMath>
        <m:r>
          <m:rPr>
            <m:sty m:val="p"/>
          </m:rPr>
          <m:t>Δ</m:t>
        </m:r>
        <m:r>
          <m:t>θ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(small)</w:t>
      </w:r>
      <w:r>
        <w:t xml:space="preserve"> </w:t>
      </w:r>
      <w:r>
        <w:t xml:space="preserve">- Strong:</w:t>
      </w:r>
      <w:r>
        <w:t xml:space="preserve"> </w:t>
      </w:r>
      <m:oMath>
        <m:r>
          <m:rPr>
            <m:sty m:val="p"/>
          </m:rPr>
          <m:t>Δ</m:t>
        </m:r>
        <m:r>
          <m:t>θ</m:t>
        </m:r>
        <m:r>
          <m:rPr>
            <m:sty m:val="p"/>
          </m:rPr>
          <m:t>&gt;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(large)</w:t>
      </w:r>
    </w:p>
    <w:p>
      <w:pPr>
        <w:pStyle w:val="BodyText"/>
      </w:pPr>
      <w:r>
        <w:rPr>
          <w:b/>
          <w:bCs/>
        </w:rPr>
        <w:t xml:space="preserve">Secondary Analyses</w:t>
      </w:r>
      <w:r>
        <w:t xml:space="preserve">:</w:t>
      </w:r>
      <w:r>
        <w:t xml:space="preserve"> </w:t>
      </w:r>
      <w:r>
        <w:t xml:space="preserve">1. Test for rotation (systematic shift) vs. diffusion (increased variance)</w:t>
      </w:r>
      <w:r>
        <w:t xml:space="preserve"> </w:t>
      </w:r>
      <w:r>
        <w:t xml:space="preserve">2. Estimate holonomy parameters per vignette</w:t>
      </w:r>
      <w:r>
        <w:t xml:space="preserve"> </w:t>
      </w:r>
      <w:r>
        <w:t xml:space="preserve">3. Check salience parameter consistency: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η</m:t>
                </m:r>
              </m:e>
            </m:acc>
          </m:e>
          <m:sub>
            <m:r>
              <m:t>O</m:t>
            </m:r>
            <m:r>
              <m:rPr>
                <m:sty m:val="p"/>
              </m:rPr>
              <m:t>/</m:t>
            </m:r>
            <m:r>
              <m:t>L</m:t>
            </m:r>
          </m:sub>
        </m:sSub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η</m:t>
                </m:r>
              </m:e>
            </m:acc>
          </m:e>
          <m:sub>
            <m:r>
              <m:t>C</m:t>
            </m:r>
            <m:r>
              <m:rPr>
                <m:sty m:val="p"/>
              </m:rPr>
              <m:t>/</m:t>
            </m:r>
            <m:r>
              <m:t>N</m:t>
            </m:r>
          </m:sub>
        </m:sSub>
      </m:oMath>
    </w:p>
    <w:bookmarkEnd w:id="22"/>
    <w:bookmarkStart w:id="23" w:name="falsification-criteria"/>
    <w:p>
      <w:pPr>
        <w:pStyle w:val="Heading3"/>
      </w:pPr>
      <w:r>
        <w:t xml:space="preserve">2.7 Falsification Criteria</w:t>
      </w:r>
    </w:p>
    <w:p>
      <w:pPr>
        <w:pStyle w:val="FirstParagraph"/>
      </w:pPr>
      <w:r>
        <w:t xml:space="preserve">The theory is</w:t>
      </w:r>
      <w:r>
        <w:t xml:space="preserve"> </w:t>
      </w:r>
      <w:r>
        <w:rPr>
          <w:b/>
          <w:bCs/>
        </w:rPr>
        <w:t xml:space="preserve">falsified</w:t>
      </w:r>
      <w:r>
        <w:t xml:space="preserve"> </w:t>
      </w:r>
      <w:r>
        <w:t xml:space="preserve">if:</w:t>
      </w:r>
      <w:r>
        <w:t xml:space="preserve"> </w:t>
      </w:r>
      <w:r>
        <w:t xml:space="preserve">- No significant Time × Condition interaction (p &gt; 0.10)</w:t>
      </w:r>
      <w:r>
        <w:t xml:space="preserve"> </w:t>
      </w:r>
      <w:r>
        <w:t xml:space="preserve">- Post-threshold changes are random (no systematic direction)</w:t>
      </w:r>
      <w:r>
        <w:t xml:space="preserve"> </w:t>
      </w:r>
      <w:r>
        <w:t xml:space="preserve">- Changes in Control condition are comparable to Threshold conditions</w:t>
      </w:r>
      <w:r>
        <w:t xml:space="preserve"> </w:t>
      </w:r>
      <w:r>
        <w:t xml:space="preserve">- Salience estimates are inconsistent (</w:t>
      </w:r>
      <m:oMath>
        <m:r>
          <m:rPr>
            <m:sty m:val="p"/>
          </m:rPr>
          <m:t>|</m:t>
        </m:r>
        <m:sSub>
          <m:e>
            <m:acc>
              <m:accPr>
                <m:chr m:val="̂"/>
              </m:accPr>
              <m:e>
                <m:r>
                  <m:t>η</m:t>
                </m:r>
              </m:e>
            </m:acc>
          </m:e>
          <m:sub>
            <m:r>
              <m:t>O</m:t>
            </m:r>
            <m:r>
              <m:rPr>
                <m:sty m:val="p"/>
              </m:rPr>
              <m:t>/</m:t>
            </m:r>
            <m:r>
              <m:t>L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η</m:t>
                </m:r>
              </m:e>
            </m:acc>
          </m:e>
          <m:sub>
            <m:r>
              <m:t>C</m:t>
            </m:r>
            <m:r>
              <m:rPr>
                <m:sty m:val="p"/>
              </m:rPr>
              <m:t>/</m:t>
            </m:r>
            <m:r>
              <m:t>N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t>0.3</m:t>
        </m:r>
      </m:oMath>
      <w:r>
        <w:t xml:space="preserve">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protocol-2-holonomy-path-dependence"/>
    <w:p>
      <w:pPr>
        <w:pStyle w:val="Heading2"/>
      </w:pPr>
      <w:r>
        <w:t xml:space="preserve">3. Protocol 2: Holonomy Path Dependence</w:t>
      </w:r>
    </w:p>
    <w:bookmarkStart w:id="25" w:name="theoretical-basis-1"/>
    <w:p>
      <w:pPr>
        <w:pStyle w:val="Heading3"/>
      </w:pPr>
      <w:r>
        <w:t xml:space="preserve">3.1 Theoretical Basis</w:t>
      </w:r>
    </w:p>
    <w:p>
      <w:pPr>
        <w:pStyle w:val="FirstParagraph"/>
      </w:pPr>
      <w:r>
        <w:t xml:space="preserve">NA-SQND predicts that the</w:t>
      </w:r>
      <w:r>
        <w:t xml:space="preserve"> </w:t>
      </w:r>
      <w:r>
        <w:rPr>
          <w:i/>
          <w:iCs/>
        </w:rPr>
        <w:t xml:space="preserve">path</w:t>
      </w:r>
      <w:r>
        <w:t xml:space="preserve"> </w:t>
      </w:r>
      <w:r>
        <w:t xml:space="preserve">through moral consideration space affects outcomes, not just the endpoints. Two reasoning paths</w:t>
      </w:r>
      <w:r>
        <w:t xml:space="preserve"> </w:t>
      </w:r>
      <m:oMath>
        <m:sSub>
          <m:e>
            <m:r>
              <m:t>γ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 the same initial and final contexts yield: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[</m:t>
          </m:r>
          <m:sSub>
            <m:e>
              <m:r>
                <m:t>γ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γ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nor/>
              <m:sty m:val="p"/>
            </m:rPr>
            <m:t>Tr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(</m:t>
          </m:r>
          <m:sSub>
            <m:e>
              <m:r>
                <m:t>γ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t>U</m:t>
          </m:r>
          <m:r>
            <m:rPr>
              <m:sty m:val="p"/>
            </m:rPr>
            <m:t>(</m:t>
          </m:r>
          <m:sSub>
            <m:e>
              <m:r>
                <m:t>γ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W</m:t>
        </m:r>
        <m:r>
          <m:rPr>
            <m:sty m:val="p"/>
          </m:rPr>
          <m:t>≠</m:t>
        </m:r>
        <m:r>
          <m:t>1</m:t>
        </m:r>
      </m:oMath>
      <w:r>
        <w:t xml:space="preserve">, the paths are distinguishable—a signature of non-abelian structure.</w:t>
      </w:r>
    </w:p>
    <w:p>
      <w:pPr>
        <w:pStyle w:val="BodyText"/>
      </w:pPr>
      <w:r>
        <w:rPr>
          <w:b/>
          <w:bCs/>
        </w:rPr>
        <w:t xml:space="preserve">Prediction</w:t>
      </w:r>
      <w:r>
        <w:t xml:space="preserve">: Different orderings of the same moral considerations will produce different final judgments.</w:t>
      </w:r>
    </w:p>
    <w:bookmarkEnd w:id="25"/>
    <w:bookmarkStart w:id="26" w:name="design-1"/>
    <w:p>
      <w:pPr>
        <w:pStyle w:val="Heading3"/>
      </w:pPr>
      <w:r>
        <w:t xml:space="preserve">3.2 Design</w:t>
      </w:r>
    </w:p>
    <w:p>
      <w:pPr>
        <w:pStyle w:val="FirstParagraph"/>
      </w:pPr>
      <w:r>
        <w:rPr>
          <w:b/>
          <w:bCs/>
        </w:rPr>
        <w:t xml:space="preserve">Type</w:t>
      </w:r>
      <w:r>
        <w:t xml:space="preserve">: Between-subjects, 2 (Path) × 2 (Endpoint) factorial</w:t>
      </w:r>
    </w:p>
    <w:p>
      <w:pPr>
        <w:pStyle w:val="BodyText"/>
      </w:pPr>
      <w:r>
        <w:rPr>
          <w:b/>
          <w:bCs/>
        </w:rPr>
        <w:t xml:space="preserve">Manipulation</w:t>
      </w:r>
      <w:r>
        <w:t xml:space="preserve">: Order of intermediate context information</w:t>
      </w:r>
    </w:p>
    <w:bookmarkEnd w:id="26"/>
    <w:bookmarkStart w:id="27" w:name="materials-1"/>
    <w:p>
      <w:pPr>
        <w:pStyle w:val="Heading3"/>
      </w:pPr>
      <w:r>
        <w:t xml:space="preserve">3.3 Materials</w:t>
      </w:r>
    </w:p>
    <w:p>
      <w:pPr>
        <w:pStyle w:val="FirstParagraph"/>
      </w:pPr>
      <w:r>
        <w:rPr>
          <w:b/>
          <w:bCs/>
        </w:rPr>
        <w:t xml:space="preserve">Vignette: The Consultant’s Dilemma</w:t>
      </w:r>
    </w:p>
    <w:p>
      <w:pPr>
        <w:pStyle w:val="BodyText"/>
      </w:pPr>
      <w:r>
        <w:rPr>
          <w:i/>
          <w:iCs/>
        </w:rPr>
        <w:t xml:space="preserve">Common Setup</w:t>
      </w:r>
      <w:r>
        <w:t xml:space="preserve">:</w:t>
      </w:r>
      <w:r>
        <w:t xml:space="preserve"> </w:t>
      </w:r>
      <w:r>
        <w:t xml:space="preserve">&gt; Morgan is a consultant who signed a confidentiality agreement with Client A. Morgan later takes on Client B, whose interests potentially conflict with Client A.</w:t>
      </w:r>
    </w:p>
    <w:p>
      <w:pPr>
        <w:pStyle w:val="BodyText"/>
      </w:pPr>
      <w:r>
        <w:rPr>
          <w:i/>
          <w:iCs/>
        </w:rPr>
        <w:t xml:space="preserve">Path 1 (Loyalty → Conflict)</w:t>
      </w:r>
      <w:r>
        <w:t xml:space="preserve">:</w:t>
      </w:r>
      <w:r>
        <w:t xml:space="preserve"> </w:t>
      </w:r>
      <w:r>
        <w:t xml:space="preserve">&gt; Morgan first reflects on the loyalty owed to Client A based on their long relationship and trust. [Response 1]</w:t>
      </w:r>
      <w:r>
        <w:t xml:space="preserve"> </w:t>
      </w:r>
      <w:r>
        <w:t xml:space="preserve">&gt;</w:t>
      </w:r>
      <w:r>
        <w:t xml:space="preserve"> </w:t>
      </w:r>
      <w:r>
        <w:t xml:space="preserve">&gt; Morgan then considers the new conflict of interest that has emerged with Client B. [Response 2]</w:t>
      </w:r>
    </w:p>
    <w:p>
      <w:pPr>
        <w:pStyle w:val="BodyText"/>
      </w:pPr>
      <w:r>
        <w:rPr>
          <w:i/>
          <w:iCs/>
        </w:rPr>
        <w:t xml:space="preserve">Path 2 (Conflict → Loyalty)</w:t>
      </w:r>
      <w:r>
        <w:t xml:space="preserve">:</w:t>
      </w:r>
      <w:r>
        <w:t xml:space="preserve"> </w:t>
      </w:r>
      <w:r>
        <w:t xml:space="preserve">&gt; Morgan first considers the conflict of interest that has emerged with Client B. [Response 1]</w:t>
      </w:r>
      <w:r>
        <w:t xml:space="preserve"> </w:t>
      </w:r>
      <w:r>
        <w:t xml:space="preserve">&gt;</w:t>
      </w:r>
      <w:r>
        <w:t xml:space="preserve"> </w:t>
      </w:r>
      <w:r>
        <w:t xml:space="preserve">&gt; Morgan then reflects on the loyalty owed to Client A based on their long relationship and trust. [Response 2]</w:t>
      </w:r>
    </w:p>
    <w:p>
      <w:pPr>
        <w:pStyle w:val="BodyText"/>
      </w:pPr>
      <w:r>
        <w:rPr>
          <w:i/>
          <w:iCs/>
        </w:rPr>
        <w:t xml:space="preserve">Common Endpoint</w:t>
      </w:r>
      <w:r>
        <w:t xml:space="preserve">:</w:t>
      </w:r>
      <w:r>
        <w:t xml:space="preserve"> </w:t>
      </w:r>
      <w:r>
        <w:t xml:space="preserve">&gt; Having considered both factors, Morgan must decide how to handle the situation.</w:t>
      </w:r>
      <w:r>
        <w:t xml:space="preserve"> </w:t>
      </w:r>
      <w:r>
        <w:t xml:space="preserve">&gt;</w:t>
      </w:r>
      <w:r>
        <w:t xml:space="preserve"> </w:t>
      </w:r>
      <w:r>
        <w:t xml:space="preserve">&gt; Which best describes Morgan’s relationship to Client A at this point?</w:t>
      </w:r>
    </w:p>
    <w:p>
      <w:pPr>
        <w:pStyle w:val="BodyText"/>
      </w:pPr>
      <w:r>
        <w:rPr>
          <w:b/>
          <w:bCs/>
        </w:rPr>
        <w:t xml:space="preserve">Additional Vignette Sets</w:t>
      </w:r>
      <w:r>
        <w:t xml:space="preserve"> </w:t>
      </w:r>
      <w:r>
        <w:t xml:space="preserve">(minimum 4 total):</w:t>
      </w:r>
      <w:r>
        <w:t xml:space="preserve"> </w:t>
      </w:r>
      <w:r>
        <w:t xml:space="preserve">- Medical ethics: Autonomy → Beneficence vs. Beneficence → Autonomy</w:t>
      </w:r>
      <w:r>
        <w:t xml:space="preserve"> </w:t>
      </w:r>
      <w:r>
        <w:t xml:space="preserve">- Legal ethics: Confidentiality → Justice vs. Justice → Confidentiality</w:t>
      </w:r>
      <w:r>
        <w:t xml:space="preserve"> </w:t>
      </w:r>
      <w:r>
        <w:t xml:space="preserve">- Business ethics: Profit → Stakeholder vs. Stakeholder → Profit</w:t>
      </w:r>
    </w:p>
    <w:bookmarkEnd w:id="27"/>
    <w:bookmarkStart w:id="28" w:name="procedure-1"/>
    <w:p>
      <w:pPr>
        <w:pStyle w:val="Heading3"/>
      </w:pPr>
      <w:r>
        <w:t xml:space="preserve">3.4 Procedure</w:t>
      </w:r>
    </w:p>
    <w:p>
      <w:pPr>
        <w:pStyle w:val="Compact"/>
        <w:numPr>
          <w:ilvl w:val="0"/>
          <w:numId w:val="1006"/>
        </w:numPr>
      </w:pPr>
      <w:r>
        <w:t xml:space="preserve">Informed consent</w:t>
      </w:r>
    </w:p>
    <w:p>
      <w:pPr>
        <w:pStyle w:val="Compact"/>
        <w:numPr>
          <w:ilvl w:val="0"/>
          <w:numId w:val="1006"/>
        </w:numPr>
      </w:pPr>
      <w:r>
        <w:t xml:space="preserve">Demographics</w:t>
      </w:r>
    </w:p>
    <w:p>
      <w:pPr>
        <w:pStyle w:val="Compact"/>
        <w:numPr>
          <w:ilvl w:val="0"/>
          <w:numId w:val="1006"/>
        </w:numPr>
      </w:pPr>
      <w:r>
        <w:t xml:space="preserve">Random assignment to Path condition</w:t>
      </w:r>
    </w:p>
    <w:p>
      <w:pPr>
        <w:pStyle w:val="Compact"/>
        <w:numPr>
          <w:ilvl w:val="0"/>
          <w:numId w:val="1006"/>
        </w:numPr>
      </w:pPr>
      <w:r>
        <w:t xml:space="preserve">Vignette presentation with intermediate responses</w:t>
      </w:r>
    </w:p>
    <w:p>
      <w:pPr>
        <w:pStyle w:val="Compact"/>
        <w:numPr>
          <w:ilvl w:val="0"/>
          <w:numId w:val="1006"/>
        </w:numPr>
      </w:pPr>
      <w:r>
        <w:t xml:space="preserve">Final judgment</w:t>
      </w:r>
    </w:p>
    <w:p>
      <w:pPr>
        <w:pStyle w:val="Compact"/>
        <w:numPr>
          <w:ilvl w:val="0"/>
          <w:numId w:val="1006"/>
        </w:numPr>
      </w:pPr>
      <w:r>
        <w:t xml:space="preserve">Retrospective reasoning questions</w:t>
      </w:r>
    </w:p>
    <w:p>
      <w:pPr>
        <w:pStyle w:val="Compact"/>
        <w:numPr>
          <w:ilvl w:val="0"/>
          <w:numId w:val="1006"/>
        </w:numPr>
      </w:pPr>
      <w:r>
        <w:t xml:space="preserve">Debriefing</w:t>
      </w:r>
    </w:p>
    <w:p>
      <w:pPr>
        <w:pStyle w:val="FirstParagraph"/>
      </w:pPr>
      <w:r>
        <w:rPr>
          <w:b/>
          <w:bCs/>
        </w:rPr>
        <w:t xml:space="preserve">Timing</w:t>
      </w:r>
      <w:r>
        <w:t xml:space="preserve">: ~15 minutes total</w:t>
      </w:r>
    </w:p>
    <w:bookmarkEnd w:id="28"/>
    <w:bookmarkStart w:id="29" w:name="sample-size-determination-1"/>
    <w:p>
      <w:pPr>
        <w:pStyle w:val="Heading3"/>
      </w:pPr>
      <w:r>
        <w:t xml:space="preserve">3.5 Sample Size Determination</w:t>
      </w:r>
    </w:p>
    <w:p>
      <w:pPr>
        <w:pStyle w:val="FirstParagraph"/>
      </w:pPr>
      <w:r>
        <w:rPr>
          <w:b/>
          <w:bCs/>
        </w:rPr>
        <w:t xml:space="preserve">Effect size estimate</w:t>
      </w:r>
      <w:r>
        <w:t xml:space="preserve">: Small-to-medium effect expected (d = 0.3–0.4) based on order effect literature.</w:t>
      </w:r>
    </w:p>
    <w:p>
      <w:pPr>
        <w:pStyle w:val="BodyText"/>
      </w:pPr>
      <w:r>
        <w:rPr>
          <w:b/>
          <w:bCs/>
        </w:rPr>
        <w:t xml:space="preserve">Power analysis</w:t>
      </w:r>
      <w:r>
        <w:t xml:space="preserve">:</w:t>
      </w:r>
      <w:r>
        <w:t xml:space="preserve"> </w:t>
      </w:r>
      <w:r>
        <w:t xml:space="preserve">- Target power: 0.80</w:t>
      </w:r>
      <w:r>
        <w:t xml:space="preserve"> </w:t>
      </w:r>
      <w:r>
        <w:t xml:space="preserve">- Alpha: 0.05</w:t>
      </w:r>
      <w:r>
        <w:t xml:space="preserve"> </w:t>
      </w:r>
      <w:r>
        <w:t xml:space="preserve">- Effect size: d = 0.35</w:t>
      </w:r>
      <w:r>
        <w:t xml:space="preserve"> </w:t>
      </w:r>
      <w:r>
        <w:t xml:space="preserve">- Design: 2 × 2 factorial</w:t>
      </w:r>
    </w:p>
    <w:p>
      <w:pPr>
        <w:pStyle w:val="BodyText"/>
      </w:pPr>
      <w:r>
        <w:rPr>
          <w:b/>
          <w:bCs/>
        </w:rPr>
        <w:t xml:space="preserve">Required N</w:t>
      </w:r>
      <w:r>
        <w:t xml:space="preserve">: 260 participants per vignette set (65 per cell)</w:t>
      </w:r>
    </w:p>
    <w:p>
      <w:pPr>
        <w:pStyle w:val="BodyText"/>
      </w:pPr>
      <w:r>
        <w:rPr>
          <w:b/>
          <w:bCs/>
        </w:rPr>
        <w:t xml:space="preserve">Planned N</w:t>
      </w:r>
      <w:r>
        <w:t xml:space="preserve">: 320 per vignette set (80 per cell), 4 sets = 1,280 total</w:t>
      </w:r>
    </w:p>
    <w:bookmarkEnd w:id="29"/>
    <w:bookmarkStart w:id="30" w:name="analysis-plan-1"/>
    <w:p>
      <w:pPr>
        <w:pStyle w:val="Heading3"/>
      </w:pPr>
      <w:r>
        <w:t xml:space="preserve">3.6 Analysis Plan</w:t>
      </w:r>
    </w:p>
    <w:p>
      <w:pPr>
        <w:pStyle w:val="FirstParagraph"/>
      </w:pPr>
      <w:r>
        <w:rPr>
          <w:b/>
          <w:bCs/>
        </w:rPr>
        <w:t xml:space="preserve">Primary Analysis</w:t>
      </w:r>
      <w:r>
        <w:t xml:space="preserve">: Chi-square test for independence of final response distribution by Path condition</w:t>
      </w:r>
    </w:p>
    <w:p>
      <w:pPr>
        <w:pStyle w:val="BodyText"/>
      </w:pPr>
      <w:r>
        <w:rPr>
          <w:b/>
          <w:bCs/>
        </w:rPr>
        <w:t xml:space="preserve">Wilson Loop Estimation</w:t>
      </w:r>
      <w:r>
        <w:t xml:space="preserve">:</w:t>
      </w:r>
    </w:p>
    <w:p>
      <w:pPr>
        <w:pStyle w:val="BodyText"/>
      </w:pPr>
      <w:r>
        <w:t xml:space="preserve">From response proportions</w:t>
      </w:r>
      <w:r>
        <w:t xml:space="preserve"> </w:t>
      </w:r>
      <m:oMath>
        <m:sSubSup>
          <m:e>
            <m:r>
              <m:t>P</m:t>
            </m:r>
          </m:e>
          <m:sub>
            <m:r>
              <m:t>X</m:t>
            </m:r>
          </m:sub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(Path 1) and</w:t>
      </w:r>
      <w:r>
        <w:t xml:space="preserve"> </w:t>
      </w:r>
      <m:oMath>
        <m:sSubSup>
          <m:e>
            <m:r>
              <m:t>P</m:t>
            </m:r>
          </m:e>
          <m:sub>
            <m:r>
              <m:t>X</m:t>
            </m:r>
          </m:sub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(Path 2), estimate: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ad>
                <m:radPr>
                  <m:degHide m:val="on"/>
                </m:radPr>
                <m:deg/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⋅</m:t>
                  </m:r>
                  <m:sSubSup>
                    <m:e>
                      <m:r>
                        <m:t>P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rad>
            </m:e>
          </m:nary>
        </m:oMath>
      </m:oMathPara>
    </w:p>
    <w:p>
      <w:pPr>
        <w:pStyle w:val="FirstParagraph"/>
      </w:pPr>
      <w:r>
        <w:t xml:space="preserve">(This is the Bhattacharyya coefficient, which estimates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⟨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|</m:t>
        </m:r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Prediction</w:t>
      </w:r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significantly for non-trivial paths.</w:t>
      </w:r>
    </w:p>
    <w:p>
      <w:pPr>
        <w:pStyle w:val="BodyText"/>
      </w:pPr>
      <w:r>
        <w:rPr>
          <w:b/>
          <w:bCs/>
        </w:rPr>
        <w:t xml:space="preserve">Secondary Analyses</w:t>
      </w:r>
      <w:r>
        <w:t xml:space="preserve">:</w:t>
      </w:r>
      <w:r>
        <w:t xml:space="preserve"> </w:t>
      </w:r>
      <w:r>
        <w:t xml:space="preserve">1. Test for order × content interaction</w:t>
      </w:r>
      <w:r>
        <w:t xml:space="preserve"> </w:t>
      </w:r>
      <w:r>
        <w:t xml:space="preserve">2. Estimate rotation angles for each path segment</w:t>
      </w:r>
      <w:r>
        <w:t xml:space="preserve"> </w:t>
      </w:r>
      <w:r>
        <w:t xml:space="preserve">3. Check for non-commutativity: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sSub>
          <m:e>
            <m:r>
              <m:t>γ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U</m:t>
        </m:r>
        <m:r>
          <m:rPr>
            <m:sty m:val="p"/>
          </m:rPr>
          <m:t>(</m:t>
        </m:r>
        <m:sSub>
          <m:e>
            <m:r>
              <m:t>γ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  <m:r>
          <m:rPr>
            <m:sty m:val="p"/>
          </m:rPr>
          <m:t>(</m:t>
        </m:r>
        <m:sSub>
          <m:e>
            <m:r>
              <m:t>γ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U</m:t>
        </m:r>
        <m:r>
          <m:rPr>
            <m:sty m:val="p"/>
          </m:rPr>
          <m:t>(</m:t>
        </m:r>
        <m:sSub>
          <m:e>
            <m:r>
              <m:t>γ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</w:p>
    <w:bookmarkEnd w:id="30"/>
    <w:bookmarkStart w:id="31" w:name="falsification-criteria-1"/>
    <w:p>
      <w:pPr>
        <w:pStyle w:val="Heading3"/>
      </w:pPr>
      <w:r>
        <w:t xml:space="preserve">3.7 Falsification Criteria</w:t>
      </w:r>
    </w:p>
    <w:p>
      <w:pPr>
        <w:pStyle w:val="FirstParagraph"/>
      </w:pPr>
      <w:r>
        <w:t xml:space="preserve">The theory is</w:t>
      </w:r>
      <w:r>
        <w:t xml:space="preserve"> </w:t>
      </w:r>
      <w:r>
        <w:rPr>
          <w:b/>
          <w:bCs/>
        </w:rPr>
        <w:t xml:space="preserve">falsified</w:t>
      </w:r>
      <w:r>
        <w:t xml:space="preserve"> </w:t>
      </w:r>
      <w:r>
        <w:t xml:space="preserve">if:</w:t>
      </w:r>
      <w:r>
        <w:t xml:space="preserve"> </w:t>
      </w:r>
      <w:r>
        <w:t xml:space="preserve">- No significant difference in response distributions by Path (p &gt; 0.10)</w:t>
      </w:r>
      <w:r>
        <w:t xml:space="preserve"> </w:t>
      </w:r>
      <w:r>
        <w:t xml:space="preserve">-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across all vignette sets</w:t>
      </w:r>
      <w:r>
        <w:t xml:space="preserve"> </w:t>
      </w:r>
      <w:r>
        <w:t xml:space="preserve">- Order effects are symmetric (reversing both paths gives same result)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X1940d50b6f32efd8f1037224610aed823f6a80d"/>
    <w:p>
      <w:pPr>
        <w:pStyle w:val="Heading2"/>
      </w:pPr>
      <w:r>
        <w:t xml:space="preserve">4. Protocol 3: Contextuality in Collective Responsibility</w:t>
      </w:r>
    </w:p>
    <w:bookmarkStart w:id="33" w:name="theoretical-basis-2"/>
    <w:p>
      <w:pPr>
        <w:pStyle w:val="Heading3"/>
      </w:pPr>
      <w:r>
        <w:t xml:space="preserve">4.1 Theoretical Basis</w:t>
      </w:r>
    </w:p>
    <w:p>
      <w:pPr>
        <w:pStyle w:val="FirstParagraph"/>
      </w:pPr>
      <w:r>
        <w:t xml:space="preserve">NA-SQND predicts that collective responsibility judgments exhibit quantum contextuality—specifically, violations of classical probability constraints.</w:t>
      </w:r>
    </w:p>
    <w:p>
      <w:pPr>
        <w:pStyle w:val="BodyText"/>
      </w:pPr>
      <w:r>
        <w:t xml:space="preserve">For three agents A, B, C in cyclic relationship:</w:t>
      </w:r>
      <w:r>
        <w:t xml:space="preserve"> </w:t>
      </w:r>
      <w:r>
        <w:t xml:space="preserve">- Pairwise judgments in contexts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</m:oMath>
      <w:r>
        <w:t xml:space="preserve"> </w:t>
      </w:r>
      <w:r>
        <w:t xml:space="preserve">- Classical (non-contextual) constraint: joint distribution must exist</w:t>
      </w:r>
      <w:r>
        <w:t xml:space="preserve"> </w:t>
      </w:r>
      <w:r>
        <w:t xml:space="preserve">- Quantum (contextual) prediction: pairwise marginals incompatible with any joint</w:t>
      </w:r>
    </w:p>
    <w:p>
      <w:pPr>
        <w:pStyle w:val="BodyText"/>
      </w:pPr>
      <w:r>
        <w:rPr>
          <w:b/>
          <w:bCs/>
        </w:rPr>
        <w:t xml:space="preserve">Prediction</w:t>
      </w:r>
      <w:r>
        <w:t xml:space="preserve">: Hardy-type logical contradiction or CHSH-type inequality violation.</w:t>
      </w:r>
    </w:p>
    <w:bookmarkEnd w:id="33"/>
    <w:bookmarkStart w:id="34" w:name="design-2"/>
    <w:p>
      <w:pPr>
        <w:pStyle w:val="Heading3"/>
      </w:pPr>
      <w:r>
        <w:t xml:space="preserve">4.2 Design</w:t>
      </w:r>
    </w:p>
    <w:p>
      <w:pPr>
        <w:pStyle w:val="FirstParagraph"/>
      </w:pPr>
      <w:r>
        <w:rPr>
          <w:b/>
          <w:bCs/>
        </w:rPr>
        <w:t xml:space="preserve">Type</w:t>
      </w:r>
      <w:r>
        <w:t xml:space="preserve">: Within-subjects, three measurement contexts</w:t>
      </w:r>
    </w:p>
    <w:p>
      <w:pPr>
        <w:pStyle w:val="BodyText"/>
      </w:pPr>
      <w:r>
        <w:rPr>
          <w:b/>
          <w:bCs/>
        </w:rPr>
        <w:t xml:space="preserve">Structure</w:t>
      </w:r>
      <w:r>
        <w:t xml:space="preserve">: Each participant makes responsibility judgments in all three pairwise contexts</w:t>
      </w:r>
    </w:p>
    <w:bookmarkEnd w:id="34"/>
    <w:bookmarkStart w:id="35" w:name="materials-2"/>
    <w:p>
      <w:pPr>
        <w:pStyle w:val="Heading3"/>
      </w:pPr>
      <w:r>
        <w:t xml:space="preserve">4.3 Materials</w:t>
      </w:r>
    </w:p>
    <w:p>
      <w:pPr>
        <w:pStyle w:val="FirstParagraph"/>
      </w:pPr>
      <w:r>
        <w:rPr>
          <w:b/>
          <w:bCs/>
        </w:rPr>
        <w:t xml:space="preserve">Vignette: The Chain of Delegation</w:t>
      </w:r>
    </w:p>
    <w:p>
      <w:pPr>
        <w:pStyle w:val="BlockText"/>
      </w:pPr>
      <w:r>
        <w:t xml:space="preserve">A software project failed, causing significant losses. The chain of events: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Alex</w:t>
      </w:r>
      <w:r>
        <w:t xml:space="preserve"> </w:t>
      </w:r>
      <w:r>
        <w:t xml:space="preserve">(Project Manager) delegated critical security review to Blake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Blake</w:t>
      </w:r>
      <w:r>
        <w:t xml:space="preserve"> </w:t>
      </w:r>
      <w:r>
        <w:t xml:space="preserve">(Team Lead) delegated the actual testing to Casey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Casey</w:t>
      </w:r>
      <w:r>
        <w:t xml:space="preserve"> </w:t>
      </w:r>
      <w:r>
        <w:t xml:space="preserve">(Developer) ran the tests but didn’t report ambiguous results to Alex</w:t>
      </w:r>
    </w:p>
    <w:p>
      <w:pPr>
        <w:pStyle w:val="BlockText"/>
      </w:pPr>
      <w:r>
        <w:t xml:space="preserve">The failure occurred because the ambiguous results were never properly escalated.</w:t>
      </w:r>
    </w:p>
    <w:p>
      <w:pPr>
        <w:pStyle w:val="FirstParagraph"/>
      </w:pPr>
      <w:r>
        <w:rPr>
          <w:b/>
          <w:bCs/>
        </w:rPr>
        <w:t xml:space="preserve">Context 1 (A-B Focus)</w:t>
      </w:r>
      <w:r>
        <w:t xml:space="preserve">:</w:t>
      </w:r>
      <w:r>
        <w:t xml:space="preserve"> </w:t>
      </w:r>
      <w:r>
        <w:t xml:space="preserve">&gt; Considering only Alex and Blake’s roles:</w:t>
      </w:r>
      <w:r>
        <w:t xml:space="preserve"> </w:t>
      </w:r>
      <w:r>
        <w:t xml:space="preserve">&gt; - How responsible is Alex? (0–10)</w:t>
      </w:r>
      <w:r>
        <w:t xml:space="preserve"> </w:t>
      </w:r>
      <w:r>
        <w:t xml:space="preserve">&gt; - How responsible is Blake? (0–10)</w:t>
      </w:r>
    </w:p>
    <w:p>
      <w:pPr>
        <w:pStyle w:val="BodyText"/>
      </w:pPr>
      <w:r>
        <w:rPr>
          <w:b/>
          <w:bCs/>
        </w:rPr>
        <w:t xml:space="preserve">Context 2 (B-C Focus)</w:t>
      </w:r>
      <w:r>
        <w:t xml:space="preserve">:</w:t>
      </w:r>
      <w:r>
        <w:t xml:space="preserve"> </w:t>
      </w:r>
      <w:r>
        <w:t xml:space="preserve">&gt; Considering only Blake and Casey’s roles:</w:t>
      </w:r>
      <w:r>
        <w:t xml:space="preserve"> </w:t>
      </w:r>
      <w:r>
        <w:t xml:space="preserve">&gt; - How responsible is Blake? (0–10)</w:t>
      </w:r>
      <w:r>
        <w:t xml:space="preserve"> </w:t>
      </w:r>
      <w:r>
        <w:t xml:space="preserve">&gt; - How responsible is Casey? (0–10)</w:t>
      </w:r>
    </w:p>
    <w:p>
      <w:pPr>
        <w:pStyle w:val="BodyText"/>
      </w:pPr>
      <w:r>
        <w:rPr>
          <w:b/>
          <w:bCs/>
        </w:rPr>
        <w:t xml:space="preserve">Context 3 (A-C Focus)</w:t>
      </w:r>
      <w:r>
        <w:t xml:space="preserve">:</w:t>
      </w:r>
      <w:r>
        <w:t xml:space="preserve"> </w:t>
      </w:r>
      <w:r>
        <w:t xml:space="preserve">&gt; Considering only Alex and Casey’s roles:</w:t>
      </w:r>
      <w:r>
        <w:t xml:space="preserve"> </w:t>
      </w:r>
      <w:r>
        <w:t xml:space="preserve">&gt; - How responsible is Alex? (0–10)</w:t>
      </w:r>
      <w:r>
        <w:t xml:space="preserve"> </w:t>
      </w:r>
      <w:r>
        <w:t xml:space="preserve">&gt; - How responsible is Casey? (0–10)</w:t>
      </w:r>
    </w:p>
    <w:bookmarkEnd w:id="35"/>
    <w:bookmarkStart w:id="36" w:name="procedure-2"/>
    <w:p>
      <w:pPr>
        <w:pStyle w:val="Heading3"/>
      </w:pPr>
      <w:r>
        <w:t xml:space="preserve">4.4 Procedure</w:t>
      </w:r>
    </w:p>
    <w:p>
      <w:pPr>
        <w:pStyle w:val="Compact"/>
        <w:numPr>
          <w:ilvl w:val="0"/>
          <w:numId w:val="1008"/>
        </w:numPr>
      </w:pPr>
      <w:r>
        <w:t xml:space="preserve">Informed consent</w:t>
      </w:r>
    </w:p>
    <w:p>
      <w:pPr>
        <w:pStyle w:val="Compact"/>
        <w:numPr>
          <w:ilvl w:val="0"/>
          <w:numId w:val="1008"/>
        </w:numPr>
      </w:pPr>
      <w:r>
        <w:t xml:space="preserve">Demographics</w:t>
      </w:r>
    </w:p>
    <w:p>
      <w:pPr>
        <w:pStyle w:val="Compact"/>
        <w:numPr>
          <w:ilvl w:val="0"/>
          <w:numId w:val="1008"/>
        </w:numPr>
      </w:pPr>
      <w:r>
        <w:t xml:space="preserve">Vignette presentation (common to all)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Context block</w:t>
      </w:r>
      <w:r>
        <w:t xml:space="preserve"> </w:t>
      </w:r>
      <w:r>
        <w:t xml:space="preserve">(order randomized):</w:t>
      </w:r>
    </w:p>
    <w:p>
      <w:pPr>
        <w:pStyle w:val="Compact"/>
        <w:numPr>
          <w:ilvl w:val="1"/>
          <w:numId w:val="1009"/>
        </w:numPr>
      </w:pPr>
      <w:r>
        <w:t xml:space="preserve">Context 1: A-B judgments</w:t>
      </w:r>
    </w:p>
    <w:p>
      <w:pPr>
        <w:pStyle w:val="Compact"/>
        <w:numPr>
          <w:ilvl w:val="1"/>
          <w:numId w:val="1009"/>
        </w:numPr>
      </w:pPr>
      <w:r>
        <w:t xml:space="preserve">Context 2: B-C judgments</w:t>
      </w:r>
    </w:p>
    <w:p>
      <w:pPr>
        <w:pStyle w:val="Compact"/>
        <w:numPr>
          <w:ilvl w:val="1"/>
          <w:numId w:val="1009"/>
        </w:numPr>
      </w:pPr>
      <w:r>
        <w:t xml:space="preserve">Context 3: A-C judgments</w:t>
      </w:r>
    </w:p>
    <w:p>
      <w:pPr>
        <w:pStyle w:val="Compact"/>
        <w:numPr>
          <w:ilvl w:val="0"/>
          <w:numId w:val="1008"/>
        </w:numPr>
      </w:pPr>
      <w:r>
        <w:t xml:space="preserve">Filler task (2 minutes)</w:t>
      </w:r>
    </w:p>
    <w:p>
      <w:pPr>
        <w:pStyle w:val="Compact"/>
        <w:numPr>
          <w:ilvl w:val="0"/>
          <w:numId w:val="1008"/>
        </w:numPr>
      </w:pPr>
      <w:r>
        <w:t xml:space="preserve">Repeat context block (for reliability)</w:t>
      </w:r>
    </w:p>
    <w:p>
      <w:pPr>
        <w:pStyle w:val="Compact"/>
        <w:numPr>
          <w:ilvl w:val="0"/>
          <w:numId w:val="1008"/>
        </w:numPr>
      </w:pPr>
      <w:r>
        <w:t xml:space="preserve">Global judgment:</w:t>
      </w:r>
      <w:r>
        <w:t xml:space="preserve"> </w:t>
      </w:r>
      <w:r>
        <w:t xml:space="preserve">“Rank all three by responsibility”</w:t>
      </w:r>
    </w:p>
    <w:p>
      <w:pPr>
        <w:pStyle w:val="Compact"/>
        <w:numPr>
          <w:ilvl w:val="0"/>
          <w:numId w:val="1008"/>
        </w:numPr>
      </w:pPr>
      <w:r>
        <w:t xml:space="preserve">Debriefing</w:t>
      </w:r>
    </w:p>
    <w:p>
      <w:pPr>
        <w:pStyle w:val="FirstParagraph"/>
      </w:pPr>
      <w:r>
        <w:rPr>
          <w:b/>
          <w:bCs/>
        </w:rPr>
        <w:t xml:space="preserve">Timing</w:t>
      </w:r>
      <w:r>
        <w:t xml:space="preserve">: ~25 minutes total</w:t>
      </w:r>
    </w:p>
    <w:bookmarkEnd w:id="36"/>
    <w:bookmarkStart w:id="37" w:name="sample-size-determination-2"/>
    <w:p>
      <w:pPr>
        <w:pStyle w:val="Heading3"/>
      </w:pPr>
      <w:r>
        <w:t xml:space="preserve">4.5 Sample Size Determination</w:t>
      </w:r>
    </w:p>
    <w:p>
      <w:pPr>
        <w:pStyle w:val="FirstParagraph"/>
      </w:pPr>
      <w:r>
        <w:rPr>
          <w:b/>
          <w:bCs/>
        </w:rPr>
        <w:t xml:space="preserve">Effect size estimate</w:t>
      </w:r>
      <w:r>
        <w:t xml:space="preserve">: Based on contextuality literature in psychology, expect small effect (d = 0.2–0.3).</w:t>
      </w:r>
    </w:p>
    <w:p>
      <w:pPr>
        <w:pStyle w:val="BodyText"/>
      </w:pPr>
      <w:r>
        <w:rPr>
          <w:b/>
          <w:bCs/>
        </w:rPr>
        <w:t xml:space="preserve">Power analysis</w:t>
      </w:r>
      <w:r>
        <w:t xml:space="preserve">:</w:t>
      </w:r>
      <w:r>
        <w:t xml:space="preserve"> </w:t>
      </w:r>
      <w:r>
        <w:t xml:space="preserve">- Target power: 0.80</w:t>
      </w:r>
      <w:r>
        <w:t xml:space="preserve"> </w:t>
      </w:r>
      <w:r>
        <w:t xml:space="preserve">- Alpha: 0.05</w:t>
      </w:r>
      <w:r>
        <w:t xml:space="preserve"> </w:t>
      </w:r>
      <w:r>
        <w:t xml:space="preserve">- Effect size: d = 0.25</w:t>
      </w:r>
      <w:r>
        <w:t xml:space="preserve"> </w:t>
      </w:r>
      <w:r>
        <w:t xml:space="preserve">- Design: Within-subjects, 3 contexts</w:t>
      </w:r>
    </w:p>
    <w:p>
      <w:pPr>
        <w:pStyle w:val="BodyText"/>
      </w:pPr>
      <w:r>
        <w:rPr>
          <w:b/>
          <w:bCs/>
        </w:rPr>
        <w:t xml:space="preserve">Required N</w:t>
      </w:r>
      <w:r>
        <w:t xml:space="preserve">: 200 participants</w:t>
      </w:r>
    </w:p>
    <w:p>
      <w:pPr>
        <w:pStyle w:val="BodyText"/>
      </w:pPr>
      <w:r>
        <w:rPr>
          <w:b/>
          <w:bCs/>
        </w:rPr>
        <w:t xml:space="preserve">Planned N</w:t>
      </w:r>
      <w:r>
        <w:t xml:space="preserve">: 280 (to allow for exclusions and subgroup analyses)</w:t>
      </w:r>
    </w:p>
    <w:bookmarkEnd w:id="37"/>
    <w:bookmarkStart w:id="38" w:name="analysis-plan-2"/>
    <w:p>
      <w:pPr>
        <w:pStyle w:val="Heading3"/>
      </w:pPr>
      <w:r>
        <w:t xml:space="preserve">4.6 Analysis Plan</w:t>
      </w:r>
    </w:p>
    <w:p>
      <w:pPr>
        <w:pStyle w:val="FirstParagraph"/>
      </w:pPr>
      <w:r>
        <w:rPr>
          <w:b/>
          <w:bCs/>
        </w:rPr>
        <w:t xml:space="preserve">Primary Analysis</w:t>
      </w:r>
      <w:r>
        <w:t xml:space="preserve">: Test for violation of classical probability constraints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Binarize responses (threshold at 5:</w:t>
      </w:r>
      <w:r>
        <w:t xml:space="preserve"> </w:t>
      </w:r>
      <w:r>
        <w:t xml:space="preserve">“responsible”</w:t>
      </w:r>
      <w:r>
        <w:t xml:space="preserve"> </w:t>
      </w:r>
      <w:r>
        <w:t xml:space="preserve">vs. </w:t>
      </w:r>
      <w:r>
        <w:t xml:space="preserve">“not responsible”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Compute pairwise correlations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Step 3</w:t>
      </w:r>
      <w:r>
        <w:t xml:space="preserve">: Test CHSH-type inequality: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E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E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E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2</m:t>
          </m:r>
        </m:oMath>
      </m:oMathPara>
    </w:p>
    <w:p>
      <w:pPr>
        <w:pStyle w:val="FirstParagraph"/>
      </w:pPr>
      <w:r>
        <w:rPr>
          <w:b/>
          <w:bCs/>
        </w:rPr>
        <w:t xml:space="preserve">Prediction</w:t>
      </w:r>
      <w:r>
        <w:t xml:space="preserve">: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(violation)</w:t>
      </w:r>
    </w:p>
    <w:p>
      <w:pPr>
        <w:pStyle w:val="BodyText"/>
      </w:pPr>
      <w:r>
        <w:rPr>
          <w:b/>
          <w:bCs/>
        </w:rPr>
        <w:t xml:space="preserve">Alternative Analysis</w:t>
      </w:r>
      <w:r>
        <w:t xml:space="preserve">: Test for Hardy-type logical contradiction</w:t>
      </w:r>
      <w:r>
        <w:t xml:space="preserve"> </w:t>
      </w:r>
      <w:r>
        <w:t xml:space="preserve">- Find events 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- But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- Classical constraint: This is impossible if all pairwise probabilities arise from a joint</w:t>
      </w:r>
    </w:p>
    <w:p>
      <w:pPr>
        <w:pStyle w:val="BodyText"/>
      </w:pPr>
      <w:r>
        <w:rPr>
          <w:b/>
          <w:bCs/>
        </w:rPr>
        <w:t xml:space="preserve">Secondary Analyses</w:t>
      </w:r>
      <w:r>
        <w:t xml:space="preserve">:</w:t>
      </w:r>
      <w:r>
        <w:t xml:space="preserve"> </w:t>
      </w:r>
      <w:r>
        <w:t xml:space="preserve">1. Estimate contextual fraction</w:t>
      </w:r>
      <w:r>
        <w:t xml:space="preserve"> </w:t>
      </w:r>
      <m:oMath>
        <m:r>
          <m:t>C</m:t>
        </m:r>
        <m:r>
          <m:t>F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2. Test for signaling (marginals should be context-independent)</w:t>
      </w:r>
      <w:r>
        <w:t xml:space="preserve"> </w:t>
      </w:r>
      <w:r>
        <w:t xml:space="preserve">3. Correlate contextuality with individual differences</w:t>
      </w:r>
    </w:p>
    <w:bookmarkEnd w:id="38"/>
    <w:bookmarkStart w:id="39" w:name="falsification-criteria-2"/>
    <w:p>
      <w:pPr>
        <w:pStyle w:val="Heading3"/>
      </w:pPr>
      <w:r>
        <w:t xml:space="preserve">4.7 Falsification Criteria</w:t>
      </w:r>
    </w:p>
    <w:p>
      <w:pPr>
        <w:pStyle w:val="FirstParagraph"/>
      </w:pPr>
      <w:r>
        <w:t xml:space="preserve">The theory is</w:t>
      </w:r>
      <w:r>
        <w:t xml:space="preserve"> </w:t>
      </w:r>
      <w:r>
        <w:rPr>
          <w:b/>
          <w:bCs/>
        </w:rPr>
        <w:t xml:space="preserve">falsified</w:t>
      </w:r>
      <w:r>
        <w:t xml:space="preserve"> </w:t>
      </w:r>
      <w:r>
        <w:t xml:space="preserve">if:</w:t>
      </w:r>
      <w:r>
        <w:t xml:space="preserve"> </w:t>
      </w:r>
      <w:r>
        <w:t xml:space="preserve">-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(no CHSH violation)</w:t>
      </w:r>
      <w:r>
        <w:t xml:space="preserve"> </w:t>
      </w:r>
      <w:r>
        <w:t xml:space="preserve">- No Hardy-type contradictions</w:t>
      </w:r>
      <w:r>
        <w:t xml:space="preserve"> </w:t>
      </w:r>
      <w:r>
        <w:t xml:space="preserve">- Marginals depend on context (signaling), indicating measurement artifact</w:t>
      </w:r>
      <w:r>
        <w:t xml:space="preserve"> </w:t>
      </w:r>
      <w:r>
        <w:t xml:space="preserve">- Contextuality disappears when controlling for order effects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9" w:name="protocol-4-confinement-signature"/>
    <w:p>
      <w:pPr>
        <w:pStyle w:val="Heading2"/>
      </w:pPr>
      <w:r>
        <w:t xml:space="preserve">5. Protocol 4: Confinement Signature</w:t>
      </w:r>
    </w:p>
    <w:bookmarkStart w:id="41" w:name="theoretical-basis-3"/>
    <w:p>
      <w:pPr>
        <w:pStyle w:val="Heading3"/>
      </w:pPr>
      <w:r>
        <w:t xml:space="preserve">5.1 Theoretical Basis</w:t>
      </w:r>
    </w:p>
    <w:p>
      <w:pPr>
        <w:pStyle w:val="FirstParagraph"/>
      </w:pPr>
      <w:r>
        <w:t xml:space="preserve">NA-SQND predicts that at decision points (0-D strata), confinement forces balanced (singlet) configurations. Unbalanced configurations (obligation without claim, claim without obligation) should produce measurable discomfort.</w:t>
      </w:r>
    </w:p>
    <w:p>
      <w:pPr>
        <w:pStyle w:val="BodyText"/>
      </w:pPr>
      <w:r>
        <w:rPr>
          <w:b/>
          <w:bCs/>
        </w:rPr>
        <w:t xml:space="preserve">Prediction</w:t>
      </w:r>
      <w:r>
        <w:t xml:space="preserve">: Discomfort with unbalanced scenarios increases with decision proximity.</w:t>
      </w:r>
    </w:p>
    <w:bookmarkEnd w:id="41"/>
    <w:bookmarkStart w:id="42" w:name="design-3"/>
    <w:p>
      <w:pPr>
        <w:pStyle w:val="Heading3"/>
      </w:pPr>
      <w:r>
        <w:t xml:space="preserve">5.2 Design</w:t>
      </w:r>
    </w:p>
    <w:p>
      <w:pPr>
        <w:pStyle w:val="FirstParagraph"/>
      </w:pPr>
      <w:r>
        <w:rPr>
          <w:b/>
          <w:bCs/>
        </w:rPr>
        <w:t xml:space="preserve">Type</w:t>
      </w:r>
      <w:r>
        <w:t xml:space="preserve">: 2 (Balance: Balanced/Unbalanced) × 3 (Proximity: Far/Medium/Near) between-subjects factorial</w:t>
      </w:r>
    </w:p>
    <w:bookmarkEnd w:id="42"/>
    <w:bookmarkStart w:id="43" w:name="materials-3"/>
    <w:p>
      <w:pPr>
        <w:pStyle w:val="Heading3"/>
      </w:pPr>
      <w:r>
        <w:t xml:space="preserve">5.3 Materials</w:t>
      </w:r>
    </w:p>
    <w:p>
      <w:pPr>
        <w:pStyle w:val="FirstParagraph"/>
      </w:pPr>
      <w:r>
        <w:rPr>
          <w:b/>
          <w:bCs/>
        </w:rPr>
        <w:t xml:space="preserve">Balance Manipulation</w:t>
      </w:r>
      <w:r>
        <w:t xml:space="preserve">:</w:t>
      </w:r>
    </w:p>
    <w:p>
      <w:pPr>
        <w:pStyle w:val="BodyText"/>
      </w:pPr>
      <w:r>
        <w:rPr>
          <w:i/>
          <w:iCs/>
        </w:rPr>
        <w:t xml:space="preserve">Balanced</w:t>
      </w:r>
      <w:r>
        <w:t xml:space="preserve">:</w:t>
      </w:r>
      <w:r>
        <w:t xml:space="preserve"> </w:t>
      </w:r>
      <w:r>
        <w:t xml:space="preserve">&gt; Alex has agreed to help Jordan with a project. Jordan is depending on this help and has adjusted their plans accordingly.</w:t>
      </w:r>
    </w:p>
    <w:p>
      <w:pPr>
        <w:pStyle w:val="BodyText"/>
      </w:pPr>
      <w:r>
        <w:rPr>
          <w:i/>
          <w:iCs/>
        </w:rPr>
        <w:t xml:space="preserve">Unbalanced (O without C)</w:t>
      </w:r>
      <w:r>
        <w:t xml:space="preserve">:</w:t>
      </w:r>
      <w:r>
        <w:t xml:space="preserve"> </w:t>
      </w:r>
      <w:r>
        <w:t xml:space="preserve">&gt; Alex feels obligated to help Jordan with a project. However, Jordan is unaware of this and has made no plans involving Alex.</w:t>
      </w:r>
    </w:p>
    <w:p>
      <w:pPr>
        <w:pStyle w:val="BodyText"/>
      </w:pPr>
      <w:r>
        <w:rPr>
          <w:i/>
          <w:iCs/>
        </w:rPr>
        <w:t xml:space="preserve">Unbalanced (C without O)</w:t>
      </w:r>
      <w:r>
        <w:t xml:space="preserve">:</w:t>
      </w:r>
      <w:r>
        <w:t xml:space="preserve"> </w:t>
      </w:r>
      <w:r>
        <w:t xml:space="preserve">&gt; Jordan believes they have a right to Alex’s help with a project. However, Alex has made no commitment and is unaware of Jordan’s expectation.</w:t>
      </w:r>
    </w:p>
    <w:p>
      <w:pPr>
        <w:pStyle w:val="BodyText"/>
      </w:pPr>
      <w:r>
        <w:rPr>
          <w:b/>
          <w:bCs/>
        </w:rPr>
        <w:t xml:space="preserve">Proximity Manipulation</w:t>
      </w:r>
      <w:r>
        <w:t xml:space="preserve">:</w:t>
      </w:r>
    </w:p>
    <w:p>
      <w:pPr>
        <w:pStyle w:val="BodyText"/>
      </w:pPr>
      <w:r>
        <w:rPr>
          <w:i/>
          <w:iCs/>
        </w:rPr>
        <w:t xml:space="preserve">Far (abstract)</w:t>
      </w:r>
      <w:r>
        <w:t xml:space="preserve">:</w:t>
      </w:r>
      <w:r>
        <w:t xml:space="preserve"> </w:t>
      </w:r>
      <w:r>
        <w:t xml:space="preserve">&gt; In general, when someone has an obligation to another person…</w:t>
      </w:r>
    </w:p>
    <w:p>
      <w:pPr>
        <w:pStyle w:val="BodyText"/>
      </w:pPr>
      <w:r>
        <w:rPr>
          <w:i/>
          <w:iCs/>
        </w:rPr>
        <w:t xml:space="preserve">Medium (general)</w:t>
      </w:r>
      <w:r>
        <w:t xml:space="preserve">:</w:t>
      </w:r>
      <w:r>
        <w:t xml:space="preserve"> </w:t>
      </w:r>
      <w:r>
        <w:t xml:space="preserve">&gt; Next month, Alex will need to decide about helping Jordan…</w:t>
      </w:r>
    </w:p>
    <w:p>
      <w:pPr>
        <w:pStyle w:val="BodyText"/>
      </w:pPr>
      <w:r>
        <w:rPr>
          <w:i/>
          <w:iCs/>
        </w:rPr>
        <w:t xml:space="preserve">Near (concrete)</w:t>
      </w:r>
      <w:r>
        <w:t xml:space="preserve">:</w:t>
      </w:r>
      <w:r>
        <w:t xml:space="preserve"> </w:t>
      </w:r>
      <w:r>
        <w:t xml:space="preserve">&gt; Right now, Alex must decide whether to help Jordan…</w:t>
      </w:r>
    </w:p>
    <w:bookmarkEnd w:id="43"/>
    <w:bookmarkStart w:id="44" w:name="measures"/>
    <w:p>
      <w:pPr>
        <w:pStyle w:val="Heading3"/>
      </w:pPr>
      <w:r>
        <w:t xml:space="preserve">5.4 Measures</w:t>
      </w:r>
    </w:p>
    <w:p>
      <w:pPr>
        <w:pStyle w:val="FirstParagraph"/>
      </w:pPr>
      <w:r>
        <w:rPr>
          <w:b/>
          <w:bCs/>
        </w:rPr>
        <w:t xml:space="preserve">Primary DV</w:t>
      </w:r>
      <w:r>
        <w:t xml:space="preserve">: Moral discomfort scale (7 items, 1–7 Likert)</w:t>
      </w:r>
    </w:p>
    <w:p>
      <w:pPr>
        <w:pStyle w:val="BodyText"/>
      </w:pPr>
      <w:r>
        <w:t xml:space="preserve">Sample items:</w:t>
      </w:r>
      <w:r>
        <w:t xml:space="preserve"> </w:t>
      </w:r>
      <w:r>
        <w:t xml:space="preserve">-</w:t>
      </w:r>
      <w:r>
        <w:t xml:space="preserve"> </w:t>
      </w:r>
      <w:r>
        <w:t xml:space="preserve">“This situation feels incomplete or unresolved”</w:t>
      </w:r>
      <w:r>
        <w:t xml:space="preserve"> </w:t>
      </w:r>
      <w:r>
        <w:t xml:space="preserve">-</w:t>
      </w:r>
      <w:r>
        <w:t xml:space="preserve"> </w:t>
      </w:r>
      <w:r>
        <w:t xml:space="preserve">“Something is missing from this relationship”</w:t>
      </w:r>
      <w:r>
        <w:t xml:space="preserve"> </w:t>
      </w:r>
      <w:r>
        <w:t xml:space="preserve">-</w:t>
      </w:r>
      <w:r>
        <w:t xml:space="preserve"> </w:t>
      </w:r>
      <w:r>
        <w:t xml:space="preserve">“This arrangement is unstable”</w:t>
      </w:r>
      <w:r>
        <w:t xml:space="preserve"> </w:t>
      </w:r>
      <w:r>
        <w:t xml:space="preserve">-</w:t>
      </w:r>
      <w:r>
        <w:t xml:space="preserve"> </w:t>
      </w:r>
      <w:r>
        <w:t xml:space="preserve">“I would feel uncomfortable in this situation”</w:t>
      </w:r>
    </w:p>
    <w:p>
      <w:pPr>
        <w:pStyle w:val="BodyText"/>
      </w:pPr>
      <w:r>
        <w:rPr>
          <w:b/>
          <w:bCs/>
        </w:rPr>
        <w:t xml:space="preserve">Secondary DVs</w:t>
      </w:r>
      <w:r>
        <w:t xml:space="preserve">:</w:t>
      </w:r>
      <w:r>
        <w:t xml:space="preserve"> </w:t>
      </w:r>
      <w:r>
        <w:t xml:space="preserve">- Perceived clarity (1–7)</w:t>
      </w:r>
      <w:r>
        <w:t xml:space="preserve"> </w:t>
      </w:r>
      <w:r>
        <w:t xml:space="preserve">- Decision difficulty (1–7)</w:t>
      </w:r>
      <w:r>
        <w:t xml:space="preserve"> </w:t>
      </w:r>
      <w:r>
        <w:t xml:space="preserve">- Open-ended:</w:t>
      </w:r>
      <w:r>
        <w:t xml:space="preserve"> </w:t>
      </w:r>
      <w:r>
        <w:t xml:space="preserve">“What, if anything, feels wrong about this situation?”</w:t>
      </w:r>
    </w:p>
    <w:bookmarkEnd w:id="44"/>
    <w:bookmarkStart w:id="45" w:name="procedure-3"/>
    <w:p>
      <w:pPr>
        <w:pStyle w:val="Heading3"/>
      </w:pPr>
      <w:r>
        <w:t xml:space="preserve">5.5 Procedure</w:t>
      </w:r>
    </w:p>
    <w:p>
      <w:pPr>
        <w:pStyle w:val="Compact"/>
        <w:numPr>
          <w:ilvl w:val="0"/>
          <w:numId w:val="1010"/>
        </w:numPr>
      </w:pPr>
      <w:r>
        <w:t xml:space="preserve">Informed consent</w:t>
      </w:r>
    </w:p>
    <w:p>
      <w:pPr>
        <w:pStyle w:val="Compact"/>
        <w:numPr>
          <w:ilvl w:val="0"/>
          <w:numId w:val="1010"/>
        </w:numPr>
      </w:pPr>
      <w:r>
        <w:t xml:space="preserve">Demographics</w:t>
      </w:r>
    </w:p>
    <w:p>
      <w:pPr>
        <w:pStyle w:val="Compact"/>
        <w:numPr>
          <w:ilvl w:val="0"/>
          <w:numId w:val="1010"/>
        </w:numPr>
      </w:pPr>
      <w:r>
        <w:t xml:space="preserve">Random assignment to condition</w:t>
      </w:r>
    </w:p>
    <w:p>
      <w:pPr>
        <w:pStyle w:val="Compact"/>
        <w:numPr>
          <w:ilvl w:val="0"/>
          <w:numId w:val="1010"/>
        </w:numPr>
      </w:pPr>
      <w:r>
        <w:t xml:space="preserve">Vignette presentation</w:t>
      </w:r>
    </w:p>
    <w:p>
      <w:pPr>
        <w:pStyle w:val="Compact"/>
        <w:numPr>
          <w:ilvl w:val="0"/>
          <w:numId w:val="1010"/>
        </w:numPr>
      </w:pPr>
      <w:r>
        <w:t xml:space="preserve">Discomfort scale</w:t>
      </w:r>
    </w:p>
    <w:p>
      <w:pPr>
        <w:pStyle w:val="Compact"/>
        <w:numPr>
          <w:ilvl w:val="0"/>
          <w:numId w:val="1010"/>
        </w:numPr>
      </w:pPr>
      <w:r>
        <w:t xml:space="preserve">Secondary measures</w:t>
      </w:r>
    </w:p>
    <w:p>
      <w:pPr>
        <w:pStyle w:val="Compact"/>
        <w:numPr>
          <w:ilvl w:val="0"/>
          <w:numId w:val="1010"/>
        </w:numPr>
      </w:pPr>
      <w:r>
        <w:t xml:space="preserve">Manipulation checks</w:t>
      </w:r>
    </w:p>
    <w:p>
      <w:pPr>
        <w:pStyle w:val="Compact"/>
        <w:numPr>
          <w:ilvl w:val="0"/>
          <w:numId w:val="1010"/>
        </w:numPr>
      </w:pPr>
      <w:r>
        <w:t xml:space="preserve">Debriefing</w:t>
      </w:r>
    </w:p>
    <w:p>
      <w:pPr>
        <w:pStyle w:val="FirstParagraph"/>
      </w:pPr>
      <w:r>
        <w:rPr>
          <w:b/>
          <w:bCs/>
        </w:rPr>
        <w:t xml:space="preserve">Timing</w:t>
      </w:r>
      <w:r>
        <w:t xml:space="preserve">: ~12 minutes total</w:t>
      </w:r>
    </w:p>
    <w:bookmarkEnd w:id="45"/>
    <w:bookmarkStart w:id="46" w:name="sample-size-determination-3"/>
    <w:p>
      <w:pPr>
        <w:pStyle w:val="Heading3"/>
      </w:pPr>
      <w:r>
        <w:t xml:space="preserve">5.6 Sample Size Determination</w:t>
      </w:r>
    </w:p>
    <w:p>
      <w:pPr>
        <w:pStyle w:val="FirstParagraph"/>
      </w:pPr>
      <w:r>
        <w:rPr>
          <w:b/>
          <w:bCs/>
        </w:rPr>
        <w:t xml:space="preserve">Effect size estimate</w:t>
      </w:r>
      <w:r>
        <w:t xml:space="preserve">: Medium effect expected (d = 0.5) for Balance; small effect for Proximity (d = 0.3).</w:t>
      </w:r>
    </w:p>
    <w:p>
      <w:pPr>
        <w:pStyle w:val="BodyText"/>
      </w:pPr>
      <w:r>
        <w:rPr>
          <w:b/>
          <w:bCs/>
        </w:rPr>
        <w:t xml:space="preserve">Power analysis</w:t>
      </w:r>
      <w:r>
        <w:t xml:space="preserve">:</w:t>
      </w:r>
      <w:r>
        <w:t xml:space="preserve"> </w:t>
      </w:r>
      <w:r>
        <w:t xml:space="preserve">- Target power: 0.80</w:t>
      </w:r>
      <w:r>
        <w:t xml:space="preserve"> </w:t>
      </w:r>
      <w:r>
        <w:t xml:space="preserve">- Alpha: 0.05</w:t>
      </w:r>
      <w:r>
        <w:t xml:space="preserve"> </w:t>
      </w:r>
      <w:r>
        <w:t xml:space="preserve">- Effect size: f = 0.25 (interaction)</w:t>
      </w:r>
      <w:r>
        <w:t xml:space="preserve"> </w:t>
      </w:r>
      <w:r>
        <w:t xml:space="preserve">- Design: 2 × 3 factorial</w:t>
      </w:r>
    </w:p>
    <w:p>
      <w:pPr>
        <w:pStyle w:val="BodyText"/>
      </w:pPr>
      <w:r>
        <w:rPr>
          <w:b/>
          <w:bCs/>
        </w:rPr>
        <w:t xml:space="preserve">Required N</w:t>
      </w:r>
      <w:r>
        <w:t xml:space="preserve">: 252 participants (42 per cell)</w:t>
      </w:r>
    </w:p>
    <w:p>
      <w:pPr>
        <w:pStyle w:val="BodyText"/>
      </w:pPr>
      <w:r>
        <w:rPr>
          <w:b/>
          <w:bCs/>
        </w:rPr>
        <w:t xml:space="preserve">Planned N</w:t>
      </w:r>
      <w:r>
        <w:t xml:space="preserve">: 360 (60 per cell)</w:t>
      </w:r>
    </w:p>
    <w:bookmarkEnd w:id="46"/>
    <w:bookmarkStart w:id="47" w:name="analysis-plan-3"/>
    <w:p>
      <w:pPr>
        <w:pStyle w:val="Heading3"/>
      </w:pPr>
      <w:r>
        <w:t xml:space="preserve">5.6 Analysis Plan</w:t>
      </w:r>
    </w:p>
    <w:p>
      <w:pPr>
        <w:pStyle w:val="FirstParagraph"/>
      </w:pPr>
      <w:r>
        <w:rPr>
          <w:b/>
          <w:bCs/>
        </w:rPr>
        <w:t xml:space="preserve">Primary Analysis</w:t>
      </w:r>
      <w:r>
        <w:t xml:space="preserve">: 2 × 3 ANOVA on discomfort scores</w:t>
      </w:r>
    </w:p>
    <w:p>
      <w:pPr>
        <w:pStyle w:val="BodyText"/>
      </w:pPr>
      <w:r>
        <w:rPr>
          <w:b/>
          <w:bCs/>
        </w:rPr>
        <w:t xml:space="preserve">Predictions</w:t>
      </w:r>
      <w:r>
        <w:t xml:space="preserve">:</w:t>
      </w:r>
      <w:r>
        <w:t xml:space="preserve"> </w:t>
      </w:r>
      <w:r>
        <w:t xml:space="preserve">1. Main effect of Balance: Unbalanced &gt; Balanced</w:t>
      </w:r>
      <w:r>
        <w:t xml:space="preserve"> </w:t>
      </w:r>
      <w:r>
        <w:t xml:space="preserve">2. Main effect of Proximity: Near &gt; Medium &gt; Far (for unbalanced only)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Critical interaction</w:t>
      </w:r>
      <w:r>
        <w:t xml:space="preserve">: Balance × Proximity, with discomfort for unbalanced increasing as proximity increases</w:t>
      </w:r>
    </w:p>
    <w:p>
      <w:pPr>
        <w:pStyle w:val="BodyText"/>
      </w:pPr>
      <w:r>
        <w:rPr>
          <w:b/>
          <w:bCs/>
        </w:rPr>
        <w:t xml:space="preserve">Theoretical fit</w:t>
      </w:r>
      <w:r>
        <w:t xml:space="preserve">: Test whether discomfort follows: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Discomfort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σ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singlet deviation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∝</m:t>
        </m:r>
        <m:sSup>
          <m:e>
            <m:r>
              <m:t>d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γ</m:t>
            </m:r>
          </m:sup>
        </m:sSup>
      </m:oMath>
      <w:r>
        <w:t xml:space="preserve"> </w:t>
      </w:r>
      <w:r>
        <w:t xml:space="preserve">is the string tension.</w:t>
      </w:r>
    </w:p>
    <w:bookmarkEnd w:id="47"/>
    <w:bookmarkStart w:id="48" w:name="falsification-criteria-3"/>
    <w:p>
      <w:pPr>
        <w:pStyle w:val="Heading3"/>
      </w:pPr>
      <w:r>
        <w:t xml:space="preserve">5.7 Falsification Criteria</w:t>
      </w:r>
    </w:p>
    <w:p>
      <w:pPr>
        <w:pStyle w:val="FirstParagraph"/>
      </w:pPr>
      <w:r>
        <w:t xml:space="preserve">The theory is</w:t>
      </w:r>
      <w:r>
        <w:t xml:space="preserve"> </w:t>
      </w:r>
      <w:r>
        <w:rPr>
          <w:b/>
          <w:bCs/>
        </w:rPr>
        <w:t xml:space="preserve">falsified</w:t>
      </w:r>
      <w:r>
        <w:t xml:space="preserve"> </w:t>
      </w:r>
      <w:r>
        <w:t xml:space="preserve">if:</w:t>
      </w:r>
      <w:r>
        <w:t xml:space="preserve"> </w:t>
      </w:r>
      <w:r>
        <w:t xml:space="preserve">- No Balance × Proximity interaction</w:t>
      </w:r>
      <w:r>
        <w:t xml:space="preserve"> </w:t>
      </w:r>
      <w:r>
        <w:t xml:space="preserve">- Discomfort is flat across proximity levels</w:t>
      </w:r>
      <w:r>
        <w:t xml:space="preserve"> </w:t>
      </w:r>
      <w:r>
        <w:t xml:space="preserve">- Balanced scenarios show same proximity effects as unbalanced</w:t>
      </w:r>
      <w:r>
        <w:t xml:space="preserve"> </w:t>
      </w:r>
      <w:r>
        <w:t xml:space="preserve">- Unbalanced scenarios are not perceived as unbalanced (manipulation check failure)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9" w:name="protocol-5-stratified-phase-transition"/>
    <w:p>
      <w:pPr>
        <w:pStyle w:val="Heading2"/>
      </w:pPr>
      <w:r>
        <w:t xml:space="preserve">6. Protocol 5: Stratified Phase Transition</w:t>
      </w:r>
    </w:p>
    <w:bookmarkStart w:id="50" w:name="theoretical-basis-4"/>
    <w:p>
      <w:pPr>
        <w:pStyle w:val="Heading3"/>
      </w:pPr>
      <w:r>
        <w:t xml:space="preserve">6.1 Theoretical Basis</w:t>
      </w:r>
    </w:p>
    <w:p>
      <w:pPr>
        <w:pStyle w:val="FirstParagraph"/>
      </w:pPr>
      <w:r>
        <w:t xml:space="preserve">NA-SQND predicts that moral boundaries undergo phase transitions under social stress, with</w:t>
      </w:r>
      <w:r>
        <w:t xml:space="preserve"> </w:t>
      </w:r>
      <w:r>
        <w:rPr>
          <w:b/>
          <w:bCs/>
        </w:rPr>
        <w:t xml:space="preserve">dimension-dependent critical temperatures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sSup>
            <m:e>
              <m:r>
                <m:t>d</m:t>
              </m:r>
            </m:e>
            <m:sup>
              <m:sSub>
                <m:e>
                  <m:r>
                    <m:t>γ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Low-dimensional boundaries (concrete decisions) melt before high-dimensional boundaries (abstract principles).</w:t>
      </w:r>
    </w:p>
    <w:p>
      <w:pPr>
        <w:pStyle w:val="BodyText"/>
      </w:pPr>
      <w:r>
        <w:rPr>
          <w:b/>
          <w:bCs/>
        </w:rPr>
        <w:t xml:space="preserve">Prediction</w:t>
      </w:r>
      <w:r>
        <w:t xml:space="preserve">: Moral clarity degrades first at decision points, then at deliberation, as social volatility increases.</w:t>
      </w:r>
    </w:p>
    <w:bookmarkEnd w:id="50"/>
    <w:bookmarkStart w:id="51" w:name="design-4"/>
    <w:p>
      <w:pPr>
        <w:pStyle w:val="Heading3"/>
      </w:pPr>
      <w:r>
        <w:t xml:space="preserve">6.2 Design</w:t>
      </w:r>
    </w:p>
    <w:p>
      <w:pPr>
        <w:pStyle w:val="FirstParagraph"/>
      </w:pPr>
      <w:r>
        <w:rPr>
          <w:b/>
          <w:bCs/>
        </w:rPr>
        <w:t xml:space="preserve">Type</w:t>
      </w:r>
      <w:r>
        <w:t xml:space="preserve">: Correlational/quasi-experimental, with natural variation in moral temperature and experimental manipulation of stratum dimension</w:t>
      </w:r>
    </w:p>
    <w:p>
      <w:pPr>
        <w:pStyle w:val="BodyText"/>
      </w:pPr>
      <w:r>
        <w:rPr>
          <w:b/>
          <w:bCs/>
        </w:rPr>
        <w:t xml:space="preserve">Structure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</w:t>
      </w:r>
      <w:r>
        <w:t xml:space="preserve"> </w:t>
      </w:r>
      <w:r>
        <w:t xml:space="preserve">(</w:t>
      </w:r>
      <m:oMath>
        <m:r>
          <m:t>T</m:t>
        </m:r>
      </m:oMath>
      <w:r>
        <w:t xml:space="preserve">): Measured via survey instruments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(</w:t>
      </w:r>
      <m:oMath>
        <m:r>
          <m:t>d</m:t>
        </m:r>
      </m:oMath>
      <w:r>
        <w:t xml:space="preserve">): Manipulated via scenario abstraction level</w:t>
      </w:r>
    </w:p>
    <w:bookmarkEnd w:id="51"/>
    <w:bookmarkStart w:id="52" w:name="measuring-moral-temperature"/>
    <w:p>
      <w:pPr>
        <w:pStyle w:val="Heading3"/>
      </w:pPr>
      <w:r>
        <w:t xml:space="preserve">6.3 Measuring Moral Temperature</w:t>
      </w:r>
    </w:p>
    <w:p>
      <w:pPr>
        <w:pStyle w:val="FirstParagraph"/>
      </w:pPr>
      <w:r>
        <w:rPr>
          <w:b/>
          <w:bCs/>
        </w:rPr>
        <w:t xml:space="preserve">The Moral Temperature Index (MTI)</w:t>
      </w:r>
      <w:r>
        <w:t xml:space="preserve"> </w:t>
      </w:r>
      <w:r>
        <w:t xml:space="preserve">— 12-item scale measuring perceived normative volatility</w:t>
      </w:r>
    </w:p>
    <w:p>
      <w:pPr>
        <w:pStyle w:val="BodyText"/>
      </w:pPr>
      <w:r>
        <w:t xml:space="preserve">Sample items (1–7 agreement scale):</w:t>
      </w:r>
      <w:r>
        <w:t xml:space="preserve"> </w:t>
      </w:r>
      <w:r>
        <w:t xml:space="preserve">1.</w:t>
      </w:r>
      <w:r>
        <w:t xml:space="preserve"> </w:t>
      </w:r>
      <w:r>
        <w:t xml:space="preserve">“The rules about right and wrong seem to be changing rapidly”</w:t>
      </w:r>
      <w:r>
        <w:t xml:space="preserve"> </w:t>
      </w:r>
      <w:r>
        <w:t xml:space="preserve">2.</w:t>
      </w:r>
      <w:r>
        <w:t xml:space="preserve"> </w:t>
      </w:r>
      <w:r>
        <w:t xml:space="preserve">“I’m not sure what society expects of me anymore”</w:t>
      </w:r>
      <w:r>
        <w:t xml:space="preserve"> </w:t>
      </w:r>
      <w:r>
        <w:t xml:space="preserve">3.</w:t>
      </w:r>
      <w:r>
        <w:t xml:space="preserve"> </w:t>
      </w:r>
      <w:r>
        <w:t xml:space="preserve">“People disagree more than ever about basic moral questions”</w:t>
      </w:r>
      <w:r>
        <w:t xml:space="preserve"> </w:t>
      </w:r>
      <w:r>
        <w:t xml:space="preserve">4.</w:t>
      </w:r>
      <w:r>
        <w:t xml:space="preserve"> </w:t>
      </w:r>
      <w:r>
        <w:t xml:space="preserve">“Institutions I used to trust now seem unreliable”</w:t>
      </w:r>
      <w:r>
        <w:t xml:space="preserve"> </w:t>
      </w:r>
      <w:r>
        <w:t xml:space="preserve">5.</w:t>
      </w:r>
      <w:r>
        <w:t xml:space="preserve"> </w:t>
      </w:r>
      <w:r>
        <w:t xml:space="preserve">“What was acceptable yesterday may not be acceptable tomorrow”</w:t>
      </w:r>
      <w:r>
        <w:t xml:space="preserve"> </w:t>
      </w:r>
      <w:r>
        <w:t xml:space="preserve">6.</w:t>
      </w:r>
      <w:r>
        <w:t xml:space="preserve"> </w:t>
      </w:r>
      <w:r>
        <w:t xml:space="preserve">“I feel uncertain about how to act in new situations”</w:t>
      </w:r>
    </w:p>
    <w:p>
      <w:pPr>
        <w:pStyle w:val="BodyText"/>
      </w:pPr>
      <w:r>
        <w:rPr>
          <w:b/>
          <w:bCs/>
        </w:rPr>
        <w:t xml:space="preserve">Scoring</w:t>
      </w:r>
      <w:r>
        <w:t xml:space="preserve">: Mean of items; higher = higher moral temperature</w:t>
      </w:r>
    </w:p>
    <w:p>
      <w:pPr>
        <w:pStyle w:val="BodyText"/>
      </w:pPr>
      <w:r>
        <w:rPr>
          <w:b/>
          <w:bCs/>
        </w:rPr>
        <w:t xml:space="preserve">Validation</w:t>
      </w:r>
      <w:r>
        <w:t xml:space="preserve">: Correlate with:</w:t>
      </w:r>
      <w:r>
        <w:t xml:space="preserve"> </w:t>
      </w:r>
      <w:r>
        <w:t xml:space="preserve">- Perceived social instability measures</w:t>
      </w:r>
      <w:r>
        <w:t xml:space="preserve"> </w:t>
      </w:r>
      <w:r>
        <w:t xml:space="preserve">- Institutional trust scales</w:t>
      </w:r>
      <w:r>
        <w:t xml:space="preserve"> </w:t>
      </w:r>
      <w:r>
        <w:t xml:space="preserve">- Moral foundations questionnaire (expect inverse correlation with binding foundations)</w:t>
      </w:r>
    </w:p>
    <w:bookmarkEnd w:id="52"/>
    <w:bookmarkStart w:id="53" w:name="manipulating-stratum-dimension"/>
    <w:p>
      <w:pPr>
        <w:pStyle w:val="Heading3"/>
      </w:pPr>
      <w:r>
        <w:t xml:space="preserve">6.4 Manipulating Stratum Dimension</w:t>
      </w:r>
    </w:p>
    <w:p>
      <w:pPr>
        <w:pStyle w:val="FirstParagraph"/>
      </w:pPr>
      <w:r>
        <w:t xml:space="preserve">Participants respond to scenarios at three abstraction levels:</w:t>
      </w:r>
    </w:p>
    <w:p>
      <w:pPr>
        <w:pStyle w:val="BodyText"/>
      </w:pPr>
      <w:r>
        <w:rPr>
          <w:b/>
          <w:bCs/>
        </w:rPr>
        <w:t xml:space="preserve">High-D (Abstract Principles)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“In general, do people have an obligation to keep their promises?”</w:t>
      </w:r>
    </w:p>
    <w:p>
      <w:pPr>
        <w:pStyle w:val="BodyText"/>
      </w:pPr>
      <w:r>
        <w:rPr>
          <w:b/>
          <w:bCs/>
        </w:rPr>
        <w:t xml:space="preserve">Mid-D (General Applications)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“When someone makes a promise to a friend, do they have an obligation to keep it?”</w:t>
      </w:r>
    </w:p>
    <w:p>
      <w:pPr>
        <w:pStyle w:val="BodyText"/>
      </w:pPr>
      <w:r>
        <w:rPr>
          <w:b/>
          <w:bCs/>
        </w:rPr>
        <w:t xml:space="preserve">Low-D (Concrete Decisions)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“Alex promised to meet Jordan at 3pm today. It is now 2:45pm and Alex is considering not going. Does Alex have an obligation to go?”</w:t>
      </w:r>
    </w:p>
    <w:bookmarkEnd w:id="53"/>
    <w:bookmarkStart w:id="54" w:name="materials-4"/>
    <w:p>
      <w:pPr>
        <w:pStyle w:val="Heading3"/>
      </w:pPr>
      <w:r>
        <w:t xml:space="preserve">6.5 Materials</w:t>
      </w:r>
    </w:p>
    <w:p>
      <w:pPr>
        <w:pStyle w:val="FirstParagraph"/>
      </w:pPr>
      <w:r>
        <w:rPr>
          <w:b/>
          <w:bCs/>
        </w:rPr>
        <w:t xml:space="preserve">Complete Design Matrix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2112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 Type</w:t>
            </w:r>
          </w:p>
        </w:tc>
        <w:tc>
          <w:tcPr/>
          <w:p>
            <w:pPr>
              <w:pStyle w:val="Compact"/>
            </w:pPr>
            <w:r>
              <w:t xml:space="preserve">High-D Version</w:t>
            </w:r>
          </w:p>
        </w:tc>
        <w:tc>
          <w:tcPr/>
          <w:p>
            <w:pPr>
              <w:pStyle w:val="Compact"/>
            </w:pPr>
            <w:r>
              <w:t xml:space="preserve">Mid-D Version</w:t>
            </w:r>
          </w:p>
        </w:tc>
        <w:tc>
          <w:tcPr/>
          <w:p>
            <w:pPr>
              <w:pStyle w:val="Compact"/>
            </w:pPr>
            <w:r>
              <w:t xml:space="preserve">Low-D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Promise-keeping</w:t>
            </w:r>
          </w:p>
        </w:tc>
        <w:tc>
          <w:tcPr/>
          <w:p>
            <w:pPr>
              <w:pStyle w:val="Compact"/>
            </w:pPr>
            <w:r>
              <w:t xml:space="preserve">Abstract principle</w:t>
            </w:r>
          </w:p>
        </w:tc>
        <w:tc>
          <w:tcPr/>
          <w:p>
            <w:pPr>
              <w:pStyle w:val="Compact"/>
            </w:pPr>
            <w:r>
              <w:t xml:space="preserve">General case</w:t>
            </w:r>
          </w:p>
        </w:tc>
        <w:tc>
          <w:tcPr/>
          <w:p>
            <w:pPr>
              <w:pStyle w:val="Compact"/>
            </w:pPr>
            <w:r>
              <w:t xml:space="preserve">Specific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Truth-telling</w:t>
            </w:r>
          </w:p>
        </w:tc>
        <w:tc>
          <w:tcPr/>
          <w:p>
            <w:pPr>
              <w:pStyle w:val="Compact"/>
            </w:pPr>
            <w:r>
              <w:t xml:space="preserve">Abstract principle</w:t>
            </w:r>
          </w:p>
        </w:tc>
        <w:tc>
          <w:tcPr/>
          <w:p>
            <w:pPr>
              <w:pStyle w:val="Compact"/>
            </w:pPr>
            <w:r>
              <w:t xml:space="preserve">General case</w:t>
            </w:r>
          </w:p>
        </w:tc>
        <w:tc>
          <w:tcPr/>
          <w:p>
            <w:pPr>
              <w:pStyle w:val="Compact"/>
            </w:pPr>
            <w:r>
              <w:t xml:space="preserve">Specific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Harm prevention</w:t>
            </w:r>
          </w:p>
        </w:tc>
        <w:tc>
          <w:tcPr/>
          <w:p>
            <w:pPr>
              <w:pStyle w:val="Compact"/>
            </w:pPr>
            <w:r>
              <w:t xml:space="preserve">Abstract principle</w:t>
            </w:r>
          </w:p>
        </w:tc>
        <w:tc>
          <w:tcPr/>
          <w:p>
            <w:pPr>
              <w:pStyle w:val="Compact"/>
            </w:pPr>
            <w:r>
              <w:t xml:space="preserve">General case</w:t>
            </w:r>
          </w:p>
        </w:tc>
        <w:tc>
          <w:tcPr/>
          <w:p>
            <w:pPr>
              <w:pStyle w:val="Compact"/>
            </w:pPr>
            <w:r>
              <w:t xml:space="preserve">Specific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 rights</w:t>
            </w:r>
          </w:p>
        </w:tc>
        <w:tc>
          <w:tcPr/>
          <w:p>
            <w:pPr>
              <w:pStyle w:val="Compact"/>
            </w:pPr>
            <w:r>
              <w:t xml:space="preserve">Abstract principle</w:t>
            </w:r>
          </w:p>
        </w:tc>
        <w:tc>
          <w:tcPr/>
          <w:p>
            <w:pPr>
              <w:pStyle w:val="Compact"/>
            </w:pPr>
            <w:r>
              <w:t xml:space="preserve">General case</w:t>
            </w:r>
          </w:p>
        </w:tc>
        <w:tc>
          <w:tcPr/>
          <w:p>
            <w:pPr>
              <w:pStyle w:val="Compact"/>
            </w:pPr>
            <w:r>
              <w:t xml:space="preserve">Specific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Fairness</w:t>
            </w:r>
          </w:p>
        </w:tc>
        <w:tc>
          <w:tcPr/>
          <w:p>
            <w:pPr>
              <w:pStyle w:val="Compact"/>
            </w:pPr>
            <w:r>
              <w:t xml:space="preserve">Abstract principle</w:t>
            </w:r>
          </w:p>
        </w:tc>
        <w:tc>
          <w:tcPr/>
          <w:p>
            <w:pPr>
              <w:pStyle w:val="Compact"/>
            </w:pPr>
            <w:r>
              <w:t xml:space="preserve">General case</w:t>
            </w:r>
          </w:p>
        </w:tc>
        <w:tc>
          <w:tcPr/>
          <w:p>
            <w:pPr>
              <w:pStyle w:val="Compact"/>
            </w:pPr>
            <w:r>
              <w:t xml:space="preserve">Specific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</w:t>
            </w:r>
          </w:p>
        </w:tc>
        <w:tc>
          <w:tcPr/>
          <w:p>
            <w:pPr>
              <w:pStyle w:val="Compact"/>
            </w:pPr>
            <w:r>
              <w:t xml:space="preserve">Abstract principle</w:t>
            </w:r>
          </w:p>
        </w:tc>
        <w:tc>
          <w:tcPr/>
          <w:p>
            <w:pPr>
              <w:pStyle w:val="Compact"/>
            </w:pPr>
            <w:r>
              <w:t xml:space="preserve">General case</w:t>
            </w:r>
          </w:p>
        </w:tc>
        <w:tc>
          <w:tcPr/>
          <w:p>
            <w:pPr>
              <w:pStyle w:val="Compact"/>
            </w:pPr>
            <w:r>
              <w:t xml:space="preserve">Specific decision</w:t>
            </w:r>
          </w:p>
        </w:tc>
      </w:tr>
    </w:tbl>
    <w:p>
      <w:pPr>
        <w:pStyle w:val="BodyText"/>
      </w:pPr>
      <w:r>
        <w:t xml:space="preserve">6 scenario types × 3 dimension levels = 18 vignettes per participant</w:t>
      </w:r>
    </w:p>
    <w:bookmarkEnd w:id="54"/>
    <w:bookmarkStart w:id="55" w:name="procedure-4"/>
    <w:p>
      <w:pPr>
        <w:pStyle w:val="Heading3"/>
      </w:pPr>
      <w:r>
        <w:t xml:space="preserve">6.6 Procedure</w:t>
      </w:r>
    </w:p>
    <w:p>
      <w:pPr>
        <w:pStyle w:val="Compact"/>
        <w:numPr>
          <w:ilvl w:val="0"/>
          <w:numId w:val="1011"/>
        </w:numPr>
      </w:pPr>
      <w:r>
        <w:t xml:space="preserve">Informed consent</w:t>
      </w:r>
    </w:p>
    <w:p>
      <w:pPr>
        <w:pStyle w:val="Compact"/>
        <w:numPr>
          <w:ilvl w:val="0"/>
          <w:numId w:val="1011"/>
        </w:numPr>
      </w:pPr>
      <w:r>
        <w:t xml:space="preserve">Moral Temperature Index (MTI)</w:t>
      </w:r>
    </w:p>
    <w:p>
      <w:pPr>
        <w:pStyle w:val="Compact"/>
        <w:numPr>
          <w:ilvl w:val="0"/>
          <w:numId w:val="1011"/>
        </w:numPr>
      </w:pPr>
      <w:r>
        <w:t xml:space="preserve">Demographics and moral foundations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Main task</w:t>
      </w:r>
      <w:r>
        <w:t xml:space="preserve">: 18 vignettes (randomized order)</w:t>
      </w:r>
    </w:p>
    <w:p>
      <w:pPr>
        <w:pStyle w:val="Compact"/>
        <w:numPr>
          <w:ilvl w:val="1"/>
          <w:numId w:val="1012"/>
        </w:numPr>
      </w:pPr>
      <w:r>
        <w:t xml:space="preserve">Each vignette: 4OFC response + confidence rating (1–7)</w:t>
      </w:r>
    </w:p>
    <w:p>
      <w:pPr>
        <w:pStyle w:val="Compact"/>
        <w:numPr>
          <w:ilvl w:val="0"/>
          <w:numId w:val="1011"/>
        </w:numPr>
      </w:pPr>
      <w:r>
        <w:t xml:space="preserve">Attention and manipulation checks</w:t>
      </w:r>
    </w:p>
    <w:p>
      <w:pPr>
        <w:pStyle w:val="Compact"/>
        <w:numPr>
          <w:ilvl w:val="0"/>
          <w:numId w:val="1011"/>
        </w:numPr>
      </w:pPr>
      <w:r>
        <w:t xml:space="preserve">Debriefing</w:t>
      </w:r>
    </w:p>
    <w:p>
      <w:pPr>
        <w:pStyle w:val="FirstParagraph"/>
      </w:pPr>
      <w:r>
        <w:rPr>
          <w:b/>
          <w:bCs/>
        </w:rPr>
        <w:t xml:space="preserve">Timing</w:t>
      </w:r>
      <w:r>
        <w:t xml:space="preserve">: ~35 minutes total</w:t>
      </w:r>
    </w:p>
    <w:bookmarkEnd w:id="55"/>
    <w:bookmarkStart w:id="56" w:name="sample-size-determination-4"/>
    <w:p>
      <w:pPr>
        <w:pStyle w:val="Heading3"/>
      </w:pPr>
      <w:r>
        <w:t xml:space="preserve">6.7 Sample Size Determination</w:t>
      </w:r>
    </w:p>
    <w:p>
      <w:pPr>
        <w:pStyle w:val="FirstParagraph"/>
      </w:pPr>
      <w:r>
        <w:rPr>
          <w:b/>
          <w:bCs/>
        </w:rPr>
        <w:t xml:space="preserve">Effect size estimate</w:t>
      </w:r>
      <w:r>
        <w:t xml:space="preserve">: Small-to-medium interaction effect (f = 0.15–0.20)</w:t>
      </w:r>
    </w:p>
    <w:p>
      <w:pPr>
        <w:pStyle w:val="BodyText"/>
      </w:pPr>
      <w:r>
        <w:rPr>
          <w:b/>
          <w:bCs/>
        </w:rPr>
        <w:t xml:space="preserve">Power analysis</w:t>
      </w:r>
      <w:r>
        <w:t xml:space="preserve">:</w:t>
      </w:r>
      <w:r>
        <w:t xml:space="preserve"> </w:t>
      </w:r>
      <w:r>
        <w:t xml:space="preserve">- Target power: 0.80</w:t>
      </w:r>
      <w:r>
        <w:t xml:space="preserve"> </w:t>
      </w:r>
      <w:r>
        <w:t xml:space="preserve">- Alpha: 0.05</w:t>
      </w:r>
      <w:r>
        <w:t xml:space="preserve"> </w:t>
      </w:r>
      <w:r>
        <w:t xml:space="preserve">- Effect size: f = 0.18</w:t>
      </w:r>
      <w:r>
        <w:t xml:space="preserve"> </w:t>
      </w:r>
      <w:r>
        <w:t xml:space="preserve">- Design: Continuous T × 3-level D within-subjects</w:t>
      </w:r>
    </w:p>
    <w:p>
      <w:pPr>
        <w:pStyle w:val="BodyText"/>
      </w:pPr>
      <w:r>
        <w:rPr>
          <w:b/>
          <w:bCs/>
        </w:rPr>
        <w:t xml:space="preserve">Required N</w:t>
      </w:r>
      <w:r>
        <w:t xml:space="preserve">: 400 participants (for adequate variance in T)</w:t>
      </w:r>
    </w:p>
    <w:p>
      <w:pPr>
        <w:pStyle w:val="BodyText"/>
      </w:pPr>
      <w:r>
        <w:rPr>
          <w:b/>
          <w:bCs/>
        </w:rPr>
        <w:t xml:space="preserve">Planned N</w:t>
      </w:r>
      <w:r>
        <w:t xml:space="preserve">: 500</w:t>
      </w:r>
    </w:p>
    <w:bookmarkEnd w:id="56"/>
    <w:bookmarkStart w:id="57" w:name="analysis-plan-4"/>
    <w:p>
      <w:pPr>
        <w:pStyle w:val="Heading3"/>
      </w:pPr>
      <w:r>
        <w:t xml:space="preserve">6.8 Analysis Plan</w:t>
      </w:r>
    </w:p>
    <w:p>
      <w:pPr>
        <w:pStyle w:val="FirstParagraph"/>
      </w:pPr>
      <w:r>
        <w:rPr>
          <w:b/>
          <w:bCs/>
        </w:rPr>
        <w:t xml:space="preserve">Primary Analysis</w:t>
      </w:r>
      <w:r>
        <w:t xml:space="preserve">: Multilevel regression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d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d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mixing angle for participant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scenario dimension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participant’s moral temperature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= stratum dimension (coded: High=3, Mid=2, Low=1)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random participant intercept</w:t>
      </w:r>
    </w:p>
    <w:p>
      <w:pPr>
        <w:pStyle w:val="BodyText"/>
      </w:pPr>
      <w:r>
        <w:rPr>
          <w:b/>
          <w:bCs/>
        </w:rPr>
        <w:t xml:space="preserve">Key prediction</w:t>
      </w:r>
      <w:r>
        <w:t xml:space="preserve">: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(negative interaction)</w:t>
      </w:r>
    </w:p>
    <w:p>
      <w:pPr>
        <w:pStyle w:val="BodyText"/>
      </w:pPr>
      <w:r>
        <w:t xml:space="preserve">At high T: Low-D has high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(boundary melted), High-D has lower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(boundary intact)</w:t>
      </w:r>
      <w:r>
        <w:t xml:space="preserve"> </w:t>
      </w:r>
      <w:r>
        <w:t xml:space="preserve">At low T: All dimensions have low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(all boundaries rigid)</w:t>
      </w:r>
    </w:p>
    <w:p>
      <w:pPr>
        <w:pStyle w:val="BodyText"/>
      </w:pPr>
      <w:r>
        <w:rPr>
          <w:b/>
          <w:bCs/>
        </w:rPr>
        <w:t xml:space="preserve">Phase Diagram Estimation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Bin participants by MTI quartile</w:t>
      </w:r>
    </w:p>
    <w:p>
      <w:pPr>
        <w:pStyle w:val="Compact"/>
        <w:numPr>
          <w:ilvl w:val="0"/>
          <w:numId w:val="1013"/>
        </w:numPr>
      </w:pPr>
      <w:r>
        <w:t xml:space="preserve">For each quartile, compute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each dimension level</w:t>
      </w:r>
    </w:p>
    <w:p>
      <w:pPr>
        <w:pStyle w:val="Compact"/>
        <w:numPr>
          <w:ilvl w:val="0"/>
          <w:numId w:val="1013"/>
        </w:numPr>
      </w:pPr>
      <w:r>
        <w:t xml:space="preserve">Plot heatmap:</w:t>
      </w:r>
      <w:r>
        <w:t xml:space="preserve"> </w:t>
      </w:r>
      <m:oMath>
        <m:r>
          <m:t>θ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3"/>
        </w:numPr>
      </w:pPr>
      <w:r>
        <w:t xml:space="preserve">Identify phase boundary: contour 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crosses threshold</w:t>
      </w:r>
    </w:p>
    <w:p>
      <w:pPr>
        <w:pStyle w:val="FirstParagraph"/>
      </w:pPr>
      <w:r>
        <w:rPr>
          <w:b/>
          <w:bCs/>
        </w:rPr>
        <w:t xml:space="preserve">Critical Scaling Test</w:t>
      </w:r>
      <w:r>
        <w:t xml:space="preserve">:</w:t>
      </w:r>
    </w:p>
    <w:p>
      <w:pPr>
        <w:pStyle w:val="BodyText"/>
      </w:pPr>
      <w:r>
        <w:t xml:space="preserve">Near the estimated critical temperature: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t>θ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ty m:val="p"/>
            </m:rPr>
            <m:t>|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β</m:t>
              </m:r>
            </m:sup>
          </m:sSup>
        </m:oMath>
      </m:oMathPara>
    </w:p>
    <w:p>
      <w:pPr>
        <w:pStyle w:val="FirstParagraph"/>
      </w:pPr>
      <w:r>
        <w:t xml:space="preserve">Estimate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via nonlinear regression. Mean-field prediction: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7"/>
    <w:bookmarkStart w:id="58" w:name="falsification-criteria-4"/>
    <w:p>
      <w:pPr>
        <w:pStyle w:val="Heading3"/>
      </w:pPr>
      <w:r>
        <w:t xml:space="preserve">6.9 Falsification Criteria</w:t>
      </w:r>
    </w:p>
    <w:p>
      <w:pPr>
        <w:pStyle w:val="FirstParagraph"/>
      </w:pPr>
      <w:r>
        <w:t xml:space="preserve">The theory is</w:t>
      </w:r>
      <w:r>
        <w:t xml:space="preserve"> </w:t>
      </w:r>
      <w:r>
        <w:rPr>
          <w:b/>
          <w:bCs/>
        </w:rPr>
        <w:t xml:space="preserve">falsified</w:t>
      </w:r>
      <w:r>
        <w:t xml:space="preserve"> </w:t>
      </w:r>
      <w:r>
        <w:t xml:space="preserve">if:</w:t>
      </w:r>
      <w:r>
        <w:t xml:space="preserve"> </w:t>
      </w:r>
      <w:r>
        <w:t xml:space="preserve">- No significant T × d interaction (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n.s.)</w:t>
      </w:r>
      <w:r>
        <w:t xml:space="preserve"> </w:t>
      </w:r>
      <w:r>
        <w:t xml:space="preserve">- Interaction has wrong sign (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</w:t>
      </w:r>
      <w:r>
        <w:t xml:space="preserve"> </w:t>
      </w:r>
      <w:r>
        <w:t xml:space="preserve">- Phase boundary is independent of dimension</w:t>
      </w:r>
      <w:r>
        <w:t xml:space="preserve"> </w:t>
      </w:r>
      <w:r>
        <w:t xml:space="preserve">- No critical scaling behavior near transition</w:t>
      </w:r>
      <w:r>
        <w:t xml:space="preserve"> </w:t>
      </w:r>
      <w:r>
        <w:t xml:space="preserve">- High-D scenarios melt before Low-D scenarios (opposite of prediction)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statistical-analysis-framework"/>
    <w:p>
      <w:pPr>
        <w:pStyle w:val="Heading2"/>
      </w:pPr>
      <w:r>
        <w:t xml:space="preserve">7. Statistical Analysis Framework</w:t>
      </w:r>
    </w:p>
    <w:bookmarkStart w:id="60" w:name="software"/>
    <w:p>
      <w:pPr>
        <w:pStyle w:val="Heading3"/>
      </w:pPr>
      <w:r>
        <w:t xml:space="preserve">7.1 Software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(version 4.3+) with packages: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lme4</w:t>
      </w:r>
      <w:r>
        <w:t xml:space="preserve"> </w:t>
      </w:r>
      <w:r>
        <w:t xml:space="preserve">for multilevel models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brms</w:t>
      </w:r>
      <w:r>
        <w:t xml:space="preserve"> </w:t>
      </w:r>
      <w:r>
        <w:t xml:space="preserve">for Bayesian estimation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lavaan</w:t>
      </w:r>
      <w:r>
        <w:t xml:space="preserve"> </w:t>
      </w:r>
      <w:r>
        <w:t xml:space="preserve">for measurement models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ggplot2</w:t>
      </w:r>
      <w:r>
        <w:t xml:space="preserve"> </w:t>
      </w:r>
      <w:r>
        <w:t xml:space="preserve">for visualization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Python</w:t>
      </w:r>
      <w:r>
        <w:t xml:space="preserve"> </w:t>
      </w:r>
      <w:r>
        <w:t xml:space="preserve">(version 3.10+) with packages: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 </w:t>
      </w:r>
      <w:r>
        <w:t xml:space="preserve">for numerical analysis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statsmodels</w:t>
      </w:r>
      <w:r>
        <w:t xml:space="preserve"> </w:t>
      </w:r>
      <w:r>
        <w:t xml:space="preserve">for regression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qutip</w:t>
      </w:r>
      <w:r>
        <w:t xml:space="preserve"> </w:t>
      </w:r>
      <w:r>
        <w:t xml:space="preserve">for quantum state estimation (contextuality analysis)</w:t>
      </w:r>
    </w:p>
    <w:bookmarkEnd w:id="60"/>
    <w:bookmarkStart w:id="61" w:name="X21be9ffd856a0f2064b3c5bd258c56a92f957d1"/>
    <w:p>
      <w:pPr>
        <w:pStyle w:val="Heading3"/>
      </w:pPr>
      <w:r>
        <w:t xml:space="preserve">7.2 Bayesian Estimation of Quantum Parameters</w:t>
      </w:r>
    </w:p>
    <w:p>
      <w:pPr>
        <w:pStyle w:val="FirstParagraph"/>
      </w:pPr>
      <w:r>
        <w:t xml:space="preserve">For each participant/scenario, estimate the quantum state parameters:</w:t>
      </w:r>
    </w:p>
    <w:p>
      <w:pPr>
        <w:pStyle w:val="BodyText"/>
      </w:pPr>
      <w:r>
        <w:rPr>
          <w:b/>
          <w:bCs/>
        </w:rPr>
        <w:t xml:space="preserve">Prior distributions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t>θ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η</m:t>
        </m:r>
        <m:r>
          <m:rPr>
            <m:sty m:val="p"/>
          </m:rPr>
          <m:t>∼</m:t>
        </m:r>
        <m:r>
          <m:rPr>
            <m:nor/>
            <m:sty m:val="p"/>
          </m:rPr>
          <m:t>Beta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(prior toward high salience)</w:t>
      </w:r>
      <w:r>
        <w:t xml:space="preserve"> </w:t>
      </w:r>
      <w:r>
        <w:t xml:space="preserve">-</w:t>
      </w:r>
      <w:r>
        <w:t xml:space="preserve"> </w:t>
      </w:r>
      <m:oMath>
        <m:r>
          <m:t>ϕ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(phase, for interference estimation)</w:t>
      </w:r>
    </w:p>
    <w:p>
      <w:pPr>
        <w:pStyle w:val="BodyText"/>
      </w:pPr>
      <w:r>
        <w:rPr>
          <w:b/>
          <w:bCs/>
        </w:rPr>
        <w:t xml:space="preserve">Likelihood</w:t>
      </w:r>
      <w:r>
        <w:t xml:space="preserve">: Multinomial based on POVM probabilities</w:t>
      </w:r>
    </w:p>
    <w:p>
      <w:pPr>
        <w:pStyle w:val="BodyText"/>
      </w:pPr>
      <w:r>
        <w:rPr>
          <w:b/>
          <w:bCs/>
        </w:rPr>
        <w:t xml:space="preserve">Posterior estimation</w:t>
      </w:r>
      <w:r>
        <w:t xml:space="preserve">: Stan via</w:t>
      </w:r>
      <w:r>
        <w:t xml:space="preserve"> </w:t>
      </w:r>
      <w:r>
        <w:rPr>
          <w:rStyle w:val="VerbatimChar"/>
        </w:rPr>
        <w:t xml:space="preserve">brms</w:t>
      </w:r>
    </w:p>
    <w:bookmarkEnd w:id="61"/>
    <w:bookmarkStart w:id="62" w:name="model-comparison"/>
    <w:p>
      <w:pPr>
        <w:pStyle w:val="Heading3"/>
      </w:pPr>
      <w:r>
        <w:t xml:space="preserve">7.3 Model Comparison</w:t>
      </w:r>
    </w:p>
    <w:p>
      <w:pPr>
        <w:pStyle w:val="FirstParagraph"/>
      </w:pPr>
      <w:r>
        <w:t xml:space="preserve">For each protocol, compare: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Null model</w:t>
      </w:r>
      <w:r>
        <w:t xml:space="preserve">: Classical probability (no rotation, no contextuality)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Abelian model</w:t>
      </w:r>
      <w:r>
        <w:t xml:space="preserve">: U(1) gauge structure (rotation but no path dependence)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Non-abelian model</w:t>
      </w:r>
      <w:r>
        <w:t xml:space="preserve">: SU(2) gauge structure (rotation + path dependence)</w:t>
      </w:r>
    </w:p>
    <w:p>
      <w:pPr>
        <w:pStyle w:val="FirstParagraph"/>
      </w:pPr>
      <w:r>
        <w:t xml:space="preserve">Use:</w:t>
      </w:r>
      <w:r>
        <w:t xml:space="preserve"> </w:t>
      </w:r>
      <w:r>
        <w:t xml:space="preserve">- Bayes factors (BF &gt; 10 as strong evidence)</w:t>
      </w:r>
      <w:r>
        <w:t xml:space="preserve"> </w:t>
      </w:r>
      <w:r>
        <w:t xml:space="preserve">- WAIC/LOO-CV for predictive accuracy</w:t>
      </w:r>
      <w:r>
        <w:t xml:space="preserve"> </w:t>
      </w:r>
      <w:r>
        <w:t xml:space="preserve">- Posterior predictive checks</w:t>
      </w:r>
    </w:p>
    <w:bookmarkEnd w:id="62"/>
    <w:bookmarkStart w:id="63" w:name="multiple-comparison-correction"/>
    <w:p>
      <w:pPr>
        <w:pStyle w:val="Heading3"/>
      </w:pPr>
      <w:r>
        <w:t xml:space="preserve">7.4 Multiple Comparison Correction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Within protocol</w:t>
      </w:r>
      <w:r>
        <w:t xml:space="preserve">: Bonferroni for confirmatory tests; FDR for exploratory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Across protocols</w:t>
      </w:r>
      <w:r>
        <w:t xml:space="preserve">: Treat as independent (different predictions)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Aggregate evidence</w:t>
      </w:r>
      <w:r>
        <w:t xml:space="preserve">: Meta-analytic combination of effect sizes</w:t>
      </w:r>
    </w:p>
    <w:bookmarkEnd w:id="63"/>
    <w:bookmarkStart w:id="64" w:name="reporting-standards"/>
    <w:p>
      <w:pPr>
        <w:pStyle w:val="Heading3"/>
      </w:pPr>
      <w:r>
        <w:t xml:space="preserve">7.5 Reporting Standards</w:t>
      </w:r>
    </w:p>
    <w:p>
      <w:pPr>
        <w:pStyle w:val="FirstParagraph"/>
      </w:pPr>
      <w:r>
        <w:t xml:space="preserve">All analyses will follow:</w:t>
      </w:r>
      <w:r>
        <w:t xml:space="preserve"> </w:t>
      </w:r>
      <w:r>
        <w:t xml:space="preserve">- JARS (Journal Article Reporting Standards) for quantitative research</w:t>
      </w:r>
      <w:r>
        <w:t xml:space="preserve"> </w:t>
      </w:r>
      <w:r>
        <w:t xml:space="preserve">- 21-word solution for inferential statistics</w:t>
      </w:r>
      <w:r>
        <w:t xml:space="preserve"> </w:t>
      </w:r>
      <w:r>
        <w:t xml:space="preserve">- Effect sizes with confidence intervals</w:t>
      </w:r>
      <w:r>
        <w:t xml:space="preserve"> </w:t>
      </w:r>
      <w:r>
        <w:t xml:space="preserve">- Full reproducibility package (data, code, materials)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2" w:name="appendices"/>
    <w:p>
      <w:pPr>
        <w:pStyle w:val="Heading2"/>
      </w:pPr>
      <w:r>
        <w:t xml:space="preserve">8. Appendices</w:t>
      </w:r>
    </w:p>
    <w:bookmarkStart w:id="66" w:name="appendix-a-complete-vignette-library"/>
    <w:p>
      <w:pPr>
        <w:pStyle w:val="Heading3"/>
      </w:pPr>
      <w:r>
        <w:t xml:space="preserve">Appendix A: Complete Vignette Library</w:t>
      </w:r>
    </w:p>
    <w:p>
      <w:pPr>
        <w:pStyle w:val="FirstParagraph"/>
      </w:pPr>
      <w:r>
        <w:t xml:space="preserve">[To be developed: Full text of all vignettes with counterbalancing schemes]</w:t>
      </w:r>
    </w:p>
    <w:bookmarkEnd w:id="66"/>
    <w:bookmarkStart w:id="67" w:name="appendix-b-scale-validation"/>
    <w:p>
      <w:pPr>
        <w:pStyle w:val="Heading3"/>
      </w:pPr>
      <w:r>
        <w:t xml:space="preserve">Appendix B: Scale Validation</w:t>
      </w:r>
    </w:p>
    <w:p>
      <w:pPr>
        <w:pStyle w:val="FirstParagraph"/>
      </w:pPr>
      <w:r>
        <w:rPr>
          <w:b/>
          <w:bCs/>
        </w:rPr>
        <w:t xml:space="preserve">Moral Temperature Index (MTI)</w:t>
      </w:r>
      <w:r>
        <w:t xml:space="preserve"> </w:t>
      </w:r>
      <w:r>
        <w:t xml:space="preserve">- Factor structure (expected: unidimensional)</w:t>
      </w:r>
      <w:r>
        <w:t xml:space="preserve"> </w:t>
      </w:r>
      <w:r>
        <w:t xml:space="preserve">- Internal consistency (target: α &gt; 0.80)</w:t>
      </w:r>
      <w:r>
        <w:t xml:space="preserve"> </w:t>
      </w:r>
      <w:r>
        <w:t xml:space="preserve">- Test-retest reliability (target: r &gt; 0.70)</w:t>
      </w:r>
      <w:r>
        <w:t xml:space="preserve"> </w:t>
      </w:r>
      <w:r>
        <w:t xml:space="preserve">- Convergent validity with instability measures</w:t>
      </w:r>
      <w:r>
        <w:t xml:space="preserve"> </w:t>
      </w:r>
      <w:r>
        <w:t xml:space="preserve">- Discriminant validity from personality measures</w:t>
      </w:r>
    </w:p>
    <w:p>
      <w:pPr>
        <w:pStyle w:val="BodyText"/>
      </w:pPr>
      <w:r>
        <w:rPr>
          <w:b/>
          <w:bCs/>
        </w:rPr>
        <w:t xml:space="preserve">Moral Discomfort Scale</w:t>
      </w:r>
      <w:r>
        <w:t xml:space="preserve"> </w:t>
      </w:r>
      <w:r>
        <w:t xml:space="preserve">- Factor structure</w:t>
      </w:r>
      <w:r>
        <w:t xml:space="preserve"> </w:t>
      </w:r>
      <w:r>
        <w:t xml:space="preserve">- Internal consistency</w:t>
      </w:r>
      <w:r>
        <w:t xml:space="preserve"> </w:t>
      </w:r>
      <w:r>
        <w:t xml:space="preserve">- Convergent validity with moral distress measures</w:t>
      </w:r>
    </w:p>
    <w:bookmarkEnd w:id="67"/>
    <w:bookmarkStart w:id="68" w:name="appendix-c-power-analysis-details"/>
    <w:p>
      <w:pPr>
        <w:pStyle w:val="Heading3"/>
      </w:pPr>
      <w:r>
        <w:t xml:space="preserve">Appendix C: Power Analysis Details</w:t>
      </w:r>
    </w:p>
    <w:p>
      <w:pPr>
        <w:pStyle w:val="FirstParagraph"/>
      </w:pPr>
      <w:r>
        <w:t xml:space="preserve">[Full G*Power outputs and simulation results]</w:t>
      </w:r>
    </w:p>
    <w:bookmarkEnd w:id="68"/>
    <w:bookmarkStart w:id="69" w:name="appendix-d-preregistration-template"/>
    <w:p>
      <w:pPr>
        <w:pStyle w:val="Heading3"/>
      </w:pPr>
      <w:r>
        <w:t xml:space="preserve">Appendix D: Preregistration Template</w:t>
      </w:r>
    </w:p>
    <w:p>
      <w:pPr>
        <w:pStyle w:val="FirstParagraph"/>
      </w:pPr>
      <w:r>
        <w:t xml:space="preserve">All protocols will be preregistered on OSF prior to data collection. Template includes:</w:t>
      </w:r>
      <w:r>
        <w:t xml:space="preserve"> </w:t>
      </w:r>
      <w:r>
        <w:t xml:space="preserve">- Hypotheses (confirmatory vs. exploratory)</w:t>
      </w:r>
      <w:r>
        <w:t xml:space="preserve"> </w:t>
      </w:r>
      <w:r>
        <w:t xml:space="preserve">- Sampling plan</w:t>
      </w:r>
      <w:r>
        <w:t xml:space="preserve"> </w:t>
      </w:r>
      <w:r>
        <w:t xml:space="preserve">- Analysis plan (verbatim code where possible)</w:t>
      </w:r>
      <w:r>
        <w:t xml:space="preserve"> </w:t>
      </w:r>
      <w:r>
        <w:t xml:space="preserve">- Exclusion criteria</w:t>
      </w:r>
      <w:r>
        <w:t xml:space="preserve"> </w:t>
      </w:r>
      <w:r>
        <w:t xml:space="preserve">- Inference criteria</w:t>
      </w:r>
    </w:p>
    <w:bookmarkEnd w:id="69"/>
    <w:bookmarkStart w:id="70" w:name="appendix-e-irb-protocol-summary"/>
    <w:p>
      <w:pPr>
        <w:pStyle w:val="Heading3"/>
      </w:pPr>
      <w:r>
        <w:t xml:space="preserve">Appendix E: IRB Protocol Summary</w:t>
      </w:r>
    </w:p>
    <w:p>
      <w:pPr>
        <w:pStyle w:val="Compact"/>
        <w:numPr>
          <w:ilvl w:val="0"/>
          <w:numId w:val="1019"/>
        </w:numPr>
      </w:pPr>
      <w:r>
        <w:t xml:space="preserve">Risk assessment: Minimal risk (survey research)</w:t>
      </w:r>
    </w:p>
    <w:p>
      <w:pPr>
        <w:pStyle w:val="Compact"/>
        <w:numPr>
          <w:ilvl w:val="0"/>
          <w:numId w:val="1019"/>
        </w:numPr>
      </w:pPr>
      <w:r>
        <w:t xml:space="preserve">Consent procedure: Online informed consent</w:t>
      </w:r>
    </w:p>
    <w:p>
      <w:pPr>
        <w:pStyle w:val="Compact"/>
        <w:numPr>
          <w:ilvl w:val="0"/>
          <w:numId w:val="1019"/>
        </w:numPr>
      </w:pPr>
      <w:r>
        <w:t xml:space="preserve">Data protection: De-identified, encrypted storage</w:t>
      </w:r>
    </w:p>
    <w:p>
      <w:pPr>
        <w:pStyle w:val="Compact"/>
        <w:numPr>
          <w:ilvl w:val="0"/>
          <w:numId w:val="1019"/>
        </w:numPr>
      </w:pPr>
      <w:r>
        <w:t xml:space="preserve">Debriefing: Full explanation of theoretical framework</w:t>
      </w:r>
    </w:p>
    <w:bookmarkEnd w:id="70"/>
    <w:bookmarkStart w:id="71" w:name="X1f4d428b98cd8e320e11a1bc1930cdca13af2a2"/>
    <w:p>
      <w:pPr>
        <w:pStyle w:val="Heading3"/>
      </w:pPr>
      <w:r>
        <w:t xml:space="preserve">Appendix F: Theoretical Parameter Interpretation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3"/>
        <w:gridCol w:w="1173"/>
        <w:gridCol w:w="2786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Estimation Method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Mixing angle</w:t>
            </w:r>
          </w:p>
        </w:tc>
        <w:tc>
          <w:tcPr/>
          <w:p>
            <w:pPr>
              <w:pStyle w:val="Compact"/>
            </w:pPr>
            <m:oMath>
              <m:r>
                <m:t>θ</m:t>
              </m:r>
            </m:oMath>
          </w:p>
        </w:tc>
        <w:tc>
          <w:tcPr/>
          <w:p>
            <w:pPr>
              <w:pStyle w:val="Compact"/>
            </w:pPr>
            <w:r>
              <w:t xml:space="preserve">Response proportions</w:t>
            </w:r>
          </w:p>
        </w:tc>
        <w:tc>
          <w:tcPr/>
          <w:p>
            <w:pPr>
              <w:pStyle w:val="Compact"/>
            </w:pPr>
            <w:r>
              <w:t xml:space="preserve">Boundary permeability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Salience</w:t>
            </w:r>
          </w:p>
        </w:tc>
        <w:tc>
          <w:tcPr/>
          <w:p>
            <w:pPr>
              <w:pStyle w:val="Compact"/>
            </w:pPr>
            <m:oMath>
              <m:r>
                <m:t>η</m:t>
              </m:r>
            </m:oMath>
          </w:p>
        </w:tc>
        <w:tc>
          <w:tcPr/>
          <w:p>
            <w:pPr>
              <w:pStyle w:val="Compact"/>
            </w:pPr>
            <w:r>
              <w:t xml:space="preserve">O/L and C/N ratios</w:t>
            </w:r>
          </w:p>
        </w:tc>
        <w:tc>
          <w:tcPr/>
          <w:p>
            <w:pPr>
              <w:pStyle w:val="Compact"/>
            </w:pPr>
            <w:r>
              <w:t xml:space="preserve">Measurement sharpness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Moral temperature</w:t>
            </w:r>
          </w:p>
        </w:tc>
        <w:tc>
          <w:tcPr/>
          <w:p>
            <w:pPr>
              <w:pStyle w:val="Compac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</w:pPr>
            <w:r>
              <w:t xml:space="preserve">MTI scale</w:t>
            </w:r>
          </w:p>
        </w:tc>
        <w:tc>
          <w:tcPr/>
          <w:p>
            <w:pPr>
              <w:pStyle w:val="Compact"/>
            </w:pPr>
            <w:r>
              <w:t xml:space="preserve">Social volatility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Wilson loop</w:t>
            </w:r>
          </w:p>
        </w:tc>
        <w:tc>
          <w:tcPr/>
          <w:p>
            <w:pPr>
              <w:pStyle w:val="Compac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Path comparison</w:t>
            </w:r>
          </w:p>
        </w:tc>
        <w:tc>
          <w:tcPr/>
          <w:p>
            <w:pPr>
              <w:pStyle w:val="Compact"/>
            </w:pPr>
            <w:r>
              <w:t xml:space="preserve">Path (in)dependence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Contextual fraction</w:t>
            </w:r>
          </w:p>
        </w:tc>
        <w:tc>
          <w:tcPr/>
          <w:p>
            <w:pPr>
              <w:pStyle w:val="Compact"/>
            </w:pPr>
            <m:oMath>
              <m:r>
                <m:t>C</m:t>
              </m:r>
              <m:r>
                <m:t>F</m:t>
              </m:r>
            </m:oMath>
          </w:p>
        </w:tc>
        <w:tc>
          <w:tcPr/>
          <w:p>
            <w:pPr>
              <w:pStyle w:val="Compact"/>
            </w:pPr>
            <w:r>
              <w:t xml:space="preserve">Inequality violation</w:t>
            </w:r>
          </w:p>
        </w:tc>
        <w:tc>
          <w:tcPr/>
          <w:p>
            <w:pPr>
              <w:pStyle w:val="Compact"/>
            </w:pPr>
            <w:r>
              <w:t xml:space="preserve">Degree of contextuality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String tension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  <w:tc>
          <w:tcPr/>
          <w:p>
            <w:pPr>
              <w:pStyle w:val="Compact"/>
            </w:pPr>
            <w:r>
              <w:t xml:space="preserve">Discomfort scaling</w:t>
            </w:r>
          </w:p>
        </w:tc>
        <w:tc>
          <w:tcPr/>
          <w:p>
            <w:pPr>
              <w:pStyle w:val="Compact"/>
            </w:pPr>
            <w:r>
              <w:t xml:space="preserve">Confinement strength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20"/>
        </w:numPr>
      </w:pPr>
      <w:r>
        <w:t xml:space="preserve">Bond, A. H. (2025). Stratified Quantum Normative Dynamics.</w:t>
      </w:r>
    </w:p>
    <w:p>
      <w:pPr>
        <w:pStyle w:val="Compact"/>
        <w:numPr>
          <w:ilvl w:val="0"/>
          <w:numId w:val="1020"/>
        </w:numPr>
      </w:pPr>
      <w:r>
        <w:t xml:space="preserve">Bond, A. H. (2026). Non-Abelian Gauge Structure in SQND, v3.4.</w:t>
      </w:r>
    </w:p>
    <w:p>
      <w:pPr>
        <w:pStyle w:val="Compact"/>
        <w:numPr>
          <w:ilvl w:val="0"/>
          <w:numId w:val="1020"/>
        </w:numPr>
      </w:pPr>
      <w:r>
        <w:t xml:space="preserve">Busemeyer, J. R., &amp; Bruza, P. D. (2012). Quantum Models of Cognition and Decision. Cambridge.</w:t>
      </w:r>
    </w:p>
    <w:p>
      <w:pPr>
        <w:pStyle w:val="Compact"/>
        <w:numPr>
          <w:ilvl w:val="0"/>
          <w:numId w:val="1020"/>
        </w:numPr>
      </w:pPr>
      <w:r>
        <w:t xml:space="preserve">Abramsky, S., &amp; Brandenburger, A. (2011). The Sheaf-Theoretic Structure of Non-Locality and Contextuality. New J. Phys.</w:t>
      </w:r>
    </w:p>
    <w:p>
      <w:pPr>
        <w:pStyle w:val="Compact"/>
        <w:numPr>
          <w:ilvl w:val="0"/>
          <w:numId w:val="1020"/>
        </w:numPr>
      </w:pPr>
      <w:r>
        <w:t xml:space="preserve">Dzhafarov, E. N., &amp; Kujala, J. V. (2016). Context-content systems of random variables. J. Math. Psych.</w:t>
      </w:r>
    </w:p>
    <w:p>
      <w:pPr>
        <w:pStyle w:val="Compact"/>
        <w:numPr>
          <w:ilvl w:val="0"/>
          <w:numId w:val="1020"/>
        </w:numPr>
      </w:pPr>
      <w:r>
        <w:t xml:space="preserve">Hohfeld, W. N. (1917). Fundamental Legal Conceptions. Yale Law Journal.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January 2026</w:t>
            </w:r>
          </w:p>
        </w:tc>
        <w:tc>
          <w:tcPr/>
          <w:p>
            <w:pPr>
              <w:pStyle w:val="Compact"/>
            </w:pPr>
            <w:r>
              <w:t xml:space="preserve">Initial release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Protocol Document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2026-01-04T18:04:50Z</dcterms:created>
  <dcterms:modified xsi:type="dcterms:W3CDTF">2026-01-04T18:04:50Z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