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69BB6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Estrutura filogeográfica e diversidade genética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(Carnivora: Procyonidae) com base no gene mitocondrial citocromo b</w:t>
      </w:r>
    </w:p>
    <w:p w14:paraId="53462F63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Resumo</w:t>
      </w:r>
    </w:p>
    <w:p w14:paraId="31D2D65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lang w:val="pt-BR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O gênero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(quatis) compreende duas espécies reconhecidas: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distribuída da América do Norte à América Central,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presente na América do Sul. Este estudo investigou a estrutura populacional e a diversidade genética de ambas as espécies utilizando sequências do gene mitocondrial citocromo b (CytB). Analisamos 93 sequências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(n=83)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(n=10), abrangendo seis e duas populações, respectivamente.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identificamos 20 haplótipos com diversidade haplotípica (Hd) variando de 0,0 a 0,86, diversidade nucleotídica (π) de 0 a 0,0305, e estrutura genética significativa (Φ_ST global = 0,891; p &lt; 0,001). As análises de F_ST de Hudson revelaram diferenciação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baixa </w:t>
      </w:r>
      <w:r>
        <w:rPr>
          <w:rFonts w:hint="default" w:ascii="Arial" w:hAnsi="Arial" w:cs="Arial"/>
          <w:color w:val="auto"/>
          <w:sz w:val="22"/>
          <w:szCs w:val="22"/>
        </w:rPr>
        <w:t xml:space="preserve">entre populações da América do Norte e Central (F_ST = 0,0005–0,0067), sem correlação significativa com a distância geográfica (teste de Mantel: r = 0,518; p = 0,246).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detectamos cinco haplótipos e estrutura genética entre Argentina e Brasil (Φ_ST = 0,675; p = 0,009; F_ST = 0,0028). A rede de haplótipos revelou haplótipos exclusivos por população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>, sugerindo isolamento histórico, enquanto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,</w:t>
      </w:r>
      <w:r>
        <w:rPr>
          <w:rFonts w:hint="default" w:ascii="Arial" w:hAnsi="Arial" w:cs="Arial"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Em N. nasua, a Argentina mostrou predominância de um único haplótipo (H1), enquanto nenhum haplótipo foi compartilhado entre Argentina e Brasil</w:t>
      </w:r>
      <w:r>
        <w:rPr>
          <w:rFonts w:hint="default" w:ascii="Arial" w:hAnsi="Arial" w:cs="Arial"/>
          <w:color w:val="auto"/>
          <w:sz w:val="22"/>
          <w:szCs w:val="22"/>
        </w:rPr>
        <w:t xml:space="preserve">. A baixa amostragem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(Brasil, n=3) limita inferências robustas, indicando necessidade de estudos ampliados. Os resultados evidenciam estruturação filogeográfica em ambas as espécies, com implicações para a compreensão de sua história evolutiva e conservação.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Dados de sequência, metadados e scripts para análise filogeográfica usados neste estudo estão disponíveis em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instrText xml:space="preserve"> HYPERLINK "https://github.com/ahcm088/nasua_filogeo"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https://github.com/ahcm088/nasua_filogeo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  <w:lang w:val="pt-BR"/>
        </w:rPr>
        <w:t>.</w:t>
      </w:r>
    </w:p>
    <w:p w14:paraId="150DE8C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Palavras-chave:</w:t>
      </w:r>
      <w:r>
        <w:rPr>
          <w:rFonts w:hint="default" w:ascii="Arial" w:hAnsi="Arial" w:cs="Arial"/>
          <w:color w:val="auto"/>
          <w:sz w:val="22"/>
          <w:szCs w:val="22"/>
        </w:rPr>
        <w:t xml:space="preserve"> Filogeografia; DNA mitocondrial; Procyonidae; estrutura populacional; diversidade genética.</w:t>
      </w:r>
    </w:p>
    <w:p w14:paraId="5C2D6E3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6A8CFCE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1. Introdução</w:t>
      </w:r>
    </w:p>
    <w:p w14:paraId="0882169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O gênero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Storr, 1780 (Carnivora: Procyonidae) compreende mamíferos sociais de médio porte conhecidos como quatis, distribuídos do sul dos Estados Unidos ao norte da Argentina (GOMPPER; DECKER, 1998). Tradicionalmente, duas espécies são reconhecidas: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(Linnaeus, 1766), que ocorre na América do Norte e Central,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(Linnaeus, 1766), distribuída pela América do Sul (HELGEN et al., 20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13</w:t>
      </w:r>
      <w:r>
        <w:rPr>
          <w:rFonts w:hint="default" w:ascii="Arial" w:hAnsi="Arial" w:cs="Arial"/>
          <w:color w:val="auto"/>
          <w:sz w:val="22"/>
          <w:szCs w:val="22"/>
        </w:rPr>
        <w:t>). Estudos taxonômicos recentes questionam essa divisão, sugerindo a existência de complexos de espécies crípticas ou subespécies com distribuições geográficas distintas (SAMPAIO et al., 2018).</w:t>
      </w:r>
    </w:p>
    <w:p w14:paraId="7C5EE7D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filogeografia molecular tem sido ferramenta fundamental para elucidar padrões de estruturação populacional e processos evolutivos em carnívoros neotropicais (EIZIRIK et al., 2001). O gene mitocondrial citocromo b (CytB) é amplamente utilizado em estudos filogeográficos devido à sua taxa de evolução moderada, herança materna e ausência de recombinação, permitindo reconstruir histórias demográficas e eventos de dispersão (AVISE, 2000).</w:t>
      </w:r>
    </w:p>
    <w:p w14:paraId="2B7A278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Apesar da ampla distribuição geográfica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estudos filogeográficos detalhados permanecem escassos. Trabalhos prévios indicam variação genética estruturada geograficamente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(KOEPFLI et al., 2007), mas análises abrangentes incluindo múltiplas populações e métodos quantitativos de estruturação são limitadas.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carência de dados moleculares populacionais é ainda mais acentuada, dificultando inferências sobre conectividade entre populações sul-americanas.</w:t>
      </w:r>
    </w:p>
    <w:p w14:paraId="494D572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Este estudo objetivou: (1) caracterizar a diversidade genética e haplotípica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com base em sequências de CytB; (2) avaliar a estruturação populacional utilizando estatísticas F_ST, Φ_ST e redes de haplótipos; (3) testar a hipótese de isolamento por distância (IBD) mediante teste de Mantel; e (4) estimar métricas de divergência entre populações (Dxy) e neutralidade seletiva (D de Tajima).</w:t>
      </w:r>
    </w:p>
    <w:p w14:paraId="55114FC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38A40F9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 Material e Métodos</w:t>
      </w:r>
    </w:p>
    <w:p w14:paraId="275EB28D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2.1. Amostragem e dados moleculares</w:t>
      </w:r>
    </w:p>
    <w:p w14:paraId="0B3837C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Foram obtidas 93 sequências completas do gene CytB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depositadas no GenBank (NCBI), compreendendo 83 indivíduos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10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. As sequências foram associadas a metadados de localidade geográfica (país/região), permitindo a definição de populações com base no campo </w:t>
      </w:r>
      <w:r>
        <w:rPr>
          <w:rStyle w:val="9"/>
          <w:rFonts w:hint="default" w:ascii="Arial" w:hAnsi="Arial" w:cs="Arial"/>
          <w:color w:val="auto"/>
          <w:sz w:val="22"/>
          <w:szCs w:val="22"/>
        </w:rPr>
        <w:t>Geo_loc_name</w:t>
      </w:r>
      <w:r>
        <w:rPr>
          <w:rFonts w:hint="default" w:ascii="Arial" w:hAnsi="Arial" w:cs="Arial"/>
          <w:color w:val="auto"/>
          <w:sz w:val="22"/>
          <w:szCs w:val="22"/>
        </w:rPr>
        <w:t xml:space="preserve">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as populações incluíram: Belize (n=2), Costa Rica (n=1), Guatemala (n=20), México (n=33), Panamá (n=12) e Estados Unidos (n=15).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as populações consistiram em Argentina (n=7) e Brasil (n=3). Populações com n &lt; 3 foram mantidas para maximizar a cobertura geográfica, mas interpretadas com cautela analítica.</w:t>
      </w:r>
    </w:p>
    <w:p w14:paraId="16EE7F64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2.2. Alinhamento e curadoria</w:t>
      </w:r>
    </w:p>
    <w:p w14:paraId="31B50B8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As sequências foram alinhadas utilizando MAFFT v7.490 (KATOH; STANDLEY, 2013) e inspecionadas manualmente no MEGA-X (KUMAR et al., 2018). A tradução para aminoácidos foi realizada com o código genético mitocondrial de vertebrados para detectar códons de parada prematuros indicativos de pseudogenes nucleares (numts). Sequências com múltiplos stops ou excesso de ambiguidades foram removidas.</w:t>
      </w:r>
    </w:p>
    <w:p w14:paraId="29BB6174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2.3. Análises de diversidade genética</w:t>
      </w:r>
    </w:p>
    <w:p w14:paraId="5FFD0D0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Haplótipos foram identificados colapsando sequências idênticas. Para cada população, calculamos: (i) número de haplótipos (n_hap); (ii) diversidade haplotípica (Hd; NEI, 1987); (iii) diversidade nucleotídica (π; NEI, 1987); (iv) número de sítios segregantes (S); e (v) D de Tajima (TAJIMA, 1989), utilizando scripts em Python (Biopython, scikit-allel). Populações com S = 0 ou n muito baixo retornaram valores indefinidos (NA) para D de Tajima, conforme esperado.</w:t>
      </w:r>
    </w:p>
    <w:p w14:paraId="34B3122D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2.4. Estruturação populacional</w:t>
      </w:r>
    </w:p>
    <w:p w14:paraId="607A2A0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estruturação genética foi avaliada por três abordagens complementares:</w:t>
      </w:r>
    </w:p>
    <w:p w14:paraId="0CB92BD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F_ST de Hudson: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Calculado par-a-par entre populações utilizando a formulação de Hudson et al. (1992), implementada em Python (scikit-allel). Esta métrica é robusta para dados de sequências e tamanhos amostrais desiguais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;</w:t>
      </w:r>
    </w:p>
    <w:p w14:paraId="058FCB35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Φ_ST e AMOVA: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Análise de Variância Molecular (AMOVA; EXCOFFIER et al., 1992) foi executada no R (pacote pegas; PARADIS, 2010) para particionar a variância genética entre e dentro de populações. Φ_ST global e par-a-par foram estimados; pares com n &lt; 2 ou ausência de variação retornaram NA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;</w:t>
      </w:r>
    </w:p>
    <w:p w14:paraId="7DFF0A9B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Redes de haplótipos: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Construídas pelo método de árvore de abrangência mínima (MST) baseado em distâncias de Hamming, implementado em Python (NetworkX). Cada nó representa um haplótipo, dimensionado proporcionalmente à frequência, com cores representando a composição por população.</w:t>
      </w:r>
    </w:p>
    <w:p w14:paraId="61089AF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2.5. Isolamento por distância (IBD)</w:t>
      </w:r>
    </w:p>
    <w:p w14:paraId="0233CEA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(seis populações), testamos a correlação entre distância genética (F_ST) e distância geográfica (km, calculada pela fórmula de Haversine entre centroides populacionais) mediante teste de Mantel (MANTEL, 1967) com 999 permutações, utilizando correlação de Pearson (Python, scipy).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(duas populações), apenas a distância do par único foi reportada.</w:t>
      </w:r>
    </w:p>
    <w:p w14:paraId="6E4F36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40F0D11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2.6. Divergência entre populações</w:t>
      </w:r>
    </w:p>
    <w:p w14:paraId="7F47337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divergência absoluta entre populações foi quantificada por Dxy (número médio de diferenças nucleotídicas por sítio entre populações; NEI, 1987), calculada em Python. Dxy independe da diversidade intrapopulacional, complementando interpretações de F_ST.</w:t>
      </w:r>
    </w:p>
    <w:p w14:paraId="1EE5FD5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037DA89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 Resultados</w:t>
      </w:r>
    </w:p>
    <w:p w14:paraId="3642D1C1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3.1. Diversidade genética</w:t>
      </w:r>
    </w:p>
    <w:p w14:paraId="0EE607B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Identificamos 20 haplótipos a partir de 83 indivíduos. A diversidade haplotípica (Hd) variou amplamente entre populações: Guatemala apresentou Hd = 0 (20 indivíduos, um único haplótipo), enquanto México exibiu a maior diversidade (Hd = 0,86; n_hap = 11). A diversidade nucleotídica (π) foi maior no México (π = 0,0305), seguida por EUA (π = 0,0012), Panamá (π = 0,0006) e Belize (π = 0,0009). Guatemala e Costa Rica (n=1) apresentaram π = 0. O número de sítios segregantes (S) variou de 0 (Guatemala) a 86 (México). O D de Tajima foi próximo de zero na maioria das populações (México: D = 0,002; EUA: D = 0,0003; Panamá: D = -0,002), indicando evolução neutra ou populações em equilíbrio demográfico (Tabela 1).</w:t>
      </w:r>
    </w:p>
    <w:p w14:paraId="430B9EB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Cinco haplótipos foram detectados em 10 indivíduos. Argentina (n=7) apresentou baixa diversidade (Hd = 0,29; π = 0; S = 0), consistindo majoritariamente em um haplótipo dominante. Brasil (n=3) exibiu alta diversidade (Hd = 1,0; π = 0,037; S = 63), com todos os indivíduos portando haplótipos únicos. D de Tajima foi indefinido para ambas as populações devido a S = 0 (Argentina) ou n reduzido (Brasil) (Tabela 1).</w:t>
      </w:r>
    </w:p>
    <w:p w14:paraId="6640435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3.2. Estruturação populacional</w:t>
      </w:r>
    </w:p>
    <w:p w14:paraId="4D715C9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AMOVA revelou estruturação genética significativa (Φ_ST global = 0,891; p &lt; 0,001), com 89% da variância atribuída a diferenças entre populações. Os valores de F_ST de Hudson par-a-par variaram de 0,0005 (México–Guatemala) a 0,0067 (Panamá–EUA), indicando diferenciação genética baixa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(Tabela 2). O Φ_ST par-a-par retornou NA para todos os pares devido à limitação de n &lt; 2 ou ausência de variação em várias populações, conforme esperado para o método pegas/AMOVA com dados de CytB (Tabela S1).</w:t>
      </w:r>
    </w:p>
    <w:p w14:paraId="7E43795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O teste de Mantel não detectou correlação significativa entre F_ST e distância geográfica (r = 0,518; p = 0,246), rejeitando a hipótese de isolamento por distância puro. A análise de Escalonamento Multidimensional (MDS) sobre a matriz de F_ST segregou claramente as populações de Panamá das demais, enquanto México, Guatemala e EUA formaram um agrupamento parcial (Figura 1A). O dendrograma UPGMA confirmou a distinção de Panamá (Figura 1B).</w:t>
      </w:r>
    </w:p>
    <w:p w14:paraId="0EC0670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AMOVA indicou estruturação moderada entre Argentina e Brasil (Φ_ST = 0,675; p = 0,009), com 67% da variância entre populações. O F_ST de Hudson foi baixo (F_ST = 0,0028), consistente com alta diversidade intrapopulacional no Brasil inflando o denominador da estatística. Dxy entre Argentina e Brasil foi 0,036 (41,7 diferenças nucleotídicas médias), indicando divergência absoluta moderada (Tabela 3). O Φ_ST par-a-par retornou NA devido às restrições amostrais (Tabela S1).</w:t>
      </w:r>
    </w:p>
    <w:p w14:paraId="3F74D51C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3.3. Redes de haplótipos</w:t>
      </w:r>
    </w:p>
    <w:p w14:paraId="7E2588F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rede MST indica haplótipos frequentes (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ex, </w:t>
      </w:r>
      <w:r>
        <w:rPr>
          <w:rFonts w:hint="default" w:ascii="Arial" w:hAnsi="Arial" w:cs="Arial"/>
          <w:color w:val="auto"/>
          <w:sz w:val="22"/>
          <w:szCs w:val="22"/>
        </w:rPr>
        <w:t>H4, H1, H18) conectando a derivados raros</w:t>
      </w:r>
      <w:r>
        <w:rPr>
          <w:rFonts w:hint="default" w:ascii="Arial" w:hAnsi="Arial" w:cs="Arial"/>
          <w:color w:val="auto"/>
          <w:sz w:val="22"/>
          <w:szCs w:val="22"/>
        </w:rPr>
        <w:t xml:space="preserve"> (Figura 2A). H4 (Guatemala, n=20) foi o haplótipo mais frequente, enquanto H1 (Panamá, n=11) formou um clado distinto separado por múltiplas mutações. Haplótipos exclusivos foram observados em quase todas as populações: Panamá (H1, H2), Costa Rica (H3), Belize (H5, H6), Guatemala (H4), México (H7–H17) e EUA (H18–H20). </w:t>
      </w:r>
      <w:r>
        <w:rPr>
          <w:rFonts w:hint="default" w:ascii="Arial" w:hAnsi="Arial" w:cs="Arial"/>
          <w:color w:val="auto"/>
          <w:sz w:val="22"/>
          <w:szCs w:val="22"/>
        </w:rPr>
        <w:t>Em N. narica, todos os haplótipos recuperados foram exclusivos das suas populações (nenhum haplótipo compartilhado entre países).</w:t>
      </w:r>
      <w:r>
        <w:rPr>
          <w:rFonts w:hint="default" w:ascii="Arial" w:hAnsi="Arial" w:cs="Arial"/>
          <w:color w:val="auto"/>
          <w:sz w:val="22"/>
          <w:szCs w:val="22"/>
        </w:rPr>
        <w:t xml:space="preserve"> A ausência de compartilhamento haplotípico entre países sugere isolamento histórico ou fluxo gênico limitado (Figura 2A).</w:t>
      </w:r>
    </w:p>
    <w:p w14:paraId="4870B95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A rede de haplótipos mostrou H1 (Argentina, n=6) como haplótipo central, conectado a H2 (Argentina, n=1) por uma mutação. Os três haplótipos do Brasil (H3, H4, H5) formaram ramos periféricos separados de H1 por 8–15 mutações (Figura 2B). Nenhum haplótipo foi compartilhado entre Argentina e Brasil, consistente com estruturação geográfica. A alta divergência dos haplótipos brasileiros sugere linhagens diferenciadas ou amostragem de regiões geográficas distantes.</w:t>
      </w:r>
    </w:p>
    <w:p w14:paraId="7A158D1A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3.4. Divergência entre populações (Dxy)</w:t>
      </w:r>
    </w:p>
    <w:p w14:paraId="2784245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Os valores de Dxy variaram de 0,009 (Belize–Guatemala) a 0,115 (Panamá–EUA; Costa Rica–Panamá), refletindo maior divergência entre populações da América Central (Panamá, Costa Rica) e América do Norte (EUA, México) (Tabela S2). Dxy entre México–Guatemala (0,031) foi moderado, apesar do F_ST baixo, indicando que a alta diversidade intrapopulacional atenua F_ST mas não Dxy.</w:t>
      </w:r>
    </w:p>
    <w:p w14:paraId="3B03FED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Dxy entre Argentina e Brasil foi 0,036, equivalente à divergência de pares geograficamente distantes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(e.g., México–Guatemala), sugerindo diferenciação histórica moderada entre as populações sul-americanas.</w:t>
      </w:r>
    </w:p>
    <w:p w14:paraId="1992A58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AB2F60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 Discussão</w:t>
      </w:r>
    </w:p>
    <w:p w14:paraId="34D0C440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4.1. Diversidade genética e história demográfica</w:t>
      </w:r>
    </w:p>
    <w:p w14:paraId="1B455BD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diversidade genética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variou amplamente entre populações, com México apresentando os maiores valores de Hd (0,86) e π (0,0305), consistente com sua posição geográfica central e maior área de distribuição. A baixa diversidade em Guatemala (Hd = 0; π = 0; n_hap = 1 em 20 indivíduos) é notável e pode refletir efeito fundador, gargalo populacional recente ou viés de amostragem espacial (e.g., coleta em localidade única). O D de Tajima próximo de zero na maioria das populações sugere evolução neutra, sem evidências de expansão demográfica recente (D &lt; 0) ou gargalo (D &gt; 0).</w:t>
      </w:r>
    </w:p>
    <w:p w14:paraId="325688C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 discrepância entre Argentina (Hd = 0,29; π = 0) e Brasil (Hd = 1,0; π = 0,037) é marcante, mas deve ser interpretada com cautela devido ao baixo n (Argentina: 7; Brasil: 3). A alta diversidade no Brasil pode indicar amostragem de linhagens filogeograficamente distintas, hipótese testável com amostragem ampliada. Estudos em outros carnívoros neotropicais (e.g.,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Leopardus</w:t>
      </w:r>
      <w:r>
        <w:rPr>
          <w:rFonts w:hint="default" w:ascii="Arial" w:hAnsi="Arial" w:cs="Arial"/>
          <w:color w:val="auto"/>
          <w:sz w:val="22"/>
          <w:szCs w:val="22"/>
        </w:rPr>
        <w:t xml:space="preserve">,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Eira</w:t>
      </w:r>
      <w:r>
        <w:rPr>
          <w:rFonts w:hint="default" w:ascii="Arial" w:hAnsi="Arial" w:cs="Arial"/>
          <w:color w:val="auto"/>
          <w:sz w:val="22"/>
          <w:szCs w:val="22"/>
        </w:rPr>
        <w:t>) também reportam estruturação filogeográfica na América do Sul associada a refúgios pleistocênicos e barreiras como o rio Paraguai (EIZIRIK et al., 2001; TRIGO et al., 2013).</w:t>
      </w:r>
    </w:p>
    <w:p w14:paraId="774CC72F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4.2. Estruturação populacional e filogeografia</w:t>
      </w:r>
    </w:p>
    <w:p w14:paraId="09E84EA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estruturação genética significativa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(Φ_ST = 0,891; p &lt; 0,001) indica diferenciação pronunciada entre populações, apesar dos valores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baixos </w:t>
      </w:r>
      <w:r>
        <w:rPr>
          <w:rFonts w:hint="default" w:ascii="Arial" w:hAnsi="Arial" w:cs="Arial"/>
          <w:color w:val="auto"/>
          <w:sz w:val="22"/>
          <w:szCs w:val="22"/>
        </w:rPr>
        <w:t>de F_ST par-a-par (0,0005–0,0067). Esta aparente contradição decorre de: (i) Φ_ST ponderar distâncias haplotípicas (considerando o número de mutações), ampliando sinais de divergência histórica; e (ii) F_ST ser sensível à diversidade intrapopulacional alta (México), atenuando diferenças relativas. A interpretação conjunta de ambas as métricas é, portanto, essencial (MEIRMANS; HEDRICK, 2011).</w:t>
      </w:r>
    </w:p>
    <w:p w14:paraId="6E6B42D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ausência de correlação significativa entre F_ST e distância geográfica (Mantel: r = 0,518; p = 0,246) sugere que a estruturação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não segue modelo simples de IBD. Fatores alternativos incluem: (i) barreiras geográficas históricas (e.g., istmo do Panamá, cadeias montanhosas); (ii) colonizações independentes de refúgios pleistocênicos; e (iii) diferenças em capacidade de dispersão entre regiões. A segregação de Panamá nas análises de MDS e UPGMA corrobora a hipótese de isolamento populacional na América Central sul, possivelmente relacionada a eventos de vicariância durante flutuações climáticas quaternárias (WEBB, 2006).</w:t>
      </w:r>
    </w:p>
    <w:p w14:paraId="0214CB1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estruturação moderada (Φ_ST = 0,675; F_ST = 0,0028) entre Argentina e Brasil, combinada à ausência de haplótipos compartilhados, apoia diferenciação histórica entre populações do Cone Sul e regiões mais setentrionais da América do Sul. A distância geográfica entre as amostras (≈2924 km) e potenciais barreiras (e.g., biomas do Chaco, Cerrado) podem ter limitado fluxo gênico. A baixa amostragem impede inferências robustas sobre subdivisões adicionais na espécie.</w:t>
      </w:r>
    </w:p>
    <w:p w14:paraId="427DA6F2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4.3. Redes de haplótipos e eventos históricos</w:t>
      </w:r>
    </w:p>
    <w:p w14:paraId="71A1805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rede de haplótipos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exibiu padrão de "estrela" com haplótipos centrais frequentes (H9, H14, H16–H18) conectados a haplótipos raros periféricos, compatível com expansões demográficas locais após períodos de isolamento (AVISE, 2000). A presença de haplótipos exclusivos por país sugere diferenciação alópatrica histórica, possivelmente mediada por flutuações climáticas pleistocênicas que fragmentaram habitats florestais na Mesoamérica (GRAHAM, 1999).</w:t>
      </w:r>
    </w:p>
    <w:p w14:paraId="3501D8F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 rede revelou H1 (Argentina) como haplótipo ancestral putativo, com H2 derivado por uma mutação, enquanto os haplótipos brasileiros (H3–H5) formaram ramos divergentes. Este padrão sugere diferenciação prévia à colonização da Argentina ou eventos de dispersão independentes. Estudos futuros integrando marcadores nucleares e amostragem densa ao longo da distribuição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(Peru, Bolívia, Brasil central) são necessários para testar hipóteses de refúgios e rotas de dispersão.</w:t>
      </w:r>
    </w:p>
    <w:p w14:paraId="3ECAB5B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4.4. Implicações para conservação</w:t>
      </w:r>
    </w:p>
    <w:p w14:paraId="4B00458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estruturação genética detectada em ambas as espécies ressalta a importância de reconhecer Unidades Evolutivamente Significativas (ESUs) ou Unidades de Manejo (MUs) na conservação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populações de Panamá apresentam diferenciação genética marcada e devem ser priorizadas em planos de manejo devido à sua singularidade evolutiva e potencial vulnerabilidade a fragmentação de habitat.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diferenciação entre Argentina e Brasil, aliada à baixa diversidade em Argentina, indica necessidade de conservação de populações sul-americanas como reservatórios de diversidade genética.</w:t>
      </w:r>
    </w:p>
    <w:p w14:paraId="2C564C3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4.5. Limitações e perspectivas</w:t>
      </w:r>
    </w:p>
    <w:p w14:paraId="2BB72D9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Este estudo apresenta limitações decorrentes de: (i) tamanhos amostrais reduzidos em várias populações (e.g., Costa Rica, Belize, Brasil), limitando poder estatístico e impossibilitando Φ_ST par-a-par; (ii) uso exclusivo de marcador mitocondrial (herança materna), que pode não refletir fluxo gênico mediado por machos; e (iii) ausência de datação molecular para calibrar eventos demográficos. Estudos futuros devem incluir marcadores nucleares (microssatélites, SNPs genômicos), amostragem ampliada em regiões sub-representadas (América Central sul, Brasil, Bolívia) e análises coalescentes (e.g., BEAST, Bayesian Skyline Plots) para reconstruir histórias demográficas detalhadas e testar hipóteses de refúgios pleistocênicos.</w:t>
      </w:r>
    </w:p>
    <w:p w14:paraId="049A7268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BE5DEF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5. Conclusões</w:t>
      </w:r>
    </w:p>
    <w:p w14:paraId="7E6A261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Este estudo fornece a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uma </w:t>
      </w:r>
      <w:r>
        <w:rPr>
          <w:rFonts w:hint="default" w:ascii="Arial" w:hAnsi="Arial" w:cs="Arial"/>
          <w:color w:val="auto"/>
          <w:sz w:val="22"/>
          <w:szCs w:val="22"/>
        </w:rPr>
        <w:t xml:space="preserve">caracterização abrangente da estrutura filogeográfica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com base em sequências de CytB. Detectamos estruturação genética significativa em ambas as espécies, com diferenciação pronunciada entre populações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na Mesoamérica (Φ_ST = 0,891) e moderada entre Argentina e Brasil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(Φ_ST = 0,675). A ausência de isolamento por distância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a presença de haplótipos exclusivos por população sugerem papel de barreiras históricas e eventos de vicariância na moldagem da diversidade genética. A baixa diversidade em algumas populações (e.g., Guatemala, Argentina) destaca vulnerabilidades evolutivas que demandam atenção conservacionista. Estudos futuros integrando marcadores nucleares, amostragem ampliada e análises coalescentes são essenciais para refinar compreensões sobre a história evolutiva do gênero e subsidiar estratégias de conservação.</w:t>
      </w:r>
    </w:p>
    <w:p w14:paraId="64BCC36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9B9F7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3934E8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B44E9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21795D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91585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51680E3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E948FA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3987DB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21A40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D11C947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16DF71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D803F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F34C09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8EEC8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FC315D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CDC86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E399DF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0FAB54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D52AA1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E04DD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F003B1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BC1058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739F91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E9FAE2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3ADA19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D27999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C58074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7CF87AE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86E2E1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1844F3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BE954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2CEC4E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F5F02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82A7A7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C4C298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610821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4F3A52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509728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3055F3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D24D2C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09F8FD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D88E06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FC13F5B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Referências</w:t>
      </w:r>
    </w:p>
    <w:p w14:paraId="26AD649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AVISE, J. C.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Phylogeography: The History and Formation of Species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 Cambridge: Harvard University Press, 2000.</w:t>
      </w:r>
    </w:p>
    <w:p w14:paraId="47FD082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>EIZIRIK, E. et al. Phylogeography, population history and conservation genetics of jaguars (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Panthera onca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, Mammalia, Felidae).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Ecology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10, n. 1, p. 65-79, 2001.</w:t>
      </w:r>
    </w:p>
    <w:p w14:paraId="26053F9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EXCOFFIER, L.; SMOUSE, P. E.; QUATTRO, J. M. Analysis of molecular variance inferred from metric distances among DNA haplotypes: application to human mitochondrial DNA restriction data.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131, n. 2, p. 479-491, 1992.</w:t>
      </w:r>
    </w:p>
    <w:p w14:paraId="7614256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GOMPPER, M. E.; DECKER, D. M. 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Nasua nasua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Mammalian Species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n. 580, p. 1-9, 1998.</w:t>
      </w:r>
    </w:p>
    <w:p w14:paraId="70E8916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GRAHAM, A. Late Cretaceous and Cenozoic history of North American vegetation.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Botanical Review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65, n. 3, p. 235-289, 1999.</w:t>
      </w:r>
    </w:p>
    <w:p w14:paraId="0F947C1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bookmarkStart w:id="0" w:name="_GoBack"/>
      <w:r>
        <w:rPr>
          <w:rFonts w:hint="default" w:ascii="Arial" w:hAnsi="Arial" w:cs="Arial"/>
          <w:color w:val="auto"/>
          <w:sz w:val="22"/>
          <w:szCs w:val="22"/>
          <w:highlight w:val="none"/>
        </w:rPr>
        <w:t>HELGEN</w:t>
      </w:r>
      <w:bookmarkEnd w:id="0"/>
      <w:r>
        <w:rPr>
          <w:rFonts w:hint="default" w:ascii="Arial" w:hAnsi="Arial" w:cs="Arial"/>
          <w:color w:val="auto"/>
          <w:sz w:val="22"/>
          <w:szCs w:val="22"/>
          <w:highlight w:val="none"/>
        </w:rPr>
        <w:t>, K. M. et al. Taxonomic revision of the olingos (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Bassaricyon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), with description of a new species, the Olinguito.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ZooKeys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324, p. 1-83, 20</w:t>
      </w:r>
      <w:r>
        <w:rPr>
          <w:rFonts w:hint="default" w:ascii="Arial" w:hAnsi="Arial" w:cs="Arial"/>
          <w:color w:val="auto"/>
          <w:sz w:val="22"/>
          <w:szCs w:val="22"/>
          <w:highlight w:val="none"/>
          <w:lang w:val="pt-BR"/>
        </w:rPr>
        <w:t>13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</w:t>
      </w:r>
    </w:p>
    <w:p w14:paraId="6EC91B9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KATOH, K.; STANDLEY, D. M. MAFFT multiple sequence alignment software version 7: improvements in performance and usability.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30, n. 4, p. 772-780, 2013.</w:t>
      </w:r>
    </w:p>
    <w:p w14:paraId="4A80152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KOEPFLI, K. P. et al. Phylogeny of the Procyonidae (Mammalia: Carnivora): molecules, morphology and the Great American Interchange.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Phylogenetics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43, n. 3, p. 1076-1095, 2007.</w:t>
      </w:r>
    </w:p>
    <w:p w14:paraId="270C03B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KUMAR, S. et al. MEGA X: molecular evolutionary genetics analysis across computing platforms.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35, n. 6, p. 1547-1549, 2018.</w:t>
      </w:r>
    </w:p>
    <w:p w14:paraId="149D80F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MANTEL, N. The detection of disease clustering and a generalized regression approach.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Cancer Research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27, n. 2, p. 209-220, 1967.</w:t>
      </w:r>
    </w:p>
    <w:p w14:paraId="4817EC7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MEIRMANS, P. G.; HEDRICK, P. W. Assessing population structure: F_ST and related measures.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Ecology Resources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11, n. 1, p. 5-18, 2011.</w:t>
      </w:r>
    </w:p>
    <w:p w14:paraId="1874B09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NEI, M.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Evolutionary 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 New York: Columbia University Press, 1987.</w:t>
      </w:r>
    </w:p>
    <w:p w14:paraId="0F1579E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PARADIS, E. pegas: an R package for population genetics with an integrated-modular approach.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Bioinformatics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26, n. 3, p. 419-420, 2010.</w:t>
      </w:r>
    </w:p>
    <w:p w14:paraId="755C894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SAMPAIO, R. et al. An integrative approach to the taxonomy of the genus 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Nasua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 Storr, 1780 (Carnivora: Procyonidae).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Zoological Journal of the Linnean Society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184, n. 1, p. 1-23, 2018.</w:t>
      </w:r>
    </w:p>
    <w:p w14:paraId="3E32B38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TAJIMA, F. Statistical method for testing the neutral mutation hypothesis by DNA polymorphism.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123, n. 3, p. 585-595, 1989.</w:t>
      </w:r>
    </w:p>
    <w:p w14:paraId="3884B21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TRIGO, T. C. et al. Molecular data reveal complex hybridization and a cryptic species of Neotropical wild cat.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Current Biology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23, n. 24, p. 2528-2533, 2013.</w:t>
      </w:r>
    </w:p>
    <w:p w14:paraId="329C283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WEBB, S. D. The Great American Biotic Interchange: patterns and processes.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Annals of the Missouri Botanical Garden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93, n. 2, p. 245-257, 2006.</w:t>
      </w:r>
    </w:p>
    <w:p w14:paraId="1A8412F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6BACCD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92389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DC5AC1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5C467C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A6CD16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FA378F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B445EB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30B17E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9217FB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48BBD1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C461F3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EF320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D97B43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661C98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E3BFF4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FD4AF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43148C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579C42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AB3981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25743E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15BF31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EAFDCA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D2FFEC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BA7125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581E6C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Tabelas e Figuras</w:t>
      </w:r>
    </w:p>
    <w:p w14:paraId="0003C308">
      <w:pPr>
        <w:rPr>
          <w:rFonts w:hint="default" w:ascii="Arial" w:hAnsi="Arial" w:cs="Arial"/>
          <w:sz w:val="22"/>
          <w:szCs w:val="22"/>
        </w:rPr>
      </w:pPr>
    </w:p>
    <w:p w14:paraId="3B767008">
      <w:pPr>
        <w:rPr>
          <w:rFonts w:hint="default" w:ascii="Arial" w:hAnsi="Arial" w:cs="Arial"/>
          <w:sz w:val="22"/>
          <w:szCs w:val="22"/>
        </w:rPr>
      </w:pPr>
    </w:p>
    <w:p w14:paraId="161B6E8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1.</w:t>
      </w:r>
      <w:r>
        <w:rPr>
          <w:rFonts w:hint="default" w:ascii="Arial" w:hAnsi="Arial" w:cs="Arial"/>
          <w:sz w:val="22"/>
          <w:szCs w:val="22"/>
        </w:rPr>
        <w:t xml:space="preserve"> Índices de diversidade genética por população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sz w:val="22"/>
          <w:szCs w:val="22"/>
        </w:rPr>
        <w:t>N.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73"/>
        <w:gridCol w:w="305"/>
        <w:gridCol w:w="708"/>
        <w:gridCol w:w="489"/>
        <w:gridCol w:w="733"/>
        <w:gridCol w:w="305"/>
        <w:gridCol w:w="992"/>
      </w:tblGrid>
      <w:tr w14:paraId="50AAE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DADB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Espécie</w:t>
            </w:r>
          </w:p>
        </w:tc>
        <w:tc>
          <w:tcPr>
            <w:tcW w:w="0" w:type="auto"/>
            <w:shd w:val="clear"/>
            <w:vAlign w:val="center"/>
          </w:tcPr>
          <w:p w14:paraId="0EB74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População</w:t>
            </w:r>
          </w:p>
        </w:tc>
        <w:tc>
          <w:tcPr>
            <w:tcW w:w="0" w:type="auto"/>
            <w:shd w:val="clear"/>
            <w:vAlign w:val="center"/>
          </w:tcPr>
          <w:p w14:paraId="1A63582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/>
            <w:vAlign w:val="center"/>
          </w:tcPr>
          <w:p w14:paraId="39B8CD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n_hap</w:t>
            </w:r>
          </w:p>
        </w:tc>
        <w:tc>
          <w:tcPr>
            <w:tcW w:w="0" w:type="auto"/>
            <w:shd w:val="clear"/>
            <w:vAlign w:val="center"/>
          </w:tcPr>
          <w:p w14:paraId="026BA4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Hd</w:t>
            </w:r>
          </w:p>
        </w:tc>
        <w:tc>
          <w:tcPr>
            <w:tcW w:w="0" w:type="auto"/>
            <w:shd w:val="clear"/>
            <w:vAlign w:val="center"/>
          </w:tcPr>
          <w:p w14:paraId="3C1385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π</w:t>
            </w:r>
          </w:p>
        </w:tc>
        <w:tc>
          <w:tcPr>
            <w:tcW w:w="0" w:type="auto"/>
            <w:shd w:val="clear"/>
            <w:vAlign w:val="center"/>
          </w:tcPr>
          <w:p w14:paraId="068D8F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/>
            <w:vAlign w:val="center"/>
          </w:tcPr>
          <w:p w14:paraId="5071E2B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 Tajima</w:t>
            </w:r>
          </w:p>
        </w:tc>
      </w:tr>
      <w:tr w14:paraId="61867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59EA7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731E0D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5FB4286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3FB17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144F4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1,00</w:t>
            </w:r>
          </w:p>
        </w:tc>
        <w:tc>
          <w:tcPr>
            <w:tcW w:w="0" w:type="auto"/>
            <w:shd w:val="clear"/>
            <w:vAlign w:val="center"/>
          </w:tcPr>
          <w:p w14:paraId="512113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0,0009</w:t>
            </w:r>
          </w:p>
        </w:tc>
        <w:tc>
          <w:tcPr>
            <w:tcW w:w="0" w:type="auto"/>
            <w:shd w:val="clear"/>
            <w:vAlign w:val="center"/>
          </w:tcPr>
          <w:p w14:paraId="49B431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66EBC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75C7D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73B3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54A8C1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7FDA23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D456D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15703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52911E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33B28D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76F61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0D0C7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3DD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538CCD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6123E7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3BAFF2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C642A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7BF7D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939FA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74343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7D5F7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0F1B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76EDD56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20B4B0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56538D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20D00A0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0,86</w:t>
            </w:r>
          </w:p>
        </w:tc>
        <w:tc>
          <w:tcPr>
            <w:tcW w:w="0" w:type="auto"/>
            <w:shd w:val="clear"/>
            <w:vAlign w:val="center"/>
          </w:tcPr>
          <w:p w14:paraId="447539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0,0305</w:t>
            </w:r>
          </w:p>
        </w:tc>
        <w:tc>
          <w:tcPr>
            <w:tcW w:w="0" w:type="auto"/>
            <w:shd w:val="clear"/>
            <w:vAlign w:val="center"/>
          </w:tcPr>
          <w:p w14:paraId="0F8445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86</w:t>
            </w:r>
          </w:p>
        </w:tc>
        <w:tc>
          <w:tcPr>
            <w:tcW w:w="0" w:type="auto"/>
            <w:shd w:val="clear"/>
            <w:vAlign w:val="center"/>
          </w:tcPr>
          <w:p w14:paraId="27C77C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</w:t>
            </w:r>
          </w:p>
        </w:tc>
      </w:tr>
      <w:tr w14:paraId="3F08F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89DD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0367DB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099002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557C31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240AB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0,17</w:t>
            </w:r>
          </w:p>
        </w:tc>
        <w:tc>
          <w:tcPr>
            <w:tcW w:w="0" w:type="auto"/>
            <w:shd w:val="clear"/>
            <w:vAlign w:val="center"/>
          </w:tcPr>
          <w:p w14:paraId="263C64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/>
            <w:vAlign w:val="center"/>
          </w:tcPr>
          <w:p w14:paraId="0E5990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D32A5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-0,002</w:t>
            </w:r>
          </w:p>
        </w:tc>
      </w:tr>
      <w:tr w14:paraId="57D28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6AEE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200465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477FEE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42EC4A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EA7F96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0,45</w:t>
            </w:r>
          </w:p>
        </w:tc>
        <w:tc>
          <w:tcPr>
            <w:tcW w:w="0" w:type="auto"/>
            <w:shd w:val="clear"/>
            <w:vAlign w:val="center"/>
          </w:tcPr>
          <w:p w14:paraId="14F7789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0,0012</w:t>
            </w:r>
          </w:p>
        </w:tc>
        <w:tc>
          <w:tcPr>
            <w:tcW w:w="0" w:type="auto"/>
            <w:shd w:val="clear"/>
            <w:vAlign w:val="center"/>
          </w:tcPr>
          <w:p w14:paraId="6BB91F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A87B9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0,0003</w:t>
            </w:r>
          </w:p>
        </w:tc>
      </w:tr>
      <w:tr w14:paraId="17B22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1AE0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/>
            <w:vAlign w:val="center"/>
          </w:tcPr>
          <w:p w14:paraId="77D8FF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</w:t>
            </w:r>
          </w:p>
        </w:tc>
        <w:tc>
          <w:tcPr>
            <w:tcW w:w="0" w:type="auto"/>
            <w:shd w:val="clear"/>
            <w:vAlign w:val="center"/>
          </w:tcPr>
          <w:p w14:paraId="4AD2F2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376425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7B1B5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0,29</w:t>
            </w:r>
          </w:p>
        </w:tc>
        <w:tc>
          <w:tcPr>
            <w:tcW w:w="0" w:type="auto"/>
            <w:shd w:val="clear"/>
            <w:vAlign w:val="center"/>
          </w:tcPr>
          <w:p w14:paraId="24B53C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81B15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07D88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099E3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CC1E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/>
            <w:vAlign w:val="center"/>
          </w:tcPr>
          <w:p w14:paraId="3B8B1B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Brasil</w:t>
            </w:r>
          </w:p>
        </w:tc>
        <w:tc>
          <w:tcPr>
            <w:tcW w:w="0" w:type="auto"/>
            <w:shd w:val="clear"/>
            <w:vAlign w:val="center"/>
          </w:tcPr>
          <w:p w14:paraId="470559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85AFEA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0B317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1,00</w:t>
            </w:r>
          </w:p>
        </w:tc>
        <w:tc>
          <w:tcPr>
            <w:tcW w:w="0" w:type="auto"/>
            <w:shd w:val="clear"/>
            <w:vAlign w:val="center"/>
          </w:tcPr>
          <w:p w14:paraId="1DAA5C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</w:t>
            </w:r>
          </w:p>
        </w:tc>
        <w:tc>
          <w:tcPr>
            <w:tcW w:w="0" w:type="auto"/>
            <w:shd w:val="clear"/>
            <w:vAlign w:val="center"/>
          </w:tcPr>
          <w:p w14:paraId="4E6F0F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63</w:t>
            </w:r>
          </w:p>
        </w:tc>
        <w:tc>
          <w:tcPr>
            <w:tcW w:w="0" w:type="auto"/>
            <w:shd w:val="clear"/>
            <w:vAlign w:val="center"/>
          </w:tcPr>
          <w:p w14:paraId="370C7BA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679BB8D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n: tamanho amostral; n_hap: número de haplótipos; Hd:</w:t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diversidade haplotípica; π: diversidade nucleotídica; S: sítios segregantes. (—): valor indefinido.</w:t>
      </w:r>
    </w:p>
    <w:p w14:paraId="6AB405D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6628654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533940E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2.</w:t>
      </w:r>
      <w:r>
        <w:rPr>
          <w:rFonts w:hint="default" w:ascii="Arial" w:hAnsi="Arial" w:cs="Arial"/>
          <w:sz w:val="22"/>
          <w:szCs w:val="22"/>
        </w:rPr>
        <w:t xml:space="preserve"> Matriz de F_ST de Hudson (abaixo da diagonal)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806"/>
        <w:gridCol w:w="1185"/>
        <w:gridCol w:w="733"/>
        <w:gridCol w:w="919"/>
      </w:tblGrid>
      <w:tr w14:paraId="46C3F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9C536F"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2E001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02BDD44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212F6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3A78A2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</w:tr>
      <w:tr w14:paraId="34E80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314A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1F24DC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27220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/>
            <w:vAlign w:val="center"/>
          </w:tcPr>
          <w:p w14:paraId="3C2161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0,0005</w:t>
            </w:r>
          </w:p>
        </w:tc>
        <w:tc>
          <w:tcPr>
            <w:tcW w:w="0" w:type="auto"/>
            <w:shd w:val="clear"/>
            <w:vAlign w:val="center"/>
          </w:tcPr>
          <w:p w14:paraId="07C5D6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0,0057</w:t>
            </w:r>
          </w:p>
        </w:tc>
      </w:tr>
      <w:tr w14:paraId="0887D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0DC0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453812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/>
            <w:vAlign w:val="center"/>
          </w:tcPr>
          <w:p w14:paraId="6C7D34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0A13A4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0,0025</w:t>
            </w:r>
          </w:p>
        </w:tc>
        <w:tc>
          <w:tcPr>
            <w:tcW w:w="0" w:type="auto"/>
            <w:shd w:val="clear"/>
            <w:vAlign w:val="center"/>
          </w:tcPr>
          <w:p w14:paraId="22BAF50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0,0064</w:t>
            </w:r>
          </w:p>
        </w:tc>
      </w:tr>
      <w:tr w14:paraId="1B925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898B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537B90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0,0005</w:t>
            </w:r>
          </w:p>
        </w:tc>
        <w:tc>
          <w:tcPr>
            <w:tcW w:w="0" w:type="auto"/>
            <w:shd w:val="clear"/>
            <w:vAlign w:val="center"/>
          </w:tcPr>
          <w:p w14:paraId="712278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0,0025</w:t>
            </w:r>
          </w:p>
        </w:tc>
        <w:tc>
          <w:tcPr>
            <w:tcW w:w="0" w:type="auto"/>
            <w:shd w:val="clear"/>
            <w:vAlign w:val="center"/>
          </w:tcPr>
          <w:p w14:paraId="093144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34B0D5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0,0067</w:t>
            </w:r>
          </w:p>
        </w:tc>
      </w:tr>
      <w:tr w14:paraId="32AD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76FF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52BB8F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0,0057</w:t>
            </w:r>
          </w:p>
        </w:tc>
        <w:tc>
          <w:tcPr>
            <w:tcW w:w="0" w:type="auto"/>
            <w:shd w:val="clear"/>
            <w:vAlign w:val="center"/>
          </w:tcPr>
          <w:p w14:paraId="6342FA1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0,0064</w:t>
            </w:r>
          </w:p>
        </w:tc>
        <w:tc>
          <w:tcPr>
            <w:tcW w:w="0" w:type="auto"/>
            <w:shd w:val="clear"/>
            <w:vAlign w:val="center"/>
          </w:tcPr>
          <w:p w14:paraId="1D33716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0,0067</w:t>
            </w:r>
          </w:p>
        </w:tc>
        <w:tc>
          <w:tcPr>
            <w:tcW w:w="0" w:type="auto"/>
            <w:shd w:val="clear"/>
            <w:vAlign w:val="center"/>
          </w:tcPr>
          <w:p w14:paraId="1229C9B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08BFE73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Nota: Belize e Costa Rica excluídas devido a n &lt; 3.</w:t>
      </w:r>
    </w:p>
    <w:p w14:paraId="054CB10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5E0F4BA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22DDBC3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3.</w:t>
      </w:r>
      <w:r>
        <w:rPr>
          <w:rFonts w:hint="default" w:ascii="Arial" w:hAnsi="Arial" w:cs="Arial"/>
          <w:sz w:val="22"/>
          <w:szCs w:val="22"/>
        </w:rPr>
        <w:t xml:space="preserve"> Estatísticas de estruturação e divergência para </w:t>
      </w:r>
      <w:r>
        <w:rPr>
          <w:rStyle w:val="10"/>
          <w:rFonts w:hint="default" w:ascii="Arial" w:hAnsi="Arial" w:cs="Arial"/>
          <w:sz w:val="22"/>
          <w:szCs w:val="22"/>
        </w:rPr>
        <w:t>Nasua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733"/>
        <w:gridCol w:w="645"/>
        <w:gridCol w:w="611"/>
        <w:gridCol w:w="1579"/>
      </w:tblGrid>
      <w:tr w14:paraId="6A4DC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84CF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Par</w:t>
            </w:r>
          </w:p>
        </w:tc>
        <w:tc>
          <w:tcPr>
            <w:tcW w:w="0" w:type="auto"/>
            <w:shd w:val="clear"/>
            <w:vAlign w:val="center"/>
          </w:tcPr>
          <w:p w14:paraId="554DA2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F_ST</w:t>
            </w:r>
          </w:p>
        </w:tc>
        <w:tc>
          <w:tcPr>
            <w:tcW w:w="0" w:type="auto"/>
            <w:shd w:val="clear"/>
            <w:vAlign w:val="center"/>
          </w:tcPr>
          <w:p w14:paraId="52420B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Φ_ST</w:t>
            </w:r>
          </w:p>
        </w:tc>
        <w:tc>
          <w:tcPr>
            <w:tcW w:w="0" w:type="auto"/>
            <w:shd w:val="clear"/>
            <w:vAlign w:val="center"/>
          </w:tcPr>
          <w:p w14:paraId="7D88CF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Dxy</w:t>
            </w:r>
          </w:p>
        </w:tc>
        <w:tc>
          <w:tcPr>
            <w:tcW w:w="0" w:type="auto"/>
            <w:shd w:val="clear"/>
            <w:vAlign w:val="center"/>
          </w:tcPr>
          <w:p w14:paraId="2F89EA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Distância (km)</w:t>
            </w:r>
          </w:p>
        </w:tc>
      </w:tr>
      <w:tr w14:paraId="2B229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0840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Argentina–Brasil</w:t>
            </w:r>
          </w:p>
        </w:tc>
        <w:tc>
          <w:tcPr>
            <w:tcW w:w="0" w:type="auto"/>
            <w:shd w:val="clear"/>
            <w:vAlign w:val="center"/>
          </w:tcPr>
          <w:p w14:paraId="27CEA33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0,0028</w:t>
            </w:r>
          </w:p>
        </w:tc>
        <w:tc>
          <w:tcPr>
            <w:tcW w:w="0" w:type="auto"/>
            <w:shd w:val="clear"/>
            <w:vAlign w:val="center"/>
          </w:tcPr>
          <w:p w14:paraId="6AF7E8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140CF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0,036</w:t>
            </w:r>
          </w:p>
        </w:tc>
        <w:tc>
          <w:tcPr>
            <w:tcW w:w="0" w:type="auto"/>
            <w:shd w:val="clear"/>
            <w:vAlign w:val="center"/>
          </w:tcPr>
          <w:p w14:paraId="5468FA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2924</w:t>
            </w:r>
          </w:p>
        </w:tc>
      </w:tr>
    </w:tbl>
    <w:p w14:paraId="4460DE8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91D5B0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1D816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1B9560A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Figura 1.</w:t>
      </w:r>
      <w:r>
        <w:rPr>
          <w:rFonts w:hint="default" w:ascii="Arial" w:hAnsi="Arial" w:cs="Arial"/>
          <w:sz w:val="22"/>
          <w:szCs w:val="22"/>
        </w:rPr>
        <w:t xml:space="preserve"> Análises de estruturação populacional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 (A) Escalonamento Multidimensional (MDS) baseado em F_ST; (B) Dendrograma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UPGMA</w:t>
      </w:r>
      <w:r>
        <w:rPr>
          <w:rFonts w:hint="default" w:ascii="Arial" w:hAnsi="Arial" w:cs="Arial"/>
          <w:sz w:val="22"/>
          <w:szCs w:val="22"/>
          <w:lang w:val="pt-BR"/>
        </w:rPr>
        <w:t xml:space="preserve"> (Costa Rica foi omitido)</w:t>
      </w:r>
      <w:r>
        <w:rPr>
          <w:rFonts w:hint="default" w:ascii="Arial" w:hAnsi="Arial" w:cs="Arial"/>
          <w:sz w:val="22"/>
          <w:szCs w:val="22"/>
        </w:rPr>
        <w:t>.</w:t>
      </w:r>
      <w:r>
        <w:drawing>
          <wp:inline distT="0" distB="0" distL="114300" distR="114300">
            <wp:extent cx="6185535" cy="2856865"/>
            <wp:effectExtent l="0" t="0" r="1905" b="8255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F6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7FDA5C8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FC0F6D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7EC364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0EF171A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166B8D2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2EBAAB1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6226B74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CF998B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135836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927718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B0E4FA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17A4C9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9351BA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E974BE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77CA31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Figura 2.</w:t>
      </w:r>
      <w:r>
        <w:rPr>
          <w:rFonts w:hint="default" w:ascii="Arial" w:hAnsi="Arial" w:cs="Arial"/>
          <w:sz w:val="22"/>
          <w:szCs w:val="22"/>
        </w:rPr>
        <w:t xml:space="preserve"> Redes de haplótipos (MST) baseadas em distâncias de Hamming. (A)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(20 haplótipos); (B) </w:t>
      </w:r>
      <w:r>
        <w:rPr>
          <w:rStyle w:val="10"/>
          <w:rFonts w:hint="default" w:ascii="Arial" w:hAnsi="Arial" w:cs="Arial"/>
          <w:sz w:val="22"/>
          <w:szCs w:val="22"/>
        </w:rPr>
        <w:t>Nasua nasua</w:t>
      </w:r>
      <w:r>
        <w:rPr>
          <w:rFonts w:hint="default" w:ascii="Arial" w:hAnsi="Arial" w:cs="Arial"/>
          <w:sz w:val="22"/>
          <w:szCs w:val="22"/>
        </w:rPr>
        <w:t xml:space="preserve"> (5 haplótipos). Tamanho dos nós proporcional à frequência haplotípica; cores representam populações.</w:t>
      </w:r>
    </w:p>
    <w:p w14:paraId="2D91A90D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4593590" cy="7907655"/>
            <wp:effectExtent l="0" t="0" r="8890" b="1905"/>
            <wp:docPr id="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66E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Material Suplementar</w:t>
      </w:r>
    </w:p>
    <w:p w14:paraId="786B52F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Style w:val="7"/>
          <w:rFonts w:hint="default" w:ascii="Arial" w:hAnsi="Arial" w:cs="Arial"/>
          <w:sz w:val="22"/>
          <w:szCs w:val="22"/>
        </w:rPr>
        <w:t>Tabela S1.</w:t>
      </w:r>
      <w:r>
        <w:rPr>
          <w:rFonts w:hint="default" w:ascii="Arial" w:hAnsi="Arial" w:cs="Arial"/>
          <w:sz w:val="22"/>
          <w:szCs w:val="22"/>
        </w:rPr>
        <w:t xml:space="preserve"> Valores de Φ_ST par-a-par (AMOVA)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sz w:val="22"/>
          <w:szCs w:val="22"/>
        </w:rPr>
        <w:t>N.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37"/>
        <w:gridCol w:w="1137"/>
        <w:gridCol w:w="645"/>
        <w:gridCol w:w="317"/>
        <w:gridCol w:w="317"/>
        <w:gridCol w:w="3053"/>
      </w:tblGrid>
      <w:tr w14:paraId="34DB1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2B4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Espécie</w:t>
            </w:r>
          </w:p>
        </w:tc>
        <w:tc>
          <w:tcPr>
            <w:tcW w:w="0" w:type="auto"/>
            <w:shd w:val="clear"/>
            <w:vAlign w:val="center"/>
          </w:tcPr>
          <w:p w14:paraId="1168B0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Pop1</w:t>
            </w:r>
          </w:p>
        </w:tc>
        <w:tc>
          <w:tcPr>
            <w:tcW w:w="0" w:type="auto"/>
            <w:shd w:val="clear"/>
            <w:vAlign w:val="center"/>
          </w:tcPr>
          <w:p w14:paraId="2010FF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Pop2</w:t>
            </w:r>
          </w:p>
        </w:tc>
        <w:tc>
          <w:tcPr>
            <w:tcW w:w="0" w:type="auto"/>
            <w:shd w:val="clear"/>
            <w:vAlign w:val="center"/>
          </w:tcPr>
          <w:p w14:paraId="03737FC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Φ_ST</w:t>
            </w:r>
          </w:p>
        </w:tc>
        <w:tc>
          <w:tcPr>
            <w:tcW w:w="0" w:type="auto"/>
            <w:shd w:val="clear"/>
            <w:vAlign w:val="center"/>
          </w:tcPr>
          <w:p w14:paraId="50DE4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n1</w:t>
            </w:r>
          </w:p>
        </w:tc>
        <w:tc>
          <w:tcPr>
            <w:tcW w:w="0" w:type="auto"/>
            <w:shd w:val="clear"/>
            <w:vAlign w:val="center"/>
          </w:tcPr>
          <w:p w14:paraId="64A8A0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n2</w:t>
            </w:r>
          </w:p>
        </w:tc>
        <w:tc>
          <w:tcPr>
            <w:tcW w:w="0" w:type="auto"/>
            <w:shd w:val="clear"/>
            <w:vAlign w:val="center"/>
          </w:tcPr>
          <w:p w14:paraId="43A6C2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Observação</w:t>
            </w:r>
          </w:p>
        </w:tc>
      </w:tr>
      <w:tr w14:paraId="24AE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FDA9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649D2E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3275AE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38D684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5C2861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B233B9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D6525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2 em pelo menos uma pop</w:t>
            </w:r>
          </w:p>
        </w:tc>
      </w:tr>
      <w:tr w14:paraId="78AB7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96DD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29EFDB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63A6F8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00024FC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7D8731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67F11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723043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5B3A9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53D6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4B707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00B6B0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1947C33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61138D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BD542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5BA9FAC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195CB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EEDC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3FA335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5164F6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7884E5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04293D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FEAD5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357D1E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1D28B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D6A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60791D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7C4806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590D89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2A24A8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FEE44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54F428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576B0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B7CE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0D58C5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17096B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73292E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46CDB7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FFFEF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4B0DAE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41E3D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997E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6276683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72C7DAC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18037D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5A95E9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9DB31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453D588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47A81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5505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4638D4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61B77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6E74D9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3F0FF4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AC289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27FB70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53E63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72E5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562D25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50C292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33081E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6FAB54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4E04B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2222620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3CE60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3FD62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3D6AB6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78E2AD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4FEFA0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4E2132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62BDB33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55357B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05BE4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87A5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182F5ED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2168C0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44450E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6FAEA6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706CA7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2B7CAD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346D6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A85E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0C9A5F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41750D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09B1B1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3D9944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732C25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547B92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6ED5E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E28B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7D31E5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29AC87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0A66EF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542540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5A9595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31F0FF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1168E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634A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3724955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2807A23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227706B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177F64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22B361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1A2353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5D555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5429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/>
            <w:vAlign w:val="center"/>
          </w:tcPr>
          <w:p w14:paraId="6D77BEC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6F2907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264F00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3D98F4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7D6A34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6B88C9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46AB8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7B26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/>
            <w:vAlign w:val="center"/>
          </w:tcPr>
          <w:p w14:paraId="077446B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</w:t>
            </w:r>
          </w:p>
        </w:tc>
        <w:tc>
          <w:tcPr>
            <w:tcW w:w="0" w:type="auto"/>
            <w:shd w:val="clear"/>
            <w:vAlign w:val="center"/>
          </w:tcPr>
          <w:p w14:paraId="522D25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Brasil</w:t>
            </w:r>
          </w:p>
        </w:tc>
        <w:tc>
          <w:tcPr>
            <w:tcW w:w="0" w:type="auto"/>
            <w:shd w:val="clear"/>
            <w:vAlign w:val="center"/>
          </w:tcPr>
          <w:p w14:paraId="47E30B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/>
            <w:vAlign w:val="center"/>
          </w:tcPr>
          <w:p w14:paraId="2208CC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215181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A6D69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Argentina</w:t>
            </w:r>
          </w:p>
        </w:tc>
      </w:tr>
    </w:tbl>
    <w:p w14:paraId="3CA522C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Nota:</w:t>
      </w:r>
      <w:r>
        <w:rPr>
          <w:rFonts w:hint="default" w:ascii="Arial" w:hAnsi="Arial" w:cs="Arial"/>
          <w:sz w:val="22"/>
          <w:szCs w:val="22"/>
        </w:rPr>
        <w:t xml:space="preserve"> NA indica que o cálculo de Φ_ST par-a-par não foi possível devido a: (i) tamanho amostral &lt; 2 em pelo menos uma população; (ii) ausência de variação intrapopulacional (S = 0); ou (iii) limitações do algoritmo AMOVA implementado no pacote pegas quando aplicado a dados de sequências com estrutura complexa. Estas limitações são esperadas e documentadas na literatura (Paradis, 2010). Para fins de inferência de estruturação, recomenda-se o uso conjunto de F_ST de Hudson (mais robusto para sequências) e Φ_ST global.</w:t>
      </w:r>
    </w:p>
    <w:p w14:paraId="11ABC8D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78C23F9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S2.</w:t>
      </w:r>
      <w:r>
        <w:rPr>
          <w:rFonts w:hint="default" w:ascii="Arial" w:hAnsi="Arial" w:cs="Arial"/>
          <w:sz w:val="22"/>
          <w:szCs w:val="22"/>
        </w:rPr>
        <w:t xml:space="preserve"> Matriz completa de divergência nucleotídica absoluta (Dxy)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3"/>
        <w:gridCol w:w="733"/>
        <w:gridCol w:w="1198"/>
        <w:gridCol w:w="1185"/>
        <w:gridCol w:w="806"/>
        <w:gridCol w:w="904"/>
        <w:gridCol w:w="748"/>
      </w:tblGrid>
      <w:tr w14:paraId="09FED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D85A84"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5F1E44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75697E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336796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1F48660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34147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1E8899D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</w:tr>
      <w:tr w14:paraId="021F9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182A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/>
            <w:vAlign w:val="center"/>
          </w:tcPr>
          <w:p w14:paraId="36E2C2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1730FA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0,0203</w:t>
            </w:r>
          </w:p>
        </w:tc>
        <w:tc>
          <w:tcPr>
            <w:tcW w:w="0" w:type="auto"/>
            <w:shd w:val="clear"/>
            <w:vAlign w:val="center"/>
          </w:tcPr>
          <w:p w14:paraId="15AE9F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0,0091</w:t>
            </w:r>
          </w:p>
        </w:tc>
        <w:tc>
          <w:tcPr>
            <w:tcW w:w="0" w:type="auto"/>
            <w:shd w:val="clear"/>
            <w:vAlign w:val="center"/>
          </w:tcPr>
          <w:p w14:paraId="6F1D1C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0,0282</w:t>
            </w:r>
          </w:p>
        </w:tc>
        <w:tc>
          <w:tcPr>
            <w:tcW w:w="0" w:type="auto"/>
            <w:shd w:val="clear"/>
            <w:vAlign w:val="center"/>
          </w:tcPr>
          <w:p w14:paraId="68F261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0,1065</w:t>
            </w:r>
          </w:p>
        </w:tc>
        <w:tc>
          <w:tcPr>
            <w:tcW w:w="0" w:type="auto"/>
            <w:shd w:val="clear"/>
            <w:vAlign w:val="center"/>
          </w:tcPr>
          <w:p w14:paraId="61CCB5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0,0466</w:t>
            </w:r>
          </w:p>
        </w:tc>
      </w:tr>
      <w:tr w14:paraId="0AF6B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ACCE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/>
            <w:vAlign w:val="center"/>
          </w:tcPr>
          <w:p w14:paraId="5546F6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0,0203</w:t>
            </w:r>
          </w:p>
        </w:tc>
        <w:tc>
          <w:tcPr>
            <w:tcW w:w="0" w:type="auto"/>
            <w:shd w:val="clear"/>
            <w:vAlign w:val="center"/>
          </w:tcPr>
          <w:p w14:paraId="0501F0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0BBE17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0,0233</w:t>
            </w:r>
          </w:p>
        </w:tc>
        <w:tc>
          <w:tcPr>
            <w:tcW w:w="0" w:type="auto"/>
            <w:shd w:val="clear"/>
            <w:vAlign w:val="center"/>
          </w:tcPr>
          <w:p w14:paraId="2CEA84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0,0370</w:t>
            </w:r>
          </w:p>
        </w:tc>
        <w:tc>
          <w:tcPr>
            <w:tcW w:w="0" w:type="auto"/>
            <w:shd w:val="clear"/>
            <w:vAlign w:val="center"/>
          </w:tcPr>
          <w:p w14:paraId="7C58AE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0,1130</w:t>
            </w:r>
          </w:p>
        </w:tc>
        <w:tc>
          <w:tcPr>
            <w:tcW w:w="0" w:type="auto"/>
            <w:shd w:val="clear"/>
            <w:vAlign w:val="center"/>
          </w:tcPr>
          <w:p w14:paraId="52A599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0,0505</w:t>
            </w:r>
          </w:p>
        </w:tc>
      </w:tr>
      <w:tr w14:paraId="772CA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674D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/>
            <w:vAlign w:val="center"/>
          </w:tcPr>
          <w:p w14:paraId="1BCAD9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0,0091</w:t>
            </w:r>
          </w:p>
        </w:tc>
        <w:tc>
          <w:tcPr>
            <w:tcW w:w="0" w:type="auto"/>
            <w:shd w:val="clear"/>
            <w:vAlign w:val="center"/>
          </w:tcPr>
          <w:p w14:paraId="6D34A69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0,0233</w:t>
            </w:r>
          </w:p>
        </w:tc>
        <w:tc>
          <w:tcPr>
            <w:tcW w:w="0" w:type="auto"/>
            <w:shd w:val="clear"/>
            <w:vAlign w:val="center"/>
          </w:tcPr>
          <w:p w14:paraId="7D5FD02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757BE5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0,0312</w:t>
            </w:r>
          </w:p>
        </w:tc>
        <w:tc>
          <w:tcPr>
            <w:tcW w:w="0" w:type="auto"/>
            <w:shd w:val="clear"/>
            <w:vAlign w:val="center"/>
          </w:tcPr>
          <w:p w14:paraId="40E2D8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0,1061</w:t>
            </w:r>
          </w:p>
        </w:tc>
        <w:tc>
          <w:tcPr>
            <w:tcW w:w="0" w:type="auto"/>
            <w:shd w:val="clear"/>
            <w:vAlign w:val="center"/>
          </w:tcPr>
          <w:p w14:paraId="54F6373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0,0496</w:t>
            </w:r>
          </w:p>
        </w:tc>
      </w:tr>
      <w:tr w14:paraId="2B330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B3CD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/>
            <w:vAlign w:val="center"/>
          </w:tcPr>
          <w:p w14:paraId="50A66B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0,0282</w:t>
            </w:r>
          </w:p>
        </w:tc>
        <w:tc>
          <w:tcPr>
            <w:tcW w:w="0" w:type="auto"/>
            <w:shd w:val="clear"/>
            <w:vAlign w:val="center"/>
          </w:tcPr>
          <w:p w14:paraId="1337BC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0,0370</w:t>
            </w:r>
          </w:p>
        </w:tc>
        <w:tc>
          <w:tcPr>
            <w:tcW w:w="0" w:type="auto"/>
            <w:shd w:val="clear"/>
            <w:vAlign w:val="center"/>
          </w:tcPr>
          <w:p w14:paraId="25FE08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0,0312</w:t>
            </w:r>
          </w:p>
        </w:tc>
        <w:tc>
          <w:tcPr>
            <w:tcW w:w="0" w:type="auto"/>
            <w:shd w:val="clear"/>
            <w:vAlign w:val="center"/>
          </w:tcPr>
          <w:p w14:paraId="1DB286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36E2FF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0,1111</w:t>
            </w:r>
          </w:p>
        </w:tc>
        <w:tc>
          <w:tcPr>
            <w:tcW w:w="0" w:type="auto"/>
            <w:shd w:val="clear"/>
            <w:vAlign w:val="center"/>
          </w:tcPr>
          <w:p w14:paraId="1CCA8C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0,0314</w:t>
            </w:r>
          </w:p>
        </w:tc>
      </w:tr>
      <w:tr w14:paraId="018E7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330D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/>
            <w:vAlign w:val="center"/>
          </w:tcPr>
          <w:p w14:paraId="50BC0A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0,1065</w:t>
            </w:r>
          </w:p>
        </w:tc>
        <w:tc>
          <w:tcPr>
            <w:tcW w:w="0" w:type="auto"/>
            <w:shd w:val="clear"/>
            <w:vAlign w:val="center"/>
          </w:tcPr>
          <w:p w14:paraId="639DD6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0,1130</w:t>
            </w:r>
          </w:p>
        </w:tc>
        <w:tc>
          <w:tcPr>
            <w:tcW w:w="0" w:type="auto"/>
            <w:shd w:val="clear"/>
            <w:vAlign w:val="center"/>
          </w:tcPr>
          <w:p w14:paraId="01361D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0,1061</w:t>
            </w:r>
          </w:p>
        </w:tc>
        <w:tc>
          <w:tcPr>
            <w:tcW w:w="0" w:type="auto"/>
            <w:shd w:val="clear"/>
            <w:vAlign w:val="center"/>
          </w:tcPr>
          <w:p w14:paraId="1D5D14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0,1111</w:t>
            </w:r>
          </w:p>
        </w:tc>
        <w:tc>
          <w:tcPr>
            <w:tcW w:w="0" w:type="auto"/>
            <w:shd w:val="clear"/>
            <w:vAlign w:val="center"/>
          </w:tcPr>
          <w:p w14:paraId="748AB9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346EF30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0,1148</w:t>
            </w:r>
          </w:p>
        </w:tc>
      </w:tr>
      <w:tr w14:paraId="6A7DD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B58F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/>
            <w:vAlign w:val="center"/>
          </w:tcPr>
          <w:p w14:paraId="245793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0,0466</w:t>
            </w:r>
          </w:p>
        </w:tc>
        <w:tc>
          <w:tcPr>
            <w:tcW w:w="0" w:type="auto"/>
            <w:shd w:val="clear"/>
            <w:vAlign w:val="center"/>
          </w:tcPr>
          <w:p w14:paraId="3AC3EA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0,0505</w:t>
            </w:r>
          </w:p>
        </w:tc>
        <w:tc>
          <w:tcPr>
            <w:tcW w:w="0" w:type="auto"/>
            <w:shd w:val="clear"/>
            <w:vAlign w:val="center"/>
          </w:tcPr>
          <w:p w14:paraId="50D699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0,0496</w:t>
            </w:r>
          </w:p>
        </w:tc>
        <w:tc>
          <w:tcPr>
            <w:tcW w:w="0" w:type="auto"/>
            <w:shd w:val="clear"/>
            <w:vAlign w:val="center"/>
          </w:tcPr>
          <w:p w14:paraId="639F72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0,0314</w:t>
            </w:r>
          </w:p>
        </w:tc>
        <w:tc>
          <w:tcPr>
            <w:tcW w:w="0" w:type="auto"/>
            <w:shd w:val="clear"/>
            <w:vAlign w:val="center"/>
          </w:tcPr>
          <w:p w14:paraId="75FC10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0,1148</w:t>
            </w:r>
          </w:p>
        </w:tc>
        <w:tc>
          <w:tcPr>
            <w:tcW w:w="0" w:type="auto"/>
            <w:shd w:val="clear"/>
            <w:vAlign w:val="center"/>
          </w:tcPr>
          <w:p w14:paraId="404D937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6357637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  <w:lang w:val="pt-BR"/>
        </w:rPr>
        <w:t>Nota</w:t>
      </w:r>
      <w:r>
        <w:rPr>
          <w:rStyle w:val="7"/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</w:rPr>
        <w:t xml:space="preserve"> Valores de Dxy representam o número médio de diferenças nucleotídicas por sítio entre pares de populações, independentemente da diversidade intrapopulacional. Valores elevados (&gt; 0,10) entre Panamá e todas as demais populações indicam divergência histórica profunda, consistente com o isolamento desta população na América Central sul. A menor divergência ocorre entre populações geograficamente próximas (Belize–Guatemala: Dxy = 0,0091), embora a correlação geral com distância geográfica seja fraca (ver teste de Mantel </w:t>
      </w:r>
      <w:r>
        <w:rPr>
          <w:rFonts w:hint="default" w:ascii="Arial" w:hAnsi="Arial" w:cs="Arial"/>
          <w:sz w:val="22"/>
          <w:szCs w:val="22"/>
          <w:lang w:val="pt-BR"/>
        </w:rPr>
        <w:t>na Figura S1</w:t>
      </w:r>
      <w:r>
        <w:rPr>
          <w:rFonts w:hint="default" w:ascii="Arial" w:hAnsi="Arial" w:cs="Arial"/>
          <w:sz w:val="22"/>
          <w:szCs w:val="22"/>
        </w:rPr>
        <w:t>).</w:t>
      </w:r>
    </w:p>
    <w:p w14:paraId="6554B20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 xml:space="preserve">Figura </w:t>
      </w:r>
      <w:r>
        <w:rPr>
          <w:rStyle w:val="7"/>
          <w:rFonts w:hint="default" w:ascii="Arial" w:hAnsi="Arial" w:cs="Arial"/>
          <w:sz w:val="22"/>
          <w:szCs w:val="22"/>
          <w:lang w:val="pt-BR"/>
        </w:rPr>
        <w:t>S</w:t>
      </w:r>
      <w:r>
        <w:rPr>
          <w:rStyle w:val="7"/>
          <w:rFonts w:hint="default" w:ascii="Arial" w:hAnsi="Arial" w:cs="Arial"/>
          <w:sz w:val="22"/>
          <w:szCs w:val="22"/>
        </w:rPr>
        <w:t>1.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pt-BR"/>
        </w:rPr>
        <w:t>C</w:t>
      </w:r>
      <w:r>
        <w:rPr>
          <w:rFonts w:hint="default" w:ascii="Arial" w:hAnsi="Arial" w:cs="Arial"/>
          <w:sz w:val="22"/>
          <w:szCs w:val="22"/>
        </w:rPr>
        <w:t>orrelação entre distância genética (F_ST) e distância geográfica (km</w:t>
      </w:r>
      <w:r>
        <w:rPr>
          <w:rFonts w:hint="default" w:ascii="Arial" w:hAnsi="Arial" w:cs="Arial"/>
          <w:sz w:val="22"/>
          <w:szCs w:val="22"/>
          <w:lang w:val="pt-BR"/>
        </w:rPr>
        <w:t xml:space="preserve">) com teste de Mantel para </w:t>
      </w:r>
      <w:r>
        <w:rPr>
          <w:rFonts w:hint="default" w:ascii="Arial" w:hAnsi="Arial" w:cs="Arial"/>
          <w:i/>
          <w:iCs/>
          <w:sz w:val="22"/>
          <w:szCs w:val="22"/>
          <w:lang w:val="pt-BR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p w14:paraId="17D0342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5335" cy="3527425"/>
            <wp:effectExtent l="0" t="0" r="1905" b="8255"/>
            <wp:docPr id="7" name="Imagem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7FF37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ascii="SimSun" w:hAnsi="SimSun" w:eastAsia="SimSun" w:cs="SimSun"/>
          <w:sz w:val="24"/>
          <w:szCs w:val="24"/>
        </w:rPr>
      </w:pPr>
    </w:p>
    <w:p w14:paraId="4388317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01C0222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Declaração de Disponibilidade de Dados</w:t>
      </w:r>
    </w:p>
    <w:p w14:paraId="2403394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sequências de CytB utilizadas neste estudo estão disponíveis publicamente no GenBank (NCBI) sob os números de acesso listados no arquivo de metadados (</w:t>
      </w:r>
      <w:r>
        <w:rPr>
          <w:rStyle w:val="9"/>
          <w:rFonts w:hint="default" w:ascii="Arial" w:hAnsi="Arial" w:cs="Arial"/>
          <w:sz w:val="22"/>
          <w:szCs w:val="22"/>
        </w:rPr>
        <w:t>Nasua_CYTB_metadata_com_localizacao.csv</w:t>
      </w:r>
      <w:r>
        <w:rPr>
          <w:rFonts w:hint="default" w:ascii="Arial" w:hAnsi="Arial" w:cs="Arial"/>
          <w:sz w:val="22"/>
          <w:szCs w:val="22"/>
        </w:rPr>
        <w:t>). Scripts de análise (Python e R), arquivos de configuração e dados processados estão disponíveis em repositório GitHub (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instrText xml:space="preserve"> HYPERLINK "https://github.com/ahcm088/nasua_filogeo"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https://github.com/ahcm088/nasua_filogeo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</w:rPr>
        <w:t>) ou mediante solicitação aos autores correspondentes.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C9954"/>
    <w:multiLevelType w:val="singleLevel"/>
    <w:tmpl w:val="2FDC99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93E21"/>
    <w:rsid w:val="16F47617"/>
    <w:rsid w:val="23170888"/>
    <w:rsid w:val="25293E21"/>
    <w:rsid w:val="2D370BF8"/>
    <w:rsid w:val="31DE4CF4"/>
    <w:rsid w:val="3C581019"/>
    <w:rsid w:val="3C860462"/>
    <w:rsid w:val="3DFF7046"/>
    <w:rsid w:val="543F0EC5"/>
    <w:rsid w:val="56CE6578"/>
    <w:rsid w:val="5D7F2FAC"/>
    <w:rsid w:val="5E9D2CA0"/>
    <w:rsid w:val="60FA08BC"/>
    <w:rsid w:val="7050574B"/>
    <w:rsid w:val="7D2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Emphasis"/>
    <w:basedOn w:val="5"/>
    <w:qFormat/>
    <w:uiPriority w:val="0"/>
    <w:rPr>
      <w:i/>
      <w:iCs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basedOn w:val="1"/>
    <w:uiPriority w:val="0"/>
    <w:rPr>
      <w:szCs w:val="24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2025-10-24T02:43:00Z</dcterms:created>
  <dc:creator>Alexandre Marques</dc:creator>
  <cp:lastModifiedBy>Alexandre Marques</cp:lastModifiedBy>
  <dcterms:modified xsi:type="dcterms:W3CDTF">2025-10-24T04:58:27Z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06D255C8B89B4499867E5CB12F3D0AFD_11</vt:lpwstr>
  </property>
</Properties>
</file>