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b/>
          <w:sz w:val="28"/>
        </w:rPr>
        <w:t>State Differences in Light-Duty Vehicle Net Survival Rates</w:t>
      </w:r>
    </w:p>
    <w:p>
      <w:pPr>
        <w:spacing w:line="240" w:lineRule="auto"/>
        <w:jc w:val="center"/>
      </w:pPr>
      <w:r>
        <w:rPr>
          <w:rFonts w:ascii="Times New Roman" w:hAnsi="Times New Roman"/>
          <w:sz w:val="24"/>
        </w:rPr>
        <w:t>David L. Greene</w:t>
      </w:r>
      <w:r>
        <w:rPr>
          <w:rFonts w:ascii="Times New Roman" w:hAnsi="Times New Roman"/>
          <w:sz w:val="24"/>
          <w:vertAlign w:val="superscript"/>
        </w:rPr>
        <w:t>1*</w:t>
      </w:r>
      <w:r>
        <w:rPr>
          <w:rFonts w:ascii="Times New Roman" w:hAnsi="Times New Roman"/>
          <w:sz w:val="24"/>
        </w:rPr>
        <w:t>, Benjamin P. Leard</w:t>
      </w:r>
      <w:r>
        <w:rPr>
          <w:rFonts w:ascii="Times New Roman" w:hAnsi="Times New Roman"/>
          <w:sz w:val="24"/>
          <w:vertAlign w:val="superscript"/>
        </w:rPr>
        <w:t>1</w:t>
      </w:r>
      <w:r>
        <w:rPr>
          <w:rFonts w:ascii="Times New Roman" w:hAnsi="Times New Roman"/>
          <w:sz w:val="24"/>
        </w:rPr>
        <w:t>, Arthur Yip</w:t>
      </w:r>
      <w:r>
        <w:rPr>
          <w:rFonts w:ascii="Times New Roman" w:hAnsi="Times New Roman"/>
          <w:sz w:val="24"/>
          <w:vertAlign w:val="superscript"/>
        </w:rPr>
        <w:t>2</w:t>
      </w:r>
      <w:r>
        <w:rPr>
          <w:rFonts w:ascii="Times New Roman" w:hAnsi="Times New Roman"/>
          <w:sz w:val="24"/>
        </w:rPr>
        <w:t>, Ruixiao Sun</w:t>
      </w:r>
      <w:r>
        <w:rPr>
          <w:rFonts w:ascii="Times New Roman" w:hAnsi="Times New Roman"/>
          <w:sz w:val="24"/>
          <w:vertAlign w:val="superscript"/>
        </w:rPr>
        <w:t>3</w:t>
      </w:r>
      <w:r>
        <w:rPr>
          <w:rFonts w:ascii="Times New Roman" w:hAnsi="Times New Roman"/>
          <w:sz w:val="24"/>
        </w:rPr>
        <w:t>, Ranjan Bose</w:t>
      </w:r>
      <w:r>
        <w:rPr>
          <w:rFonts w:ascii="Times New Roman" w:hAnsi="Times New Roman"/>
          <w:sz w:val="24"/>
          <w:vertAlign w:val="superscript"/>
        </w:rPr>
        <w:t>3</w:t>
      </w:r>
    </w:p>
    <w:p>
      <w:pPr>
        <w:spacing w:line="240" w:lineRule="auto"/>
        <w:jc w:val="center"/>
      </w:pPr>
      <w:r>
        <w:rPr>
          <w:rFonts w:ascii="Times New Roman" w:hAnsi="Times New Roman"/>
          <w:i/>
          <w:sz w:val="22"/>
          <w:vertAlign w:val="superscript"/>
        </w:rPr>
        <w:t>1</w:t>
      </w:r>
      <w:r>
        <w:rPr>
          <w:rFonts w:ascii="Times New Roman" w:hAnsi="Times New Roman"/>
          <w:i/>
          <w:sz w:val="22"/>
        </w:rPr>
        <w:t>The University of Tennessee Baker School for Public Policy and Public Affairs</w:t>
      </w:r>
    </w:p>
    <w:p>
      <w:pPr>
        <w:spacing w:line="240" w:lineRule="auto"/>
        <w:jc w:val="center"/>
      </w:pPr>
      <w:r>
        <w:rPr>
          <w:rFonts w:ascii="Times New Roman" w:hAnsi="Times New Roman"/>
          <w:i/>
          <w:sz w:val="22"/>
          <w:vertAlign w:val="superscript"/>
        </w:rPr>
        <w:t>2</w:t>
      </w:r>
      <w:r>
        <w:rPr>
          <w:rFonts w:ascii="Times New Roman" w:hAnsi="Times New Roman"/>
          <w:i/>
          <w:sz w:val="22"/>
        </w:rPr>
        <w:t>National Renewable Energy Laboratory, Center for Integrated Mobility Sciences</w:t>
      </w:r>
    </w:p>
    <w:p>
      <w:pPr>
        <w:spacing w:line="240" w:lineRule="auto"/>
        <w:jc w:val="center"/>
      </w:pPr>
      <w:r>
        <w:rPr>
          <w:rFonts w:ascii="Times New Roman" w:hAnsi="Times New Roman"/>
          <w:i/>
          <w:sz w:val="22"/>
          <w:vertAlign w:val="superscript"/>
        </w:rPr>
        <w:t>3</w:t>
      </w:r>
      <w:r>
        <w:rPr>
          <w:rFonts w:ascii="Times New Roman" w:hAnsi="Times New Roman"/>
          <w:i/>
          <w:sz w:val="22"/>
        </w:rPr>
        <w:t>Oak Ridge National Laboratory, National Transportation Research Center</w:t>
      </w:r>
    </w:p>
    <w:p>
      <w:pPr>
        <w:spacing w:line="240" w:lineRule="auto"/>
        <w:jc w:val="center"/>
      </w:pPr>
      <w:r>
        <w:rPr>
          <w:rFonts w:ascii="Times New Roman" w:hAnsi="Times New Roman"/>
          <w:i/>
          <w:sz w:val="22"/>
          <w:vertAlign w:val="superscript"/>
        </w:rPr>
        <w:t>*</w:t>
      </w:r>
      <w:r>
        <w:rPr>
          <w:rFonts w:ascii="Times New Roman" w:hAnsi="Times New Roman"/>
          <w:i/>
          <w:sz w:val="22"/>
        </w:rPr>
        <w:t>Corresponding author email: dlgreene@utk.edu</w:t>
      </w:r>
    </w:p>
    <w:p>
      <w:pPr>
        <w:pStyle w:val="Heading1"/>
      </w:pPr>
      <w:r>
        <w:t>1. Motivation and Research Question</w:t>
        <w:br/>
        <w:t>Motor vehicles completely dominate U.S. transportation, accounting for 87% of passenger-miles traveled and 40% of freight ton-miles, with used vehicles constituting approximately 95% of the total fleet. As technologies such as electrification and automation transform transportation, transitioning to electric vehicles (EVs) is a complex and multidecadal process of systemic change. In the United States, there are massive geographic differences in EV adoption. For instance, as of the third quarter of 2024, all-EV plus plug-in hybrid electric new vehicle (PHEV) market shares ranged from 27% in California and 26% in Colorado to just 2% in Louisiana, West Virginia, and North Dakota, and 1.4% in Mississippi. Because of these large discrepancies, a crucial component of the EV transition includes understanding the migration of used vehicles across states and their varying rates of survival.</w:t>
      </w:r>
    </w:p>
    <w:p>
      <w:pPr>
        <w:spacing w:line="480" w:lineRule="auto"/>
        <w:ind w:firstLine="720"/>
      </w:pPr>
      <w:r>
        <w:t>The specific research questions addressed in this work are: How do light-duty vehicles transition across states over time? What economic, demographic, and geographic factors drive the migration and survival rates of these vehicles? Finally, how can we successfully separate true vehicle scrappage from state-to-state migration in the absence of detailed Vehicle Identification Number (VIN) tracking?</w:t>
      </w:r>
    </w:p>
    <w:p>
      <w:pPr>
        <w:spacing w:line="480" w:lineRule="auto"/>
        <w:ind w:firstLine="720"/>
      </w:pPr>
      <w:r>
        <w:t>We hypothesize that vehicle migration across states occurs when households decide to acquire or dispose of vehicles, fundamentally driven by the heterogeneity of preferences. For example, high-income households tend to have greater demand for new vehicles and thus produce a net supply of used vehicles as they replace them more frequently (e.g., returning off-lease vehicles or trading them in). Conversely, lower-income households have a net demand for used vehicles. Because household income—as well as economic and demographic growth—varies significantly across states, we hypothesize that this preference heterogeneity drives substantial numbers of used vehicles to migrate across state lines.</w:t>
      </w:r>
    </w:p>
    <w:p>
      <w:pPr>
        <w:pStyle w:val="Heading1"/>
      </w:pPr>
      <w:r>
        <w:t>2. Background and Contribution</w:t>
        <w:br/>
        <w:t>Situate the work: National scrappage and survival rates have been well studied in the literature (e.g., Greene and Leard, 2024a; Jacobsen and van Benthem, 2015), as have their broader implications for energy transitions and greenhouse gas mitigation (e.g., Leard and Greene, 2023; Woody et al., 2020). The economic and environmental effects of international trade in used vehicles in North America (Olguín et al., 2023; Chen et al., 2018; Davis and Kahn, 2010) and worldwide (Shi et al., 2022; Clerides, 2008) have also received significant academic attention. Furthermore, the foundational theory of vehicle scrappage dates back to Cramer (1958) and Walker (1968), who posited that vehicles are scrapped when they depreciate to zero or when the cost of restoring an accident-damaged vehicle exceeds its market value.</w:t>
      </w:r>
    </w:p>
    <w:p>
      <w:pPr>
        <w:spacing w:line="480" w:lineRule="auto"/>
        <w:ind w:firstLine="720"/>
      </w:pPr>
      <w:r>
        <w:t xml:space="preserve">Despite this robust literature, migrations of used vehicles among individual U.S. states and differences in state-level vehicle survival rates have received almost no attention from researchers. The primary contribution of this work is </w:t>
      </w:r>
      <w:r>
        <w:rPr>
          <w:b/>
        </w:rPr>
        <w:t>empirical</w:t>
      </w:r>
      <w:r>
        <w:t>. This study provides the first geographic mapping and statistical modeling of domestic used-vehicle trade flows and state-level net survival rates across the U.S.</w:t>
      </w:r>
    </w:p>
    <w:p>
      <w:pPr>
        <w:spacing w:line="480" w:lineRule="auto"/>
        <w:ind w:firstLine="720"/>
      </w:pPr>
      <w:r>
        <w:t>Furthermore, this work provides a conceptual contribution by framing vehicle market transition dynamics as a combination of localized demand curves and interstate supply shifts. Methodologically, it introduces a novel contribution: an “Import/Export Indicator” that cleverly circumvents the lack of affordable, proprietary VIN-level data by mathematically isolating migration from scrappage using age-specific survival assumptions. Finally, it serves as a robust data and resource contribution, providing state-level net survival functions for passenger cars, SUVs/vans, and pickup trucks that can be directly utilized by researchers in building future vehicle adoption models.</w:t>
      </w:r>
    </w:p>
    <w:p>
      <w:pPr>
        <w:pStyle w:val="Heading1"/>
      </w:pPr>
      <w:r>
        <w:t>3. Data and Methods</w:t>
        <w:br/>
        <w:t>The core analysis utilizes state-level annual net survival rates calculated for U.S. light-duty vehicles from 2014 to 2022, provided by the National Renewable Energy Laboratory (NREL). These rates were derived from a total census of vehicles in operation (utilizing proprietary Experian registration counts) measured as of December 31 of each year. Vehicles were segmented into three specific classes: passenger cars, SUVs and vans, and pickup trucks.</w:t>
      </w:r>
    </w:p>
    <w:p>
      <w:pPr>
        <w:spacing w:line="480" w:lineRule="auto"/>
        <w:ind w:firstLine="720"/>
      </w:pPr>
      <w:r>
        <w:t>The observed state survival rate, or “net survival rate” ($r_{jas}^t$), is defined as the number of vehicles of body style $j$ and age $a$ in state $s$ in year $t$, divided by the number of vehicles of the same type and one year younger ($a-1$) in the previous year ($t-1$). Because this single metric combines true scrappage alongside vehicle migrations into and out of state $s$, we developed an exploratory analysis using Stata's lasso software for variable selection. Potential determinants tested included economic factors (disposable income growth, job growth, GDP), demographics (driving age population, population density), and wear-and-tear indicators (annual road salt usage, traffic fatalities, Interstate congestion).</w:t>
      </w:r>
    </w:p>
    <w:p>
      <w:pPr>
        <w:spacing w:line="480" w:lineRule="auto"/>
        <w:ind w:firstLine="720"/>
      </w:pPr>
      <w:r>
        <w:t>To model used vehicle migration specifically, we constructed an indicator of state used vehicle net imports (+) and net exports (-). This indicator relies on the theory that for vehicles under 10 years old, true scrappage rates are exceedingly low (below 5%) and driven only by rare catastrophic events, meaning they do not differ substantially from the national average. Thus, the estimated fraction of $a$-year-old vehicles in state $s$ imported or exported is simply the difference between the state net survival rate and the national survival rate: $f_{jas}^t = r_{jas}^t - r_{ja}^t$. We then weighted these estimates by their respective cumulative survival rates to calculate a cumulative indicator of net vehicle migrations for vehicles aged 2 to 8.</w:t>
      </w:r>
    </w:p>
    <w:p>
      <w:pPr>
        <w:spacing w:line="480" w:lineRule="auto"/>
        <w:ind w:firstLine="720"/>
      </w:pPr>
      <w:r>
        <w:t>For predictive modeling, we estimated net survival functions using Ordinary Least Squares (OLS) regressions for vehicles aged 1 to 40 years. Our formulated model regresses the net survival rate on the natural logarithm of vehicle age, state annual growth rate of population over 16, state employment growth, and population density. The models include fixed effects for age, state, and year, along with an interaction between the state fixed effect and the log of vehicle age. We excluded the District of Columbia due to erratic outliers, removed data for vehicles over 40 years old due to high variance, and introduced fixed effects for the year 2021 to account for anomalous COVID-19 pandemic data.</w:t>
      </w:r>
    </w:p>
    <w:p>
      <w:pPr>
        <w:pStyle w:val="Heading1"/>
      </w:pPr>
      <w:r>
        <w:t>4. Results</w:t>
        <w:br/>
        <w:t>Following the structural progression of our analysis, the findings are detailed through predicted survival rates, econometric investigations, and finally implied net vehicle flows.</w:t>
      </w:r>
    </w:p>
    <w:p>
      <w:pPr>
        <w:spacing w:line="480" w:lineRule="auto"/>
        <w:ind w:firstLine="720"/>
      </w:pPr>
      <w:r/>
      <w:r>
        <w:rPr>
          <w:b/>
        </w:rPr>
        <w:t>Predicted Survival Rates</w:t>
      </w:r>
      <w:r>
        <w:br/>
        <w:t>Our estimations successfully produced detailed state net survival functions for the three vehicle classes. For most states, annual survival rates begin between 0.95 and 1.00 for 2-year-old vehicles and decline relatively slowly until about 10 years of age. After this threshold, survival rates decrease more rapidly. The decline slows approaching 20 years and subsequently reverses, increasing slightly after about 22 years (consistent with national trends observed by Greene and Leard, 2024a). While national year-to-year survival remains generally stable, state rates showcase wide and systematic variance indicating that some states act as permanent importers while others act as exporters.</w:t>
      </w:r>
    </w:p>
    <w:p>
      <w:pPr>
        <w:spacing w:line="480" w:lineRule="auto"/>
        <w:ind w:firstLine="720"/>
      </w:pPr>
      <w:r>
        <w:t>A severe anomaly was identified during the peak of the COVID-19 pandemic in 2021. Net survival rates for older vehicles (20+ years) dropped sharply across all states, falling drastically below historical trends. We attribute this to an unprecedented 11% decrease in vehicle miles of travel, severe economic downturns, and owners electing not to register or insure older, non-essential vehicles during the crisis. This shock was substantially larger for older pickups and SUVs than for passenger cars, potentially due to their higher utilization in commercial operations.</w:t>
      </w:r>
    </w:p>
    <w:p>
      <w:pPr>
        <w:spacing w:line="480" w:lineRule="auto"/>
        <w:ind w:firstLine="720"/>
      </w:pPr>
      <w:r/>
      <w:r>
        <w:rPr>
          <w:b/>
        </w:rPr>
        <w:t>Econometric Investigation</w:t>
      </w:r>
      <w:r>
        <w:br/>
        <w:t>The OLS regressions successfully explained the vast majority of the variance in the net survival data, yielding robust adjusted R-squared values of 0.82 for passenger cars, 0.76 for SUVs and vans, and 0.92 for pickup trucks. All economic and demographic factors included (employment growth, population growth, GDP growth, and population density) were statistically significant and positively associated with increased net survival rates. Specifically, higher economic and employment growth rates directly drew a higher migration of used vehicles into a state, increasing local net survival.</w:t>
      </w:r>
    </w:p>
    <w:p>
      <w:pPr>
        <w:spacing w:line="480" w:lineRule="auto"/>
        <w:ind w:firstLine="720"/>
      </w:pPr>
      <w:r>
        <w:t>Our earlier lasso variable exploratory selection further identified that a higher fraction of the population holding a bachelor’s degree or higher was associated with reduced net survival rates for older vehicles, pointing to a correlation between higher education and preferences for younger vehicles. Higher lease rates also strongly predicted lower net survival rates for used vehicles, proving that states with heavy leasing footprints act as major supply hubs (exporters) for newer used vehicles to the rest of the country.</w:t>
      </w:r>
    </w:p>
    <w:p>
      <w:pPr>
        <w:spacing w:line="480" w:lineRule="auto"/>
        <w:ind w:firstLine="720"/>
      </w:pPr>
      <w:r/>
      <w:r>
        <w:rPr>
          <w:b/>
        </w:rPr>
        <w:t>Implied and Estimated Net Vehicle Flows</w:t>
      </w:r>
      <w:r>
        <w:br/>
        <w:t>Using our formulated Import/Export Indicator for 2- to 8-year-old vehicles, we revealed massive interstate flows that systematically pattern the U.S. map. An analysis of variance (ANOVA) of the annual state net migration indicators demonstrated that state fixed effects accounted for more than ten times the variance of either year or vehicle-type effects, proving that geographic migration patterns are highly persistent over time.</w:t>
      </w:r>
    </w:p>
    <w:p>
      <w:pPr>
        <w:spacing w:line="480" w:lineRule="auto"/>
        <w:ind w:firstLine="720"/>
      </w:pPr>
      <w:r>
        <w:t xml:space="preserve">The geography of these flows proves that states in the Northeast and Midwest generally act as “donor” states (net exporters), while states in the South and Mountain West act as “receiver” states (net importers). </w:t>
        <w:br/>
      </w:r>
      <w:r>
        <w:rPr>
          <w:i/>
        </w:rPr>
        <w:t xml:space="preserve">   </w:t>
      </w:r>
      <w:r>
        <w:t>Passenger Cars:* New York and Florida are the largest net exporters of younger used cars (exporting approximately 61,400 and 54,200 cars per year, respectively). Meanwhile, Tennessee (~21,200), Georgia (~19,900), and Indiana act as the primary importers.</w:t>
      </w:r>
    </w:p>
    <w:p>
      <w:pPr>
        <w:pStyle w:val="ListBullet"/>
        <w:spacing w:line="480" w:lineRule="auto"/>
      </w:pPr>
      <w:r/>
      <w:r>
        <w:rPr>
          <w:i/>
        </w:rPr>
        <w:t>SUVs and Vans:</w:t>
      </w:r>
      <w:r>
        <w:t xml:space="preserve"> The flow pattern mirrors passenger cars but at much higher volumes. New York is the dominant exporter of SUVs (~173,200 annually), alongside Florida and New Jersey. Tennessee (~50,100), North Carolina (~44,100), and Indiana are the leading importers.</w:t>
      </w:r>
    </w:p>
    <w:p>
      <w:pPr>
        <w:pStyle w:val="ListBullet"/>
        <w:spacing w:line="480" w:lineRule="auto"/>
      </w:pPr>
      <w:r/>
      <w:r>
        <w:rPr>
          <w:i/>
        </w:rPr>
        <w:t>Pickup Trucks:</w:t>
      </w:r>
      <w:r>
        <w:t xml:space="preserve"> The pickup truck market exhibits a highly distinct geographic skewness. Texas stands as the dominant exporter of 2-8 year old pickups (~31,400 per year), followed by New York and Michigan. The primary importers are Alabama (~10,900), Tennessee, and Washington. These results intuitively align with broader population migrations observed over the last decade.</w:t>
      </w:r>
    </w:p>
    <w:p>
      <w:pPr>
        <w:pStyle w:val="Heading1"/>
      </w:pPr>
      <w:r>
        <w:t>5. Implications</w:t>
        <w:br/>
        <w:t>These findings carry deep significance for policy, infrastructure planning, and the broader transition to sustainable transportation.</w:t>
      </w:r>
    </w:p>
    <w:p>
      <w:pPr>
        <w:spacing w:line="480" w:lineRule="auto"/>
        <w:ind w:firstLine="720"/>
      </w:pPr>
      <w:r>
        <w:t>First, the systematic movement of younger used vehicles from donor to receiver states provides vital insight into how new vehicle innovations, such as EVs, will diffuse geographically. States like California and New York—which have adopted stringent Advanced Clean Cars/ZEV regulations—are prominent net exporters of used vehicles. As new vehicle sales in these donor states become increasingly electrified, the secondary market pipeline will inherently push used EVs into receiver states in the Southeast and Mountain West, even if those receiver states completely lack their own ZEV mandates.</w:t>
      </w:r>
    </w:p>
    <w:p>
      <w:pPr>
        <w:spacing w:line="480" w:lineRule="auto"/>
        <w:ind w:firstLine="720"/>
      </w:pPr>
      <w:r>
        <w:t>This dynamic implies that non-ZEV states may experience a faster-than-anticipated influx of EVs via the used market. Consequently, utility planners and policymakers in these receiver states must integrate these used vehicle migration patterns into their long-term grid decarbonization and charging infrastructure expansion plans to prevent sudden infrastructure bottlenecks. Furthermore, this dynamic introduces strong equity considerations: as high-income states and households supply the used market, lower-income households in receiving states will gain primary access to sustainable transportation technologies. Tracking these specific migrations will be essential to ensure an equitable distribution of charging access across demographics.</w:t>
      </w:r>
    </w:p>
    <w:p>
      <w:pPr>
        <w:pStyle w:val="Heading1"/>
      </w:pPr>
      <w:r>
        <w:t>6. Conclusion</w:t>
        <w:br/>
        <w:t>This research represents the first empirical modeling of light-duty vehicle net survival and state-to-state migration in the United States.</w:t>
      </w:r>
    </w:p>
    <w:p>
      <w:pPr>
        <w:spacing w:line="480" w:lineRule="auto"/>
        <w:ind w:firstLine="720"/>
      </w:pPr>
      <w:r>
        <w:t>Our core findings establish the baseline predicted survival rates, demonstrating that net survival rates differ significantly across states. Utilizing econometric modeling, we proved that variables like employment, GDP, and population growth are strong and significant predictors of state-level vehicle survival. Finally, our novel Import/Export indicator successfully circumvented the lack of VIN data to expose a massive, highly structured interstate trade network where the Northeast and Midwest consistently export younger used vehicles to the fast-growing populations of the South and West.</w:t>
      </w:r>
    </w:p>
    <w:p>
      <w:pPr>
        <w:spacing w:line="480" w:lineRule="auto"/>
        <w:ind w:firstLine="720"/>
      </w:pPr>
      <w:r>
        <w:t>The main contribution of this work is the empirical mapping and methodological framework developed to understand vehicle stock dynamics, which will be vital for accurately forecasting the geographic diffusion of electric vehicles. Future steps in this ongoing research should include applying this methodology to explicitly differentiate between internal combustion engine vehicles and EVs, and integrating more detailed tracking data to cleanly separate true scrappage rates from migration. Utilizing the state-level net survival models presented here, researchers and policymakers can immediately build more robust and highly localized vehicle adoption scenarios for the multidecadal energy transition.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outlineLvl w:val="1"/>
    </w:pPr>
    <w:rPr>
      <w:rFonts w:asciiTheme="majorHAnsi" w:eastAsiaTheme="majorEastAsia" w:hAnsiTheme="majorHAnsi" w:cstheme="majorBidi" w:ascii="Times New Roman" w:hAnsi="Times New Roman"/>
      <w:b/>
      <w:bCs/>
      <w:i/>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40" w:line="240" w:lineRule="auto"/>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