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State Differences in Light-Duty Vehicle Net Survival Rates</w:t>
      </w:r>
    </w:p>
    <w:p>
      <w:pPr>
        <w:jc w:val="center"/>
      </w:pPr>
      <w:r>
        <w:rPr>
          <w:rFonts w:ascii="Times New Roman" w:hAnsi="Times New Roman"/>
          <w:color w:val="000000"/>
          <w:sz w:val="24"/>
        </w:rPr>
        <w:t>David L. Greene (1*), Benjamin P. Leard (1), Arthur Yip (2), Ruixiao Sun (3), Ranjan Bose (3)</w:t>
      </w:r>
    </w:p>
    <w:p>
      <w:pPr>
        <w:spacing w:after="0"/>
        <w:jc w:val="center"/>
      </w:pPr>
      <w:r>
        <w:rPr>
          <w:rFonts w:ascii="Times New Roman" w:hAnsi="Times New Roman"/>
          <w:i/>
          <w:color w:val="000000"/>
          <w:sz w:val="22"/>
        </w:rPr>
        <w:t>(1) The University of Tennessee Baker School for Public Policy and Public Affairs</w:t>
      </w:r>
    </w:p>
    <w:p>
      <w:pPr>
        <w:spacing w:after="0"/>
        <w:jc w:val="center"/>
      </w:pPr>
      <w:r>
        <w:rPr>
          <w:rFonts w:ascii="Times New Roman" w:hAnsi="Times New Roman"/>
          <w:i/>
          <w:color w:val="000000"/>
          <w:sz w:val="22"/>
        </w:rPr>
        <w:t>(2) National Renewable Energy Laboratory, Center for Integrated Mobility Sciences</w:t>
      </w:r>
    </w:p>
    <w:p>
      <w:pPr>
        <w:spacing w:after="0"/>
        <w:jc w:val="center"/>
      </w:pPr>
      <w:r>
        <w:rPr>
          <w:rFonts w:ascii="Times New Roman" w:hAnsi="Times New Roman"/>
          <w:i/>
          <w:color w:val="000000"/>
          <w:sz w:val="22"/>
        </w:rPr>
        <w:t>(3) Oak Ridge National Laboratory, National Transportation Research Center</w:t>
      </w:r>
    </w:p>
    <w:p>
      <w:pPr>
        <w:spacing w:after="240"/>
        <w:jc w:val="center"/>
      </w:pPr>
      <w:r>
        <w:rPr>
          <w:rFonts w:ascii="Times New Roman" w:hAnsi="Times New Roman"/>
          <w:i/>
          <w:color w:val="000000"/>
          <w:sz w:val="22"/>
        </w:rPr>
        <w:t>(*) Corresponding author email: dlgreene@utk.edu</w:t>
      </w:r>
    </w:p>
    <w:p>
      <w:pPr>
        <w:pStyle w:val="Heading1"/>
      </w:pPr>
      <w:r>
        <w:t>1. Motivation and Research Question</w:t>
      </w:r>
    </w:p>
    <w:p>
      <w:pPr>
        <w:spacing w:line="480" w:lineRule="auto"/>
        <w:ind w:firstLine="720"/>
      </w:pPr>
      <w:r>
        <w:t>Transitioning to electric vehicles (EVs) is a complex, multidecadal process of systemic change. In the United States, there are large differences in EV adoption across states, driven by varying regulations (e.g., California’s ZEV Program) and consumer preferences. Consequently, understanding how used vehicles migrate across state lines and their varying rates of survival is crucial. The movements of used vehicles — and used EVs by extension — can significantly influence the spatial distribution of future charging infrastructure needs and electricity generation.</w:t>
      </w:r>
    </w:p>
    <w:p>
      <w:pPr>
        <w:spacing w:line="480" w:lineRule="auto"/>
        <w:ind w:firstLine="720"/>
      </w:pPr>
      <w:r>
        <w:t>The primary research question addressed in this work is: How do light-duty vehicles transition across states over time, and what economic, demographic, and behavioral factors drive the migration and survival rates of these vehicles?</w:t>
      </w:r>
    </w:p>
    <w:p>
      <w:pPr>
        <w:pStyle w:val="Heading1"/>
      </w:pPr>
      <w:r>
        <w:t>2. Background and Contribution</w:t>
      </w:r>
    </w:p>
    <w:p>
      <w:pPr>
        <w:spacing w:line="480" w:lineRule="auto"/>
        <w:ind w:firstLine="720"/>
      </w:pPr>
      <w:r>
        <w:t>While national scrappage and survival rates — as well as their implications for energy transitions and greenhouse gas mitigation — have been well studied, migrations of used vehicles among individual U.S. states and differences in state-level vehicle survival rates have received little attention. Prior literature has also extensively explored international trade in used vehicles, but domestic state-to-state flows remain an under-researched gap due to the proprietary nature of Vehicle Identification Number (VIN) tracking data.</w:t>
      </w:r>
    </w:p>
    <w:p>
      <w:pPr>
        <w:spacing w:line="480" w:lineRule="auto"/>
        <w:ind w:firstLine="720"/>
      </w:pPr>
      <w:r>
        <w:t>This research provides a novel empirical and methodological contribution by developing statistical models of state-level net survival rates for passenger cars, SUVs/vans, and pickup trucks. Furthermore, lacking explicit VIN-level data, we introduce a methodological contribution: a calculated “Import/Export Indicator” that isolates vehicle migration from scrappage for younger vehicles (ages 2-8), enabling the first geographic mapping of used-vehicle trade flows across the U.S.</w:t>
      </w:r>
    </w:p>
    <w:p>
      <w:pPr>
        <w:pStyle w:val="Heading1"/>
      </w:pPr>
      <w:r>
        <w:t>3. Data and Methods</w:t>
      </w:r>
    </w:p>
    <w:p>
      <w:pPr>
        <w:spacing w:line="480" w:lineRule="auto"/>
        <w:ind w:firstLine="720"/>
      </w:pPr>
      <w:r>
        <w:t>The primary data source consists of state-level annual net survival rates for U.S. light-duty vehicles from 2014 to 2022, provided by the National Renewable Energy Laboratory (NREL) based on proprietary Experian registration counts. Vehicles are segmented into three classes: passenger cars, SUVs/vans, and pickup trucks. We define the net survival rate as the ratio of vehicles of age a in year t to the vehicles of age a-1 in year t-1. This metric combines the effects of true scrappage and state-to-state migration.</w:t>
      </w:r>
    </w:p>
    <w:p>
      <w:pPr>
        <w:spacing w:line="480" w:lineRule="auto"/>
        <w:ind w:firstLine="720"/>
      </w:pPr>
      <w:r>
        <w:t>To isolate vehicle migration, we construct a State Imports and Exports Indicator. We rely on the assumption that for young vehicles (under 10 years old), true scrappage rates are near zero (mostly due to catastrophic collisions) and uniform nationally. We estimate the fraction of young vehicles imported or exported by taking the difference between a state’s net survival rate and the national average survival rate for a given vehicle age and year. These age-specific differences are then aggregated to compute cumulative net migration indicators for 2- to 8-year-old vehicles.</w:t>
      </w:r>
    </w:p>
    <w:p>
      <w:pPr>
        <w:spacing w:line="480" w:lineRule="auto"/>
        <w:ind w:firstLine="720"/>
      </w:pPr>
      <w:r>
        <w:t>For predictive modeling, we regress state net survival rates on a series of demographic and economic predictors — including state employment growth, population density, population growth (over 16 years of age), and GDP — using Ordinary Least Squares (OLS) with state, age, and year fixed effects.</w:t>
      </w:r>
    </w:p>
    <w:p>
      <w:pPr>
        <w:pStyle w:val="Heading1"/>
      </w:pPr>
      <w:r>
        <w:t>4. Results</w:t>
      </w:r>
    </w:p>
    <w:p>
      <w:pPr>
        <w:spacing w:line="480" w:lineRule="auto"/>
        <w:ind w:firstLine="720"/>
      </w:pPr>
      <w:r>
        <w:t>Our analysis confirms substantial and persistent flows of 2- to 10-year-old vehicles among states, responding predictably to differences in economic growth, population dynamics, and vehicle segment preferences.</w:t>
      </w:r>
    </w:p>
    <w:p>
      <w:pPr>
        <w:pStyle w:val="Heading2"/>
      </w:pPr>
      <w:r>
        <w:t>4.1 Net Migration Flows</w:t>
      </w:r>
    </w:p>
    <w:p>
      <w:pPr>
        <w:spacing w:line="480" w:lineRule="auto"/>
        <w:ind w:firstLine="720"/>
      </w:pPr>
      <w:r>
        <w:t>Using our Import/Export Indicator, we mapped the annual net flow of 2- to 8-year-old vehicles across states.</w:t>
      </w:r>
    </w:p>
    <w:p>
      <w:pPr>
        <w:pStyle w:val="ListBullet"/>
        <w:spacing w:line="480" w:lineRule="auto"/>
      </w:pPr>
      <w:r>
        <w:t>Passenger Cars: New York (exporting approx. 61,400 cars/year) and Florida (approx. 54,200) are the largest net exporters. Conversely, Tennessee (approx. 21,200), Georgia (approx. 19,900), and Indiana are the leading net importers.</w:t>
      </w:r>
    </w:p>
    <w:p>
      <w:pPr>
        <w:pStyle w:val="ListBullet"/>
        <w:spacing w:line="480" w:lineRule="auto"/>
      </w:pPr>
      <w:r>
        <w:t>SUVs and Vans: A similar geographic distribution occurs but at much higher volumes. New York leads with approx. 173,200 net exported SUVs/vans annually, while Tennessee and North Carolina absorb the most net imports (approx. 50,100 and 44,100 respectively).</w:t>
      </w:r>
    </w:p>
    <w:p>
      <w:pPr>
        <w:pStyle w:val="ListBullet"/>
        <w:spacing w:line="480" w:lineRule="auto"/>
      </w:pPr>
      <w:r>
        <w:t>Pickup Trucks: The pickup market displays distinct geographic skewness. Texas is the primary exporter of younger used pickups (approx. 31,400/year), followed by New York and Michigan. Alabama (approx. 10,900), Tennessee, and Washington act as the highest net importers.</w:t>
      </w:r>
    </w:p>
    <w:p>
      <w:pPr>
        <w:pStyle w:val="Heading2"/>
      </w:pPr>
      <w:r>
        <w:t>4.2 Econometric Model Findings</w:t>
      </w:r>
    </w:p>
    <w:p>
      <w:pPr>
        <w:spacing w:line="480" w:lineRule="auto"/>
        <w:ind w:firstLine="720"/>
      </w:pPr>
      <w:r>
        <w:t>State net survival rates exhibit wide variation. Statistical modeling shows that employment growth, GDP growth, and population growth are strongly and positively associated with increased net survival rates (in-migration). The models capture most of the variance in the data (Adjusted R-squared values of 0.82 for cars, 0.76 for SUVs/vans, and 0.92 for pickups).</w:t>
      </w:r>
    </w:p>
    <w:p>
      <w:pPr>
        <w:pStyle w:val="Heading2"/>
      </w:pPr>
      <w:r>
        <w:t>4.3 Annual and Cumulative Survival Profiles</w:t>
      </w:r>
    </w:p>
    <w:p>
      <w:pPr>
        <w:spacing w:line="480" w:lineRule="auto"/>
        <w:ind w:firstLine="720"/>
      </w:pPr>
      <w:r>
        <w:t>We examined national and state-level conditional annual survival and cumulative survival rates across all vehicle classes. National year-to-year survival remains generally stable. However, the year 2021 marks a severe outlier; our figures demonstrate a sharp, unprecedented drop in the survival rates of older vehicles (20+ years) during the peak of the COVID-19 pandemic, likely reflecting deferred registrations and reduced travel demand.</w:t>
      </w:r>
    </w:p>
    <w:p>
      <w:pPr>
        <w:pStyle w:val="Heading1"/>
      </w:pPr>
      <w:r>
        <w:t>5. Implications</w:t>
      </w:r>
    </w:p>
    <w:p>
      <w:pPr>
        <w:spacing w:line="480" w:lineRule="auto"/>
        <w:ind w:firstLine="720"/>
      </w:pPr>
      <w:r>
        <w:t>The systematic migration of used vehicles across states has direct policy and infrastructure implications. States with aggressive EV adoption mandates (e.g., ZEV states like California and New York) tend to act as “donor” states that consistently export younger used vehicles. As their local fleets electrify, these states will effectively become massive suppliers of used EVs to “receiver” states (e.g., in the Southeast and Mountain West) that currently lack stringent EV sales targets.</w:t>
      </w:r>
    </w:p>
    <w:p>
      <w:pPr>
        <w:spacing w:line="480" w:lineRule="auto"/>
        <w:ind w:firstLine="720"/>
      </w:pPr>
      <w:r>
        <w:t>This used-vehicle diffusion pipeline means that non-ZEV states may experience faster-than-anticipated growth in EV registrations via the secondary market. Policymakers and utility planners in receiver states must factor these migration patterns into their long-term electric grid planning and charging infrastructure deployments to ensure adequate support for a rapidly shifting vehicle stock.</w:t>
      </w:r>
    </w:p>
    <w:p>
      <w:pPr>
        <w:pStyle w:val="Heading1"/>
      </w:pPr>
      <w:r>
        <w:t>6. Conclusion</w:t>
      </w:r>
    </w:p>
    <w:p>
      <w:pPr>
        <w:spacing w:line="480" w:lineRule="auto"/>
        <w:ind w:firstLine="720"/>
      </w:pPr>
      <w:r>
        <w:t>This study provides the first state-level modeling of light-duty vehicle net survival and migration within the United States. We found that used vehicle migration is highly active and geographically structured, with states strictly dividing into net importers and exporters based on economic and demographic growth. Although our registration data merges scrappage and migration, our Import/Export indicator successfully isolates trade flows for younger vehicles, proving that secondary market migration acts as a significant re-distributor of vehicle technologies. Future research utilizing full VIN-level tracking could cleanly separate scrappage from migration and further refine the modeling of EV-specific transitions.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i/>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