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1192" w14:textId="08909728" w:rsidR="005524B8" w:rsidRDefault="005524B8" w:rsidP="005524B8">
      <w:pPr>
        <w:jc w:val="center"/>
      </w:pPr>
      <w:r>
        <w:t>Expanded Section Estimating State Imports and Exports of Younger Used Vehicles</w:t>
      </w:r>
    </w:p>
    <w:p w14:paraId="59CF5131" w14:textId="77777777" w:rsidR="005524B8" w:rsidRDefault="005524B8"/>
    <w:p w14:paraId="7E601C6D" w14:textId="79C81073" w:rsidR="00CD57CB" w:rsidRDefault="009E0400">
      <w:r>
        <w:t>D</w:t>
      </w:r>
      <w:r w:rsidR="003D7DB0">
        <w:t xml:space="preserve">ifferences in state </w:t>
      </w:r>
      <w:r w:rsidR="00FC5934">
        <w:t xml:space="preserve">net </w:t>
      </w:r>
      <w:r w:rsidR="003D7DB0">
        <w:t xml:space="preserve">vehicle survival rates may provide insights into movements of used vehicles among states. Understanding migrations of used vehicles could be useful in anticipating the diffusion of new vehicle innovations like vehicle electrification and automation. Ideally, </w:t>
      </w:r>
      <w:r w:rsidR="00CD57CB">
        <w:t>we would have data including unique vehicle identification numbers (VIN)</w:t>
      </w:r>
      <w:r w:rsidR="005524B8">
        <w:t xml:space="preserve"> to track vehicle movements from state to state</w:t>
      </w:r>
      <w:r w:rsidR="00CD57CB">
        <w:t xml:space="preserve">. Such data </w:t>
      </w:r>
      <w:proofErr w:type="gramStart"/>
      <w:r w:rsidR="00CD57CB">
        <w:t>exist</w:t>
      </w:r>
      <w:proofErr w:type="gramEnd"/>
      <w:r w:rsidR="00CD57CB">
        <w:t xml:space="preserve"> but </w:t>
      </w:r>
      <w:proofErr w:type="gramStart"/>
      <w:r w:rsidR="00CD57CB">
        <w:t>are</w:t>
      </w:r>
      <w:proofErr w:type="gramEnd"/>
      <w:r w:rsidR="00CD57CB">
        <w:t xml:space="preserve"> considered private information, </w:t>
      </w:r>
      <w:proofErr w:type="gramStart"/>
      <w:r w:rsidR="00CD57CB">
        <w:t>are</w:t>
      </w:r>
      <w:proofErr w:type="gramEnd"/>
      <w:r w:rsidR="00CD57CB">
        <w:t xml:space="preserve"> held as protected and proprietary information, and even if available to purchase, would be unaffordable given our resources.</w:t>
      </w:r>
      <w:r w:rsidR="005524B8">
        <w:rPr>
          <w:rStyle w:val="FootnoteReference"/>
        </w:rPr>
        <w:footnoteReference w:id="1"/>
      </w:r>
      <w:r w:rsidR="00CD57CB">
        <w:t xml:space="preserve"> </w:t>
      </w:r>
    </w:p>
    <w:p w14:paraId="287D746C" w14:textId="162AB601" w:rsidR="009E0400" w:rsidRDefault="009E0400">
      <w:r>
        <w:t xml:space="preserve">Variations in net survival rates of </w:t>
      </w:r>
      <w:r w:rsidR="001F58EF">
        <w:t>younger</w:t>
      </w:r>
      <w:r>
        <w:t xml:space="preserve"> used vehicles</w:t>
      </w:r>
      <w:r w:rsidR="001F58EF">
        <w:t xml:space="preserve"> (&lt;10 years old)</w:t>
      </w:r>
      <w:r>
        <w:t xml:space="preserve"> across states show that net</w:t>
      </w:r>
      <w:r w:rsidR="004457E1">
        <w:t xml:space="preserve"> </w:t>
      </w:r>
      <w:r>
        <w:t>survival rates well above and below 1.0 are common, suggesting that</w:t>
      </w:r>
      <w:r w:rsidR="001F58EF">
        <w:t xml:space="preserve"> substantial numbers of</w:t>
      </w:r>
      <w:r>
        <w:t xml:space="preserve"> used vehicles migrat</w:t>
      </w:r>
      <w:r w:rsidR="001F58EF">
        <w:t>e</w:t>
      </w:r>
      <w:r>
        <w:t xml:space="preserve"> into states from other states. The distributions of net survival rates of 3-year-old used vehicles for all states and all years from 2014 to 2021 illustrate</w:t>
      </w:r>
      <w:r w:rsidR="001F58EF">
        <w:t xml:space="preserve"> this fact and</w:t>
      </w:r>
      <w:r>
        <w:t xml:space="preserve"> differ</w:t>
      </w:r>
      <w:r w:rsidR="001F58EF">
        <w:t xml:space="preserve"> noticeably</w:t>
      </w:r>
      <w:r>
        <w:t xml:space="preserve"> by vehicle type (Figures 3a3c). The frequency histogram for passenger cars is skewed to the left</w:t>
      </w:r>
      <w:r w:rsidR="001F58EF">
        <w:t>,</w:t>
      </w:r>
      <w:r>
        <w:t xml:space="preserve"> and </w:t>
      </w:r>
      <w:r w:rsidR="001F58EF">
        <w:t>most</w:t>
      </w:r>
      <w:r>
        <w:t xml:space="preserve"> net survival rates are below 1.0. The SUV distribution is</w:t>
      </w:r>
      <w:r w:rsidR="001F58EF">
        <w:t xml:space="preserve"> closer to</w:t>
      </w:r>
      <w:r>
        <w:t xml:space="preserve"> sym</w:t>
      </w:r>
      <w:r w:rsidR="001F58EF">
        <w:t>m</w:t>
      </w:r>
      <w:r>
        <w:t xml:space="preserve">etrical around 1.0, while the </w:t>
      </w:r>
      <w:r w:rsidR="001F58EF">
        <w:t>greater mass of</w:t>
      </w:r>
      <w:r>
        <w:t xml:space="preserve"> </w:t>
      </w:r>
      <w:r w:rsidR="001F58EF">
        <w:t>p</w:t>
      </w:r>
      <w:r>
        <w:t>ickup truck net survival rates exceed</w:t>
      </w:r>
      <w:r w:rsidR="001F58EF">
        <w:t>s</w:t>
      </w:r>
      <w:r>
        <w:t xml:space="preserve"> 1.0, a </w:t>
      </w:r>
      <w:r w:rsidR="00937B67">
        <w:t>plausible</w:t>
      </w:r>
      <w:r>
        <w:t xml:space="preserve"> result given the large variation in the sizes of state vehicle populations.</w:t>
      </w:r>
      <w:r w:rsidR="00937B67">
        <w:t xml:space="preserve"> However, net survival rates include both scrappage and migrations, and the geography of state imports and exports of used vehicles is also of interest. To estimate the magnitudes and spatial distribution a </w:t>
      </w:r>
      <w:r w:rsidR="004457E1">
        <w:t>method of</w:t>
      </w:r>
      <w:r w:rsidR="00937B67">
        <w:t xml:space="preserve"> separat</w:t>
      </w:r>
      <w:r w:rsidR="004457E1">
        <w:t>ing</w:t>
      </w:r>
      <w:r w:rsidR="00937B67">
        <w:t xml:space="preserve"> scrappage from imports and exports</w:t>
      </w:r>
      <w:r w:rsidR="004457E1">
        <w:t xml:space="preserve"> is required</w:t>
      </w:r>
      <w:r w:rsidR="00937B67">
        <w:t>.</w:t>
      </w:r>
    </w:p>
    <w:p w14:paraId="13EE8282" w14:textId="77777777" w:rsidR="001F58EF" w:rsidRDefault="00937B67" w:rsidP="00937B67">
      <w:pPr>
        <w:jc w:val="center"/>
      </w:pPr>
      <w:r>
        <w:rPr>
          <w:noProof/>
        </w:rPr>
        <w:lastRenderedPageBreak/>
        <w:drawing>
          <wp:inline distT="0" distB="0" distL="0" distR="0" wp14:anchorId="0DA4D5E9" wp14:editId="20DB7D10">
            <wp:extent cx="3863340" cy="2301447"/>
            <wp:effectExtent l="0" t="0" r="3810" b="3810"/>
            <wp:docPr id="527011699" name="Picture 8"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11699" name="Picture 8" descr="A graph of a number of yea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4328" cy="2313950"/>
                    </a:xfrm>
                    <a:prstGeom prst="rect">
                      <a:avLst/>
                    </a:prstGeom>
                    <a:noFill/>
                  </pic:spPr>
                </pic:pic>
              </a:graphicData>
            </a:graphic>
          </wp:inline>
        </w:drawing>
      </w:r>
    </w:p>
    <w:p w14:paraId="79ECF066" w14:textId="4BB21857" w:rsidR="001F58EF" w:rsidRDefault="001F58EF" w:rsidP="00937B67">
      <w:pPr>
        <w:jc w:val="center"/>
      </w:pPr>
      <w:r>
        <w:t>Figure 3a.</w:t>
      </w:r>
    </w:p>
    <w:p w14:paraId="26CF297C" w14:textId="7F950BB1" w:rsidR="00937B67" w:rsidRDefault="00937B67" w:rsidP="00937B67">
      <w:pPr>
        <w:jc w:val="center"/>
      </w:pPr>
      <w:r>
        <w:rPr>
          <w:noProof/>
        </w:rPr>
        <w:drawing>
          <wp:inline distT="0" distB="0" distL="0" distR="0" wp14:anchorId="28487D47" wp14:editId="3DEAD785">
            <wp:extent cx="3855720" cy="2302415"/>
            <wp:effectExtent l="0" t="0" r="0" b="3175"/>
            <wp:docPr id="139931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8650" cy="2316107"/>
                    </a:xfrm>
                    <a:prstGeom prst="rect">
                      <a:avLst/>
                    </a:prstGeom>
                    <a:noFill/>
                  </pic:spPr>
                </pic:pic>
              </a:graphicData>
            </a:graphic>
          </wp:inline>
        </w:drawing>
      </w:r>
    </w:p>
    <w:p w14:paraId="24D1C9F2" w14:textId="3869FA55" w:rsidR="00937B67" w:rsidRDefault="001F58EF" w:rsidP="00937B67">
      <w:pPr>
        <w:jc w:val="center"/>
      </w:pPr>
      <w:r>
        <w:t>Figure 3b</w:t>
      </w:r>
    </w:p>
    <w:p w14:paraId="0708759F" w14:textId="517E8435" w:rsidR="00937B67" w:rsidRDefault="00937B67" w:rsidP="00937B67">
      <w:pPr>
        <w:jc w:val="center"/>
      </w:pPr>
      <w:r>
        <w:rPr>
          <w:noProof/>
        </w:rPr>
        <w:drawing>
          <wp:inline distT="0" distB="0" distL="0" distR="0" wp14:anchorId="70B4F17D" wp14:editId="711C95D2">
            <wp:extent cx="3898599" cy="2331351"/>
            <wp:effectExtent l="0" t="0" r="6985" b="0"/>
            <wp:docPr id="1278226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2995" cy="2345940"/>
                    </a:xfrm>
                    <a:prstGeom prst="rect">
                      <a:avLst/>
                    </a:prstGeom>
                    <a:noFill/>
                  </pic:spPr>
                </pic:pic>
              </a:graphicData>
            </a:graphic>
          </wp:inline>
        </w:drawing>
      </w:r>
    </w:p>
    <w:p w14:paraId="7D8D691C" w14:textId="6625B51F" w:rsidR="001F58EF" w:rsidRDefault="001F58EF" w:rsidP="00937B67">
      <w:pPr>
        <w:jc w:val="center"/>
      </w:pPr>
      <w:r>
        <w:t>Figure 3c.</w:t>
      </w:r>
    </w:p>
    <w:p w14:paraId="2B6EE4D0" w14:textId="291378D1" w:rsidR="003D7DB0" w:rsidRDefault="00CD57CB">
      <w:r>
        <w:lastRenderedPageBreak/>
        <w:t xml:space="preserve">Lacking detailed data on individual vehicles, we constructed an indicator of state used vehicle </w:t>
      </w:r>
      <w:r w:rsidR="00FC5934">
        <w:t xml:space="preserve">net </w:t>
      </w:r>
      <w:r>
        <w:t xml:space="preserve">imports </w:t>
      </w:r>
      <w:r w:rsidR="00FC5934">
        <w:t xml:space="preserve">(+) </w:t>
      </w:r>
      <w:r>
        <w:t xml:space="preserve">and </w:t>
      </w:r>
      <w:r w:rsidR="00FC5934">
        <w:t xml:space="preserve">net </w:t>
      </w:r>
      <w:r>
        <w:t>exports</w:t>
      </w:r>
      <w:r w:rsidR="00FC5934">
        <w:t xml:space="preserve"> (-)</w:t>
      </w:r>
      <w:r>
        <w:t xml:space="preserve"> </w:t>
      </w:r>
      <w:r w:rsidR="001F58EF">
        <w:t>that relies</w:t>
      </w:r>
      <w:r>
        <w:t xml:space="preserve"> on two key assumptions</w:t>
      </w:r>
      <w:r w:rsidR="001F58EF">
        <w:t xml:space="preserve">: 1) that survival rates of younger used vehicles are close to 1.0 and similar across all states and, 2) that national survival rates are a reasonable approximation to state survival rates for younger vehicles. </w:t>
      </w:r>
      <w:r>
        <w:t>Theories of vehicle scrappage postulate that vehicles are scrapped when they experience a collision or mechanical failure, and the cost of restoring the vehicle</w:t>
      </w:r>
      <w:r w:rsidR="00BC7A07">
        <w:t xml:space="preserve"> plus its value as scrap</w:t>
      </w:r>
      <w:r>
        <w:t xml:space="preserve"> exceeds its</w:t>
      </w:r>
      <w:r w:rsidR="00BC7A07">
        <w:t xml:space="preserve"> restored market value (e.g., Parks, 19</w:t>
      </w:r>
      <w:r w:rsidR="00FC5934">
        <w:t>77</w:t>
      </w:r>
      <w:r w:rsidR="00BC7A07">
        <w:t xml:space="preserve">). For </w:t>
      </w:r>
      <w:r w:rsidR="00FF744C">
        <w:t>younger</w:t>
      </w:r>
      <w:r w:rsidR="00BC7A07">
        <w:t xml:space="preserve"> used vehicles, this would require a major collision or catastrophic mechanical failure. Consequently, </w:t>
      </w:r>
      <w:r w:rsidR="00FC5934">
        <w:t xml:space="preserve">annual </w:t>
      </w:r>
      <w:r w:rsidR="00BC7A07">
        <w:t>survival rates for vehicles less than ten years old generally exceed 95%</w:t>
      </w:r>
      <w:r w:rsidR="00773BEF">
        <w:t xml:space="preserve"> (scrappage rates below 5%)</w:t>
      </w:r>
      <w:r w:rsidR="00BC7A07">
        <w:t xml:space="preserve">. U.S. </w:t>
      </w:r>
      <w:proofErr w:type="gramStart"/>
      <w:r w:rsidR="00BC7A07">
        <w:t>vehicle</w:t>
      </w:r>
      <w:proofErr w:type="gramEnd"/>
      <w:r w:rsidR="00BC7A07">
        <w:t xml:space="preserve"> scrappage (1-</w:t>
      </w:r>
      <w:r w:rsidR="0086070C">
        <w:t>survival)</w:t>
      </w:r>
      <w:r w:rsidR="00BC7A07">
        <w:t xml:space="preserve"> rates shown in Figure</w:t>
      </w:r>
      <w:r w:rsidR="00FC5934">
        <w:rPr>
          <w:color w:val="EE0000"/>
        </w:rPr>
        <w:t xml:space="preserve"> </w:t>
      </w:r>
      <w:r w:rsidR="00FF744C">
        <w:t>4</w:t>
      </w:r>
      <w:r w:rsidR="00FC5934">
        <w:t xml:space="preserve"> </w:t>
      </w:r>
      <w:r w:rsidR="00BC7A07">
        <w:t xml:space="preserve">also </w:t>
      </w:r>
      <w:r w:rsidR="00BB0B13">
        <w:t>suggest</w:t>
      </w:r>
      <w:r w:rsidR="00BC7A07">
        <w:t xml:space="preserve"> an inflection point</w:t>
      </w:r>
      <w:r w:rsidR="00DA4D1F">
        <w:t xml:space="preserve"> for Cars and SUVs</w:t>
      </w:r>
      <w:r w:rsidR="00BC7A07">
        <w:t xml:space="preserve"> </w:t>
      </w:r>
      <w:r w:rsidR="00BB0B13">
        <w:t>after 10</w:t>
      </w:r>
      <w:r w:rsidR="00BC7A07">
        <w:t xml:space="preserve"> years beyond which scrappage rates increase rapidly.</w:t>
      </w:r>
      <w:r w:rsidR="00BB0B13">
        <w:rPr>
          <w:rStyle w:val="FootnoteReference"/>
        </w:rPr>
        <w:footnoteReference w:id="2"/>
      </w:r>
    </w:p>
    <w:p w14:paraId="46674047" w14:textId="2548C6C8" w:rsidR="00BB0B13" w:rsidRDefault="00DA4D1F" w:rsidP="00BB0B13">
      <w:pPr>
        <w:jc w:val="center"/>
      </w:pPr>
      <w:r>
        <w:rPr>
          <w:noProof/>
        </w:rPr>
        <w:drawing>
          <wp:inline distT="0" distB="0" distL="0" distR="0" wp14:anchorId="5C2F8B86" wp14:editId="38A76B71">
            <wp:extent cx="3991610" cy="2726082"/>
            <wp:effectExtent l="0" t="0" r="8890" b="0"/>
            <wp:docPr id="619120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6821" cy="2729641"/>
                    </a:xfrm>
                    <a:prstGeom prst="rect">
                      <a:avLst/>
                    </a:prstGeom>
                    <a:noFill/>
                  </pic:spPr>
                </pic:pic>
              </a:graphicData>
            </a:graphic>
          </wp:inline>
        </w:drawing>
      </w:r>
    </w:p>
    <w:p w14:paraId="56B53D8E" w14:textId="2CAA93B8" w:rsidR="00773BEF" w:rsidRDefault="00773BEF" w:rsidP="00BB0B13">
      <w:pPr>
        <w:jc w:val="center"/>
      </w:pPr>
      <w:r>
        <w:t xml:space="preserve">Figure </w:t>
      </w:r>
      <w:r w:rsidR="00FF744C">
        <w:t>4</w:t>
      </w:r>
      <w:r>
        <w:t>. Average Light-Duty Vehicle Scrappage Rates by Vehicle Type: 2014-2021.</w:t>
      </w:r>
    </w:p>
    <w:p w14:paraId="33B757EB" w14:textId="30CB9378" w:rsidR="00BB0B13" w:rsidRDefault="00773BEF">
      <w:r>
        <w:t xml:space="preserve">Our method assumes that for vehicles less than </w:t>
      </w:r>
      <w:r w:rsidR="00FF744C">
        <w:t>nine</w:t>
      </w:r>
      <w:r>
        <w:t xml:space="preserve"> years old, state scrappage rates due to extreme collisions and mechanical failures will not differ much from the national rates but if they do, the differences will be </w:t>
      </w:r>
      <w:proofErr w:type="gramStart"/>
      <w:r>
        <w:t>on</w:t>
      </w:r>
      <w:proofErr w:type="gramEnd"/>
      <w:r>
        <w:t xml:space="preserve"> </w:t>
      </w:r>
      <w:proofErr w:type="gramStart"/>
      <w:r>
        <w:t>the order</w:t>
      </w:r>
      <w:proofErr w:type="gramEnd"/>
      <w:r>
        <w:t xml:space="preserve"> of 1%. We estimate</w:t>
      </w:r>
      <w:r w:rsidR="00FF744C">
        <w:t xml:space="preserve"> state net imports or exports</w:t>
      </w:r>
      <w:r w:rsidR="00FC5934">
        <w:t xml:space="preserve"> </w:t>
      </w:r>
      <w:r w:rsidR="00FF744C">
        <w:t>by vehicle type and calendar year</w:t>
      </w:r>
      <w:r w:rsidR="00FF744C">
        <w:t xml:space="preserve"> by</w:t>
      </w:r>
      <w:r>
        <w:t xml:space="preserve"> the difference between state and national </w:t>
      </w:r>
      <w:r w:rsidR="00FC5934">
        <w:t xml:space="preserve">net </w:t>
      </w:r>
      <w:r>
        <w:t>survival rates.</w:t>
      </w:r>
      <w:r w:rsidR="003C2A1E">
        <w:t xml:space="preserve"> </w:t>
      </w:r>
      <w:r w:rsidR="00FC5934">
        <w:t xml:space="preserve">National net survival rates do not include migrations among states but do include net national exports </w:t>
      </w:r>
      <w:r w:rsidR="00FF744C">
        <w:t>(</w:t>
      </w:r>
      <w:r w:rsidR="00FC5934">
        <w:t>discussed above</w:t>
      </w:r>
      <w:r w:rsidR="00FF744C">
        <w:t>) as do the state survival rates</w:t>
      </w:r>
      <w:r w:rsidR="00FC5934">
        <w:t>.</w:t>
      </w:r>
    </w:p>
    <w:p w14:paraId="5D1D7245" w14:textId="13A8F805" w:rsidR="00FC5934" w:rsidRPr="00FF68B9" w:rsidRDefault="00FC5934" w:rsidP="00FC5934">
      <w:pPr>
        <w:rPr>
          <w:rFonts w:eastAsiaTheme="minorEastAsia"/>
        </w:rPr>
      </w:pPr>
      <w:r>
        <w:lastRenderedPageBreak/>
        <w:t xml:space="preserve">We denote and compute the national net survival rate as </w:t>
      </w:r>
      <m:oMath>
        <m:sSub>
          <m:sSubPr>
            <m:ctrlPr>
              <w:rPr>
                <w:rFonts w:ascii="Cambria Math" w:hAnsi="Cambria Math"/>
                <w:i/>
              </w:rPr>
            </m:ctrlPr>
          </m:sSubPr>
          <m:e>
            <m:r>
              <w:rPr>
                <w:rFonts w:ascii="Cambria Math" w:hAnsi="Cambria Math"/>
              </w:rPr>
              <m:t>r</m:t>
            </m:r>
          </m:e>
          <m:sub>
            <m:r>
              <w:rPr>
                <w:rFonts w:ascii="Cambria Math" w:hAnsi="Cambria Math"/>
              </w:rPr>
              <m:t>jat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jat</m:t>
            </m:r>
          </m:sub>
        </m:sSub>
        <m:r>
          <w:rPr>
            <w:rFonts w:ascii="Cambria Math" w:hAnsi="Cambria Math"/>
          </w:rPr>
          <m:t>/</m:t>
        </m:r>
        <w:bookmarkStart w:id="0" w:name="_Hlk215584496"/>
        <m:sSub>
          <m:sSubPr>
            <m:ctrlPr>
              <w:rPr>
                <w:rFonts w:ascii="Cambria Math" w:hAnsi="Cambria Math"/>
                <w:i/>
              </w:rPr>
            </m:ctrlPr>
          </m:sSubPr>
          <m:e>
            <m:r>
              <w:rPr>
                <w:rFonts w:ascii="Cambria Math" w:hAnsi="Cambria Math"/>
              </w:rPr>
              <m:t>n</m:t>
            </m:r>
          </m:e>
          <m:sub>
            <m:r>
              <w:rPr>
                <w:rFonts w:ascii="Cambria Math" w:hAnsi="Cambria Math"/>
              </w:rPr>
              <m:t>j</m:t>
            </m:r>
            <m:d>
              <m:dPr>
                <m:ctrlPr>
                  <w:rPr>
                    <w:rFonts w:ascii="Cambria Math" w:hAnsi="Cambria Math"/>
                    <w:i/>
                  </w:rPr>
                </m:ctrlPr>
              </m:dPr>
              <m:e>
                <m:r>
                  <w:rPr>
                    <w:rFonts w:ascii="Cambria Math" w:hAnsi="Cambria Math"/>
                  </w:rPr>
                  <m:t>a-1</m:t>
                </m:r>
              </m:e>
            </m:d>
            <m:r>
              <w:rPr>
                <w:rFonts w:ascii="Cambria Math" w:hAnsi="Cambria Math"/>
              </w:rPr>
              <m:t>(t-1)</m:t>
            </m:r>
          </m:sub>
        </m:sSub>
      </m:oMath>
      <w:bookmarkEnd w:id="0"/>
      <w:r w:rsidRPr="00DF5131">
        <w:t xml:space="preserve">.  </w:t>
      </w:r>
      <w:r>
        <w:t xml:space="preserve"> The estimated fraction of </w:t>
      </w:r>
      <w:r w:rsidRPr="00A30133">
        <w:rPr>
          <w:i/>
          <w:iCs/>
        </w:rPr>
        <w:t>a</w:t>
      </w:r>
      <w:r>
        <w:t xml:space="preserve">-year-old vehicles in </w:t>
      </w:r>
      <w:proofErr w:type="spellStart"/>
      <w:r>
        <w:t xml:space="preserve">state </w:t>
      </w:r>
      <w:r w:rsidRPr="004D6C31">
        <w:rPr>
          <w:i/>
          <w:iCs/>
        </w:rPr>
        <w:t>s</w:t>
      </w:r>
      <w:proofErr w:type="spellEnd"/>
      <w:r>
        <w:t xml:space="preserve"> imported or </w:t>
      </w:r>
      <w:proofErr w:type="gramStart"/>
      <w:r>
        <w:t>exported  in</w:t>
      </w:r>
      <w:proofErr w:type="gramEnd"/>
      <w:r>
        <w:t xml:space="preserve"> a given year is assumed t</w:t>
      </w:r>
      <w:r w:rsidR="00810457">
        <w:t>o</w:t>
      </w:r>
      <w:r>
        <w:t xml:space="preserve"> be the difference between the state net survival rate and the national survival rate: </w:t>
      </w:r>
      <m:oMath>
        <m:sSub>
          <m:sSubPr>
            <m:ctrlPr>
              <w:rPr>
                <w:rFonts w:ascii="Cambria Math" w:hAnsi="Cambria Math"/>
                <w:i/>
              </w:rPr>
            </m:ctrlPr>
          </m:sSubPr>
          <m:e>
            <m:r>
              <w:rPr>
                <w:rFonts w:ascii="Cambria Math" w:hAnsi="Cambria Math"/>
              </w:rPr>
              <m:t>f</m:t>
            </m:r>
          </m:e>
          <m:sub>
            <m:r>
              <w:rPr>
                <w:rFonts w:ascii="Cambria Math" w:hAnsi="Cambria Math"/>
              </w:rPr>
              <m:t>jast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 xml:space="preserve">jast </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jat</m:t>
            </m:r>
          </m:sub>
        </m:sSub>
      </m:oMath>
      <w:r w:rsidR="007D399B">
        <w:rPr>
          <w:rFonts w:eastAsiaTheme="minorEastAsia"/>
        </w:rPr>
        <w:t xml:space="preserve">. </w:t>
      </w:r>
      <w:r w:rsidRPr="00DF5131">
        <w:rPr>
          <w:rFonts w:eastAsiaTheme="minorEastAsia"/>
        </w:rPr>
        <w:t xml:space="preserve">Positive values for </w:t>
      </w:r>
      <w:bookmarkStart w:id="1" w:name="_Hlk215581071"/>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jast</m:t>
            </m:r>
          </m:sub>
        </m:sSub>
      </m:oMath>
      <w:r w:rsidRPr="00DF5131">
        <w:rPr>
          <w:rFonts w:eastAsiaTheme="minorEastAsia"/>
        </w:rPr>
        <w:t xml:space="preserve"> </w:t>
      </w:r>
      <w:bookmarkEnd w:id="1"/>
      <w:r w:rsidRPr="00DF5131">
        <w:rPr>
          <w:rFonts w:eastAsiaTheme="minorEastAsia"/>
        </w:rPr>
        <w:t xml:space="preserve">represent net imports and negative values for </w:t>
      </w:r>
      <w:bookmarkStart w:id="2" w:name="_Hlk215584580"/>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jast</m:t>
            </m:r>
          </m:sub>
        </m:sSub>
      </m:oMath>
      <w:r w:rsidRPr="00DF5131">
        <w:rPr>
          <w:rFonts w:eastAsiaTheme="minorEastAsia"/>
        </w:rPr>
        <w:t xml:space="preserve"> </w:t>
      </w:r>
      <w:bookmarkEnd w:id="2"/>
      <w:r w:rsidRPr="00DF5131">
        <w:rPr>
          <w:rFonts w:eastAsiaTheme="minorEastAsia"/>
        </w:rPr>
        <w:t xml:space="preserve">represent net exports. </w:t>
      </w:r>
      <w:r>
        <w:rPr>
          <w:rFonts w:eastAsiaTheme="minorEastAsia"/>
        </w:rPr>
        <w:t xml:space="preserve"> </w:t>
      </w:r>
      <w:r w:rsidR="00810457">
        <w:rPr>
          <w:rFonts w:eastAsiaTheme="minorEastAsia"/>
        </w:rPr>
        <w:t xml:space="preserve">We use the estimated </w:t>
      </w:r>
      <w:bookmarkStart w:id="3" w:name="_Hlk215583255"/>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jast</m:t>
            </m:r>
          </m:sub>
        </m:sSub>
      </m:oMath>
      <w:r w:rsidR="00810457">
        <w:rPr>
          <w:rFonts w:eastAsiaTheme="minorEastAsia"/>
        </w:rPr>
        <w:t xml:space="preserve"> </w:t>
      </w:r>
      <w:bookmarkEnd w:id="3"/>
      <w:r w:rsidR="00810457">
        <w:rPr>
          <w:rFonts w:eastAsiaTheme="minorEastAsia"/>
        </w:rPr>
        <w:t>to compute an indicator</w:t>
      </w:r>
      <w:r w:rsidR="000E02B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jst</m:t>
            </m:r>
          </m:sub>
        </m:sSub>
      </m:oMath>
      <w:r w:rsidR="000E02B9">
        <w:rPr>
          <w:rFonts w:eastAsiaTheme="minorEastAsia"/>
        </w:rPr>
        <w:t xml:space="preserve">, </w:t>
      </w:r>
      <w:r w:rsidR="00810457">
        <w:rPr>
          <w:rFonts w:eastAsiaTheme="minorEastAsia"/>
        </w:rPr>
        <w:t xml:space="preserve">of </w:t>
      </w:r>
      <w:r w:rsidR="000E02B9">
        <w:rPr>
          <w:rFonts w:eastAsiaTheme="minorEastAsia"/>
        </w:rPr>
        <w:t xml:space="preserve">cumulative </w:t>
      </w:r>
      <w:r w:rsidR="00810457">
        <w:rPr>
          <w:rFonts w:eastAsiaTheme="minorEastAsia"/>
        </w:rPr>
        <w:t>net imports</w:t>
      </w:r>
      <w:r w:rsidR="006A0D95">
        <w:rPr>
          <w:rFonts w:eastAsiaTheme="minorEastAsia"/>
        </w:rPr>
        <w:t>/exports</w:t>
      </w:r>
      <w:r w:rsidR="00810457">
        <w:rPr>
          <w:rFonts w:eastAsiaTheme="minorEastAsia"/>
        </w:rPr>
        <w:t xml:space="preserve"> as fraction of vehicles of ages </w:t>
      </w:r>
      <w:r w:rsidR="006258A4">
        <w:rPr>
          <w:rFonts w:eastAsiaTheme="minorEastAsia"/>
        </w:rPr>
        <w:t>2</w:t>
      </w:r>
      <w:r w:rsidR="00810457">
        <w:rPr>
          <w:rFonts w:eastAsiaTheme="minorEastAsia"/>
        </w:rPr>
        <w:t xml:space="preserve"> to </w:t>
      </w:r>
      <w:r w:rsidR="006258A4">
        <w:rPr>
          <w:rFonts w:eastAsiaTheme="minorEastAsia"/>
        </w:rPr>
        <w:t>8</w:t>
      </w:r>
      <w:r w:rsidR="00810457">
        <w:rPr>
          <w:rFonts w:eastAsiaTheme="minorEastAsia"/>
        </w:rPr>
        <w:t xml:space="preserve"> in operation in each state at the beginning of </w:t>
      </w:r>
      <w:r w:rsidR="00E5060A">
        <w:rPr>
          <w:rFonts w:eastAsiaTheme="minorEastAsia"/>
        </w:rPr>
        <w:t>t</w:t>
      </w:r>
      <w:r w:rsidR="000E02B9">
        <w:rPr>
          <w:rFonts w:eastAsiaTheme="minorEastAsia"/>
        </w:rPr>
        <w:t>.</w:t>
      </w:r>
      <w:r w:rsidR="003758BE">
        <w:rPr>
          <w:rFonts w:eastAsiaTheme="minorEastAsia"/>
        </w:rPr>
        <w:t xml:space="preserve"> The range </w:t>
      </w:r>
      <w:r w:rsidR="006258A4">
        <w:rPr>
          <w:rFonts w:eastAsiaTheme="minorEastAsia"/>
        </w:rPr>
        <w:t>2 to 8 excludes year 1 in which unsold new vehicle</w:t>
      </w:r>
      <w:r w:rsidR="00FF744C">
        <w:rPr>
          <w:rFonts w:eastAsiaTheme="minorEastAsia"/>
        </w:rPr>
        <w:t xml:space="preserve"> inventory</w:t>
      </w:r>
      <w:r w:rsidR="006258A4">
        <w:rPr>
          <w:rFonts w:eastAsiaTheme="minorEastAsia"/>
        </w:rPr>
        <w:t xml:space="preserve"> of the previous model year inflate</w:t>
      </w:r>
      <w:r w:rsidR="00FF744C">
        <w:rPr>
          <w:rFonts w:eastAsiaTheme="minorEastAsia"/>
        </w:rPr>
        <w:t>s</w:t>
      </w:r>
      <w:r w:rsidR="006258A4">
        <w:rPr>
          <w:rFonts w:eastAsiaTheme="minorEastAsia"/>
        </w:rPr>
        <w:t xml:space="preserve"> survival rates and ends before </w:t>
      </w:r>
      <w:proofErr w:type="gramStart"/>
      <w:r w:rsidR="006258A4">
        <w:rPr>
          <w:rFonts w:eastAsiaTheme="minorEastAsia"/>
        </w:rPr>
        <w:t>scrappage</w:t>
      </w:r>
      <w:proofErr w:type="gramEnd"/>
      <w:r w:rsidR="006258A4">
        <w:rPr>
          <w:rFonts w:eastAsiaTheme="minorEastAsia"/>
        </w:rPr>
        <w:t xml:space="preserve"> rates turn upward around age 10.</w:t>
      </w:r>
      <w:r w:rsidR="000E02B9">
        <w:rPr>
          <w:rFonts w:eastAsiaTheme="minorEastAsia"/>
        </w:rPr>
        <w:t xml:space="preserve"> If we had data on the numbers of vehicles in operation </w:t>
      </w:r>
      <w:r w:rsidR="008526BF">
        <w:rPr>
          <w:rFonts w:eastAsiaTheme="minorEastAsia"/>
        </w:rPr>
        <w:t xml:space="preserve">by state, vehicle type, and age for </w:t>
      </w:r>
      <w:r w:rsidR="006258A4">
        <w:rPr>
          <w:rFonts w:eastAsiaTheme="minorEastAsia"/>
        </w:rPr>
        <w:t>each year</w:t>
      </w:r>
      <w:r w:rsidR="008526BF">
        <w:rPr>
          <w:rFonts w:eastAsiaTheme="minorEastAsia"/>
        </w:rPr>
        <w:t xml:space="preserve">, we could </w:t>
      </w:r>
      <w:proofErr w:type="spellStart"/>
      <w:r w:rsidR="008526BF">
        <w:rPr>
          <w:rFonts w:eastAsiaTheme="minorEastAsia"/>
        </w:rPr>
        <w:t>weight</w:t>
      </w:r>
      <w:proofErr w:type="spellEnd"/>
      <w:r w:rsidR="008526BF">
        <w:rPr>
          <w:rFonts w:eastAsiaTheme="minorEastAsia"/>
        </w:rPr>
        <w:t xml:space="preserve"> </w:t>
      </w:r>
      <w:r w:rsidR="006A0D95">
        <w:rPr>
          <w:rFonts w:eastAsiaTheme="minorEastAsia"/>
        </w:rPr>
        <w:t>the estimated net imports (</w:t>
      </w:r>
      <w:bookmarkStart w:id="4" w:name="_Hlk215665390"/>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jast</m:t>
            </m:r>
          </m:sub>
        </m:sSub>
      </m:oMath>
      <w:bookmarkEnd w:id="4"/>
      <w:r w:rsidR="006A0D95">
        <w:rPr>
          <w:rFonts w:eastAsiaTheme="minorEastAsia"/>
        </w:rPr>
        <w:t>) by the</w:t>
      </w:r>
      <w:r w:rsidR="00FF744C">
        <w:rPr>
          <w:rFonts w:eastAsiaTheme="minorEastAsia"/>
        </w:rPr>
        <w:t xml:space="preserve"> respective</w:t>
      </w:r>
      <w:r w:rsidR="006A0D95">
        <w:rPr>
          <w:rFonts w:eastAsiaTheme="minorEastAsia"/>
        </w:rPr>
        <w:t xml:space="preserve"> number of vehicles in operation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jsat</m:t>
            </m:r>
          </m:sub>
        </m:sSub>
      </m:oMath>
      <w:r w:rsidR="006A0D95">
        <w:rPr>
          <w:rFonts w:eastAsiaTheme="minorEastAsia"/>
        </w:rPr>
        <w:t xml:space="preserve">) and divide by the sum of vehicles in operation aged </w:t>
      </w:r>
      <w:r w:rsidR="006258A4">
        <w:rPr>
          <w:rFonts w:eastAsiaTheme="minorEastAsia"/>
        </w:rPr>
        <w:t>2</w:t>
      </w:r>
      <w:r w:rsidR="006A0D95">
        <w:rPr>
          <w:rFonts w:eastAsiaTheme="minorEastAsia"/>
        </w:rPr>
        <w:t xml:space="preserve"> to </w:t>
      </w:r>
      <w:r w:rsidR="006258A4">
        <w:rPr>
          <w:rFonts w:eastAsiaTheme="minorEastAsia"/>
        </w:rPr>
        <w:t>8</w:t>
      </w:r>
      <w:r w:rsidR="006A0D95">
        <w:rPr>
          <w:rFonts w:eastAsiaTheme="minorEastAsia"/>
        </w:rPr>
        <w:t xml:space="preserve"> </w:t>
      </w:r>
      <w:r w:rsidR="006258A4">
        <w:rPr>
          <w:rFonts w:eastAsiaTheme="minorEastAsia"/>
        </w:rPr>
        <w:t xml:space="preserve">in that year </w:t>
      </w:r>
      <w:r w:rsidR="006A0D95">
        <w:rPr>
          <w:rFonts w:eastAsiaTheme="minorEastAsia"/>
        </w:rPr>
        <w:t xml:space="preserve">to obtain an indicator of net vehicle migrations as a fraction of vehicles aged </w:t>
      </w:r>
      <w:r w:rsidR="006258A4">
        <w:rPr>
          <w:rFonts w:eastAsiaTheme="minorEastAsia"/>
        </w:rPr>
        <w:t>2</w:t>
      </w:r>
      <w:r w:rsidR="006A0D95">
        <w:rPr>
          <w:rFonts w:eastAsiaTheme="minorEastAsia"/>
        </w:rPr>
        <w:t xml:space="preserve"> to </w:t>
      </w:r>
      <w:r w:rsidR="006258A4">
        <w:rPr>
          <w:rFonts w:eastAsiaTheme="minorEastAsia"/>
        </w:rPr>
        <w:t>8</w:t>
      </w:r>
      <w:r w:rsidR="006A0D95">
        <w:rPr>
          <w:rFonts w:eastAsiaTheme="minorEastAsia"/>
        </w:rPr>
        <w:t xml:space="preserve">. In the absence of numbers of vehicles in operation, we </w:t>
      </w:r>
      <w:proofErr w:type="gramStart"/>
      <w:r w:rsidR="006A0D95">
        <w:rPr>
          <w:rFonts w:eastAsiaTheme="minorEastAsia"/>
        </w:rPr>
        <w:t>weight</w:t>
      </w:r>
      <w:proofErr w:type="gramEnd"/>
      <w:r w:rsidR="006A0D95">
        <w:rPr>
          <w:rFonts w:eastAsiaTheme="minorEastAsia"/>
        </w:rPr>
        <w:t xml:space="preserve"> by the product of </w:t>
      </w:r>
      <w:r w:rsidR="00FF68B9">
        <w:rPr>
          <w:rFonts w:eastAsiaTheme="minorEastAsia"/>
        </w:rPr>
        <w:t xml:space="preserve">the state net survival rates from </w:t>
      </w:r>
      <w:r w:rsidR="00E5060A">
        <w:rPr>
          <w:rFonts w:eastAsiaTheme="minorEastAsia"/>
        </w:rPr>
        <w:t>t</w:t>
      </w:r>
      <w:r w:rsidR="00FF68B9" w:rsidRPr="00FF68B9">
        <w:rPr>
          <w:rFonts w:eastAsiaTheme="minorEastAsia"/>
          <w:i/>
          <w:iCs/>
        </w:rPr>
        <w:t>-a</w:t>
      </w:r>
      <w:r w:rsidR="00FF68B9">
        <w:rPr>
          <w:rFonts w:eastAsiaTheme="minorEastAsia"/>
        </w:rPr>
        <w:t xml:space="preserve"> to </w:t>
      </w:r>
      <w:r w:rsidR="00E5060A">
        <w:rPr>
          <w:rFonts w:eastAsiaTheme="minorEastAsia"/>
          <w:i/>
          <w:iCs/>
        </w:rPr>
        <w:t>t</w:t>
      </w:r>
      <w:r w:rsidR="00FF68B9">
        <w:rPr>
          <w:rFonts w:eastAsiaTheme="minorEastAsia"/>
        </w:rPr>
        <w:t xml:space="preserve"> and divide by the sum of the weights (equation 2).</w:t>
      </w:r>
    </w:p>
    <w:p w14:paraId="4DB5AC37" w14:textId="2095DF23" w:rsidR="00FC5934" w:rsidRPr="002C225B" w:rsidRDefault="00847ADF" w:rsidP="00FC5934">
      <w:pPr>
        <w:rPr>
          <w:rFonts w:eastAsiaTheme="minorEastAsia"/>
        </w:rPr>
      </w:pPr>
      <m:oMathPara>
        <m:oMath>
          <m:eqArr>
            <m:eqArrPr>
              <m:maxDist m:val="1"/>
              <m:ctrlPr>
                <w:rPr>
                  <w:rFonts w:ascii="Cambria Math" w:eastAsiaTheme="minorEastAsia" w:hAnsi="Cambria Math"/>
                  <w:i/>
                </w:rPr>
              </m:ctrlPr>
            </m:eqArrPr>
            <m:e>
              <w:bookmarkStart w:id="5" w:name="_Hlk215665217"/>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jsy</m:t>
                  </m:r>
                </m:sub>
              </m:sSub>
              <w:bookmarkEnd w:id="5"/>
              <m:r>
                <w:rPr>
                  <w:rFonts w:ascii="Cambria Math" w:eastAsiaTheme="minorEastAsia" w:hAnsi="Cambria Math"/>
                </w:rPr>
                <m:t xml:space="preserve">= </m:t>
              </m:r>
              <m:f>
                <m:fPr>
                  <m:type m:val="lin"/>
                  <m:ctrlPr>
                    <w:rPr>
                      <w:rFonts w:ascii="Cambria Math" w:eastAsiaTheme="minorEastAsia" w:hAnsi="Cambria Math"/>
                      <w:i/>
                    </w:rPr>
                  </m:ctrlPr>
                </m:fPr>
                <m:num>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a</m:t>
                          </m:r>
                          <m:r>
                            <w:rPr>
                              <w:rFonts w:ascii="Cambria Math" w:eastAsiaTheme="minorEastAsia" w:hAnsi="Cambria Math"/>
                            </w:rPr>
                            <m:t>=2</m:t>
                          </m:r>
                        </m:sub>
                        <m:sup>
                          <m:r>
                            <w:rPr>
                              <w:rFonts w:ascii="Cambria Math" w:eastAsiaTheme="minorEastAsia" w:hAnsi="Cambria Math"/>
                            </w:rPr>
                            <m:t>8</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jsat</m:t>
                              </m:r>
                            </m:sub>
                          </m:sSub>
                        </m:e>
                      </m:nary>
                      <m:nary>
                        <m:naryPr>
                          <m:chr m:val="∏"/>
                          <m:limLoc m:val="undOvr"/>
                          <m:ctrlPr>
                            <w:rPr>
                              <w:rFonts w:ascii="Cambria Math" w:eastAsiaTheme="minorEastAsia" w:hAnsi="Cambria Math"/>
                              <w:i/>
                            </w:rPr>
                          </m:ctrlPr>
                        </m:naryPr>
                        <m:sub>
                          <m:r>
                            <w:rPr>
                              <w:rFonts w:ascii="Cambria Math" w:eastAsiaTheme="minorEastAsia" w:hAnsi="Cambria Math"/>
                            </w:rPr>
                            <m:t>i</m:t>
                          </m:r>
                          <m:r>
                            <w:rPr>
                              <w:rFonts w:ascii="Cambria Math" w:eastAsiaTheme="minorEastAsia" w:hAnsi="Cambria Math"/>
                            </w:rPr>
                            <m:t>=2</m:t>
                          </m:r>
                        </m:sub>
                        <m:sup>
                          <m:r>
                            <w:rPr>
                              <w:rFonts w:ascii="Cambria Math" w:eastAsiaTheme="minorEastAsia" w:hAnsi="Cambria Math"/>
                            </w:rPr>
                            <m:t>a</m:t>
                          </m:r>
                        </m:sup>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jsi</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i</m:t>
                              </m:r>
                              <m:r>
                                <w:rPr>
                                  <w:rFonts w:ascii="Cambria Math" w:eastAsiaTheme="minorEastAsia" w:hAnsi="Cambria Math"/>
                                </w:rPr>
                                <m:t>)</m:t>
                              </m:r>
                            </m:sub>
                          </m:sSub>
                        </m:e>
                      </m:nary>
                    </m:e>
                  </m:d>
                </m:num>
                <m:den>
                  <w:bookmarkStart w:id="6" w:name="_Hlk215582266"/>
                  <m:nary>
                    <m:naryPr>
                      <m:chr m:val="∑"/>
                      <m:limLoc m:val="undOvr"/>
                      <m:ctrlPr>
                        <w:rPr>
                          <w:rFonts w:ascii="Cambria Math" w:eastAsiaTheme="minorEastAsia" w:hAnsi="Cambria Math"/>
                          <w:i/>
                        </w:rPr>
                      </m:ctrlPr>
                    </m:naryPr>
                    <m:sub>
                      <m:r>
                        <w:rPr>
                          <w:rFonts w:ascii="Cambria Math" w:eastAsiaTheme="minorEastAsia" w:hAnsi="Cambria Math"/>
                        </w:rPr>
                        <m:t>a</m:t>
                      </m:r>
                      <m:r>
                        <w:rPr>
                          <w:rFonts w:ascii="Cambria Math" w:eastAsiaTheme="minorEastAsia" w:hAnsi="Cambria Math"/>
                        </w:rPr>
                        <m:t>=2</m:t>
                      </m:r>
                    </m:sub>
                    <m:sup>
                      <m:r>
                        <w:rPr>
                          <w:rFonts w:ascii="Cambria Math" w:eastAsiaTheme="minorEastAsia" w:hAnsi="Cambria Math"/>
                        </w:rPr>
                        <m:t>9</m:t>
                      </m:r>
                    </m:sup>
                    <m:e>
                      <m:nary>
                        <m:naryPr>
                          <m:chr m:val="∏"/>
                          <m:limLoc m:val="undOvr"/>
                          <m:ctrlPr>
                            <w:rPr>
                              <w:rFonts w:ascii="Cambria Math" w:eastAsiaTheme="minorEastAsia" w:hAnsi="Cambria Math"/>
                              <w:i/>
                            </w:rPr>
                          </m:ctrlPr>
                        </m:naryPr>
                        <m:sub>
                          <m:r>
                            <w:rPr>
                              <w:rFonts w:ascii="Cambria Math" w:eastAsiaTheme="minorEastAsia" w:hAnsi="Cambria Math"/>
                            </w:rPr>
                            <m:t>i</m:t>
                          </m:r>
                          <m:r>
                            <w:rPr>
                              <w:rFonts w:ascii="Cambria Math" w:eastAsiaTheme="minorEastAsia" w:hAnsi="Cambria Math"/>
                            </w:rPr>
                            <m:t>=2</m:t>
                          </m:r>
                        </m:sub>
                        <m:sup>
                          <m:r>
                            <w:rPr>
                              <w:rFonts w:ascii="Cambria Math" w:eastAsiaTheme="minorEastAsia" w:hAnsi="Cambria Math"/>
                            </w:rPr>
                            <m:t>a</m:t>
                          </m:r>
                        </m:sup>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jsi</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i</m:t>
                              </m:r>
                              <m:r>
                                <w:rPr>
                                  <w:rFonts w:ascii="Cambria Math" w:eastAsiaTheme="minorEastAsia" w:hAnsi="Cambria Math"/>
                                </w:rPr>
                                <m:t>)</m:t>
                              </m:r>
                            </m:sub>
                          </m:sSub>
                        </m:e>
                      </m:nary>
                    </m:e>
                  </m:nary>
                  <w:bookmarkEnd w:id="6"/>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e>
          </m:eqArr>
        </m:oMath>
      </m:oMathPara>
    </w:p>
    <w:p w14:paraId="54B93030" w14:textId="77777777" w:rsidR="006F156E" w:rsidRDefault="00FF68B9" w:rsidP="00FC5934">
      <w:pPr>
        <w:rPr>
          <w:rFonts w:eastAsiaTheme="minorEastAsia"/>
        </w:rPr>
      </w:pPr>
      <w:r>
        <w:rPr>
          <w:rFonts w:eastAsiaTheme="minorEastAsia"/>
        </w:rPr>
        <w:t xml:space="preserve">If the number of </w:t>
      </w:r>
      <w:r w:rsidR="006258A4">
        <w:rPr>
          <w:rFonts w:eastAsiaTheme="minorEastAsia"/>
        </w:rPr>
        <w:t>2</w:t>
      </w:r>
      <w:r>
        <w:rPr>
          <w:rFonts w:eastAsiaTheme="minorEastAsia"/>
        </w:rPr>
        <w:t xml:space="preserve">-year-old vehicles were the same in each year, equation 2 would give the same result as weighting </w:t>
      </w:r>
      <w:r w:rsidR="00A81F07">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jast</m:t>
            </m:r>
          </m:sub>
        </m:sSub>
      </m:oMath>
      <w:r w:rsidR="00A81F07">
        <w:rPr>
          <w:rFonts w:eastAsiaTheme="minorEastAsia"/>
        </w:rPr>
        <w:t xml:space="preserve"> </w:t>
      </w:r>
      <w:r>
        <w:rPr>
          <w:rFonts w:eastAsiaTheme="minorEastAsia"/>
        </w:rPr>
        <w:t>by</w:t>
      </w:r>
      <w:r w:rsidR="006E4EE0">
        <w:rPr>
          <w:rFonts w:eastAsiaTheme="minorEastAsia"/>
        </w:rPr>
        <w:t xml:space="preserve"> </w:t>
      </w:r>
      <w:r w:rsidR="00A81F07">
        <w:rPr>
          <w:rFonts w:eastAsiaTheme="minorEastAsia"/>
        </w:rPr>
        <w:t xml:space="preserve">the </w:t>
      </w:r>
      <w:r w:rsidR="006E4EE0">
        <w:rPr>
          <w:rFonts w:eastAsiaTheme="minorEastAsia"/>
        </w:rPr>
        <w:t>number of vehicles in operation</w:t>
      </w:r>
      <w:r w:rsidR="00A81F0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jsa(t-a)</m:t>
            </m:r>
          </m:sub>
        </m:sSub>
      </m:oMath>
      <w:r>
        <w:rPr>
          <w:rFonts w:eastAsiaTheme="minorEastAsia"/>
        </w:rPr>
        <w:t>.</w:t>
      </w:r>
      <w:r w:rsidR="00580F0B">
        <w:rPr>
          <w:rFonts w:eastAsiaTheme="minorEastAsia"/>
        </w:rPr>
        <w:t xml:space="preserve"> </w:t>
      </w:r>
    </w:p>
    <w:p w14:paraId="3CF0228D" w14:textId="5D196C10" w:rsidR="006F156E" w:rsidRDefault="006F156E" w:rsidP="00FC5934">
      <w:pPr>
        <w:rPr>
          <w:rFonts w:eastAsiaTheme="minorEastAsia"/>
        </w:rPr>
      </w:pPr>
      <w:r>
        <w:rPr>
          <w:rFonts w:eastAsiaTheme="minorEastAsia"/>
        </w:rPr>
        <w:t xml:space="preserve">Equation 2 requires state and vehicle-specific survival rates going back seven years, e.g., from 2015 to 2021. Since our survival data includes calendar years from 2014 to 2021, we can calculate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jsy</m:t>
            </m:r>
          </m:sub>
        </m:sSub>
      </m:oMath>
      <w:r>
        <w:rPr>
          <w:rFonts w:eastAsiaTheme="minorEastAsia"/>
        </w:rPr>
        <w:t xml:space="preserve"> only for 2021 and 2022 using equation 2. As an alternative that could be used for all years, we tried using weights for the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jsat</m:t>
            </m:r>
          </m:sub>
        </m:sSub>
      </m:oMath>
      <w:r>
        <w:rPr>
          <w:rFonts w:eastAsiaTheme="minorEastAsia"/>
        </w:rPr>
        <w:t xml:space="preserve"> based on national survival rates for the current year,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jat</m:t>
            </m:r>
          </m:sub>
        </m:sSub>
      </m:oMath>
      <w:r w:rsidR="00DE17E3">
        <w:rPr>
          <w:rFonts w:eastAsiaTheme="minorEastAsia"/>
        </w:rPr>
        <w:t xml:space="preserve">. Because the </w:t>
      </w:r>
      <w:bookmarkStart w:id="7" w:name="_Hlk215733154"/>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jsy</m:t>
            </m:r>
          </m:sub>
        </m:sSub>
      </m:oMath>
      <w:r w:rsidR="00DE17E3">
        <w:rPr>
          <w:rFonts w:eastAsiaTheme="minorEastAsia"/>
        </w:rPr>
        <w:t xml:space="preserve"> </w:t>
      </w:r>
      <w:bookmarkEnd w:id="7"/>
      <w:r w:rsidR="00DE17E3">
        <w:rPr>
          <w:rFonts w:eastAsiaTheme="minorEastAsia"/>
        </w:rPr>
        <w:t xml:space="preserve">depend primarily on the values of the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jsat</m:t>
            </m:r>
          </m:sub>
        </m:sSub>
      </m:oMath>
      <w:r w:rsidR="00DE17E3">
        <w:rPr>
          <w:rFonts w:eastAsiaTheme="minorEastAsia"/>
        </w:rPr>
        <w:t xml:space="preserve"> and because national survival rates for year t are similar in magnitude to state values for historical years, the national approximation yields an accurate linear approximation to the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jsy</m:t>
            </m:r>
          </m:sub>
        </m:sSub>
      </m:oMath>
      <w:r w:rsidR="00DE17E3">
        <w:rPr>
          <w:rFonts w:eastAsiaTheme="minorEastAsia"/>
        </w:rPr>
        <w:t xml:space="preserve"> values produced using historical state survival rates (as required by equation 2). Regressing the 2022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jsy</m:t>
            </m:r>
          </m:sub>
        </m:sSub>
      </m:oMath>
      <w:r w:rsidR="00DE17E3">
        <w:rPr>
          <w:rFonts w:eastAsiaTheme="minorEastAsia"/>
        </w:rPr>
        <w:t xml:space="preserve"> values calculated using equation 2 on 2022 estimates produced using 2022 national survival rates produced R</w:t>
      </w:r>
      <w:r w:rsidR="00FF744C">
        <w:rPr>
          <w:rFonts w:eastAsiaTheme="minorEastAsia"/>
          <w:vertAlign w:val="superscript"/>
        </w:rPr>
        <w:t>2</w:t>
      </w:r>
      <w:r w:rsidR="00DE17E3">
        <w:rPr>
          <w:rFonts w:eastAsiaTheme="minorEastAsia"/>
        </w:rPr>
        <w:t xml:space="preserve"> values </w:t>
      </w:r>
      <w:proofErr w:type="gramStart"/>
      <w:r w:rsidR="00DE17E3">
        <w:rPr>
          <w:rFonts w:eastAsiaTheme="minorEastAsia"/>
        </w:rPr>
        <w:t>in excess of</w:t>
      </w:r>
      <w:proofErr w:type="gramEnd"/>
      <w:r w:rsidR="00DE17E3">
        <w:rPr>
          <w:rFonts w:eastAsiaTheme="minorEastAsia"/>
        </w:rPr>
        <w:t xml:space="preserve"> 0.997 and </w:t>
      </w:r>
      <w:r w:rsidR="00074372">
        <w:rPr>
          <w:rFonts w:eastAsiaTheme="minorEastAsia"/>
        </w:rPr>
        <w:t xml:space="preserve">slope </w:t>
      </w:r>
      <w:r w:rsidR="00DE17E3">
        <w:rPr>
          <w:rFonts w:eastAsiaTheme="minorEastAsia"/>
        </w:rPr>
        <w:t xml:space="preserve">coefficients </w:t>
      </w:r>
      <w:r w:rsidR="00074372">
        <w:rPr>
          <w:rFonts w:eastAsiaTheme="minorEastAsia"/>
        </w:rPr>
        <w:t>ranging from 0.99 to 1.02</w:t>
      </w:r>
      <w:r w:rsidR="00FF744C">
        <w:rPr>
          <w:rFonts w:eastAsiaTheme="minorEastAsia"/>
        </w:rPr>
        <w:t xml:space="preserve"> (Figure 5)</w:t>
      </w:r>
      <w:r w:rsidR="00074372">
        <w:rPr>
          <w:rFonts w:eastAsiaTheme="minorEastAsia"/>
        </w:rPr>
        <w:t>.</w:t>
      </w:r>
    </w:p>
    <w:p w14:paraId="5E667582" w14:textId="77777777" w:rsidR="00074372" w:rsidRDefault="00074372" w:rsidP="00FC5934">
      <w:pPr>
        <w:rPr>
          <w:rFonts w:eastAsiaTheme="minorEastAsia"/>
        </w:rPr>
      </w:pPr>
    </w:p>
    <w:p w14:paraId="79342053" w14:textId="77777777" w:rsidR="006F156E" w:rsidRDefault="006F156E" w:rsidP="00FC5934">
      <w:pPr>
        <w:rPr>
          <w:rFonts w:eastAsiaTheme="minorEastAsia"/>
        </w:rPr>
      </w:pPr>
    </w:p>
    <w:p w14:paraId="7AB5C283" w14:textId="17619FBE" w:rsidR="00BB0B13" w:rsidRDefault="00D90348" w:rsidP="00074372">
      <w:pPr>
        <w:jc w:val="center"/>
      </w:pPr>
      <w:r>
        <w:rPr>
          <w:noProof/>
        </w:rPr>
        <w:lastRenderedPageBreak/>
        <w:drawing>
          <wp:inline distT="0" distB="0" distL="0" distR="0" wp14:anchorId="7BA3982E" wp14:editId="7A392E25">
            <wp:extent cx="5013960" cy="3636222"/>
            <wp:effectExtent l="0" t="0" r="0" b="2540"/>
            <wp:docPr id="275138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2223" cy="3649467"/>
                    </a:xfrm>
                    <a:prstGeom prst="rect">
                      <a:avLst/>
                    </a:prstGeom>
                    <a:noFill/>
                  </pic:spPr>
                </pic:pic>
              </a:graphicData>
            </a:graphic>
          </wp:inline>
        </w:drawing>
      </w:r>
    </w:p>
    <w:p w14:paraId="4C1F3B05" w14:textId="266AB3F1" w:rsidR="00074372" w:rsidRDefault="00074372" w:rsidP="00074372">
      <w:pPr>
        <w:jc w:val="center"/>
      </w:pPr>
      <w:r>
        <w:t xml:space="preserve">Figure </w:t>
      </w:r>
      <w:r w:rsidR="00FF744C">
        <w:t>5</w:t>
      </w:r>
      <w:r>
        <w:t>. Comparison of Vehicle Migration Indicators Using State-Year-Specific and National Survival Rates as Weights</w:t>
      </w:r>
    </w:p>
    <w:p w14:paraId="595AA222" w14:textId="6E657081" w:rsidR="00D313E8" w:rsidRDefault="00D313E8" w:rsidP="00D313E8">
      <w:pPr>
        <w:rPr>
          <w:rFonts w:eastAsiaTheme="minorEastAsia"/>
        </w:rPr>
      </w:pPr>
      <w:r>
        <w:rPr>
          <w:rFonts w:eastAsiaTheme="minorEastAsia"/>
        </w:rPr>
        <w:t xml:space="preserve">The average of the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jst</m:t>
            </m:r>
          </m:sub>
        </m:sSub>
      </m:oMath>
      <w:r>
        <w:rPr>
          <w:rFonts w:eastAsiaTheme="minorEastAsia"/>
        </w:rPr>
        <w:t xml:space="preserve"> values calculated using the national method for each year from 2014 to 2021 are shown in the maps (Figures </w:t>
      </w:r>
      <w:r w:rsidR="00847ADF">
        <w:rPr>
          <w:rFonts w:eastAsiaTheme="minorEastAsia"/>
        </w:rPr>
        <w:t>6</w:t>
      </w:r>
      <w:r>
        <w:rPr>
          <w:rFonts w:eastAsiaTheme="minorEastAsia"/>
        </w:rPr>
        <w:t xml:space="preserve">a-c). The values indicate typical net imports (+) or exports (-) of 2 to 8-year-old vehicles as a fraction of all vehicles of that age in operation in the state from January 1, 2015, to January 1, 2022 (Figure 4). Certain states stand out as exporters of 2-8-year-old used </w:t>
      </w:r>
      <w:r w:rsidR="0038595A">
        <w:rPr>
          <w:rFonts w:eastAsiaTheme="minorEastAsia"/>
        </w:rPr>
        <w:t>passenger cars</w:t>
      </w:r>
      <w:r>
        <w:rPr>
          <w:rFonts w:eastAsiaTheme="minorEastAsia"/>
        </w:rPr>
        <w:t xml:space="preserve">, </w:t>
      </w:r>
      <w:r w:rsidR="0038595A">
        <w:rPr>
          <w:rFonts w:eastAsiaTheme="minorEastAsia"/>
        </w:rPr>
        <w:t>including</w:t>
      </w:r>
      <w:r>
        <w:rPr>
          <w:rFonts w:eastAsiaTheme="minorEastAsia"/>
        </w:rPr>
        <w:t xml:space="preserve"> New York and New Jersey.</w:t>
      </w:r>
      <w:r w:rsidR="0038595A">
        <w:rPr>
          <w:rFonts w:eastAsiaTheme="minorEastAsia"/>
        </w:rPr>
        <w:t xml:space="preserve"> Other car-exporting states include California, Florida, Michigan, Pennsylvania and Oklahoma. </w:t>
      </w:r>
      <w:r w:rsidR="00977A0D">
        <w:rPr>
          <w:rFonts w:eastAsiaTheme="minorEastAsia"/>
        </w:rPr>
        <w:t>Idaho and Western Mountain states, Tennessee and Southeastern states tend to be importers of used cars. The general patter</w:t>
      </w:r>
      <w:r w:rsidR="00847ADF">
        <w:rPr>
          <w:rFonts w:eastAsiaTheme="minorEastAsia"/>
        </w:rPr>
        <w:t>n</w:t>
      </w:r>
      <w:r w:rsidR="00977A0D">
        <w:rPr>
          <w:rFonts w:eastAsiaTheme="minorEastAsia"/>
        </w:rPr>
        <w:t xml:space="preserve"> of importers and exporters is very similar across vehicle types, but there are noticeable differences in the skewness of the distributions, especially for pickup trucks. Nearly all states have survival rates above the national average</w:t>
      </w:r>
      <w:r w:rsidR="0066787E">
        <w:rPr>
          <w:rFonts w:eastAsiaTheme="minorEastAsia"/>
        </w:rPr>
        <w:t xml:space="preserve"> for light trucks, especially pickups. </w:t>
      </w:r>
    </w:p>
    <w:p w14:paraId="2F1360DE" w14:textId="0149ECC6" w:rsidR="0066787E" w:rsidRDefault="0066787E" w:rsidP="00D313E8">
      <w:r>
        <w:t>An analysis of variance of the annual state net migration indicators</w:t>
      </w:r>
      <w:r w:rsidR="00613D77">
        <w:t xml:space="preserve">, </w:t>
      </w:r>
      <w: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jsy</m:t>
            </m:r>
          </m:sub>
        </m:sSub>
      </m:oMath>
      <w:r w:rsidR="00067F07">
        <w:rPr>
          <w:rFonts w:eastAsiaTheme="minorEastAsia"/>
        </w:rPr>
        <w:t xml:space="preserve">, </w:t>
      </w:r>
      <w:r>
        <w:t>found that state</w:t>
      </w:r>
      <w:r w:rsidR="00171361">
        <w:t>, vehicle type and year effects were all statistically significant, but that state effects accounted for more tha</w:t>
      </w:r>
      <w:r w:rsidR="00847ADF">
        <w:t>n</w:t>
      </w:r>
      <w:r w:rsidR="00171361">
        <w:t xml:space="preserve"> ten times the variance of the other two variables </w:t>
      </w:r>
      <w:r w:rsidR="00613D77">
        <w:t xml:space="preserve">(Table X). We </w:t>
      </w:r>
      <w:r w:rsidR="00171361">
        <w:t xml:space="preserve">also </w:t>
      </w:r>
      <w:r w:rsidR="00613D77">
        <w:t xml:space="preserve">included an effect for anomalous data for the state of Tennessee in 2014 </w:t>
      </w:r>
      <w:r w:rsidR="00171361">
        <w:t>which alone accounted for four times the variance of year or vehicle type.</w:t>
      </w:r>
    </w:p>
    <w:p w14:paraId="02630F0A" w14:textId="72DE28B4" w:rsidR="0086070C" w:rsidRDefault="00D313E8" w:rsidP="00D313E8">
      <w:pPr>
        <w:jc w:val="center"/>
      </w:pPr>
      <w:r>
        <w:rPr>
          <w:noProof/>
        </w:rPr>
        <w:lastRenderedPageBreak/>
        <w:drawing>
          <wp:inline distT="0" distB="0" distL="0" distR="0" wp14:anchorId="1479A2A4" wp14:editId="1E05D399">
            <wp:extent cx="4034125" cy="2423160"/>
            <wp:effectExtent l="0" t="0" r="5080" b="0"/>
            <wp:docPr id="1573683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0230" cy="2426827"/>
                    </a:xfrm>
                    <a:prstGeom prst="rect">
                      <a:avLst/>
                    </a:prstGeom>
                    <a:noFill/>
                  </pic:spPr>
                </pic:pic>
              </a:graphicData>
            </a:graphic>
          </wp:inline>
        </w:drawing>
      </w:r>
    </w:p>
    <w:p w14:paraId="710DB323" w14:textId="400ED48E" w:rsidR="00D313E8" w:rsidRDefault="00847ADF" w:rsidP="00D313E8">
      <w:pPr>
        <w:jc w:val="center"/>
      </w:pPr>
      <w:r>
        <w:t>Figure 6a.</w:t>
      </w:r>
    </w:p>
    <w:p w14:paraId="71F9139C" w14:textId="77777777" w:rsidR="00847ADF" w:rsidRDefault="00D313E8" w:rsidP="00D313E8">
      <w:pPr>
        <w:jc w:val="center"/>
      </w:pPr>
      <w:r>
        <w:rPr>
          <w:noProof/>
        </w:rPr>
        <w:drawing>
          <wp:inline distT="0" distB="0" distL="0" distR="0" wp14:anchorId="18E57F3F" wp14:editId="2E5A616B">
            <wp:extent cx="4199042" cy="2522220"/>
            <wp:effectExtent l="0" t="0" r="0" b="0"/>
            <wp:docPr id="11293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3515" cy="2524907"/>
                    </a:xfrm>
                    <a:prstGeom prst="rect">
                      <a:avLst/>
                    </a:prstGeom>
                    <a:noFill/>
                  </pic:spPr>
                </pic:pic>
              </a:graphicData>
            </a:graphic>
          </wp:inline>
        </w:drawing>
      </w:r>
    </w:p>
    <w:p w14:paraId="4E28C50A" w14:textId="7811ADF4" w:rsidR="00847ADF" w:rsidRDefault="00847ADF" w:rsidP="00D313E8">
      <w:pPr>
        <w:jc w:val="center"/>
      </w:pPr>
      <w:r>
        <w:t>Figure 6b.</w:t>
      </w:r>
    </w:p>
    <w:p w14:paraId="5434FC16" w14:textId="7FF45961" w:rsidR="00D313E8" w:rsidRDefault="00D313E8" w:rsidP="00D313E8">
      <w:pPr>
        <w:jc w:val="center"/>
      </w:pPr>
      <w:r>
        <w:rPr>
          <w:noProof/>
        </w:rPr>
        <w:lastRenderedPageBreak/>
        <w:drawing>
          <wp:inline distT="0" distB="0" distL="0" distR="0" wp14:anchorId="49F3D48C" wp14:editId="26C9A6A2">
            <wp:extent cx="4160984" cy="2499360"/>
            <wp:effectExtent l="0" t="0" r="0" b="0"/>
            <wp:docPr id="845962619" name="Picture 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62619" name="Picture 4" descr="A map of the united stat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6368" cy="2502594"/>
                    </a:xfrm>
                    <a:prstGeom prst="rect">
                      <a:avLst/>
                    </a:prstGeom>
                    <a:noFill/>
                  </pic:spPr>
                </pic:pic>
              </a:graphicData>
            </a:graphic>
          </wp:inline>
        </w:drawing>
      </w:r>
    </w:p>
    <w:p w14:paraId="3D30F4E7" w14:textId="56CE0D88" w:rsidR="00847ADF" w:rsidRDefault="00847ADF" w:rsidP="00D313E8">
      <w:pPr>
        <w:jc w:val="center"/>
      </w:pPr>
      <w:r>
        <w:t>Figure 6c.</w:t>
      </w:r>
    </w:p>
    <w:p w14:paraId="5958EB49" w14:textId="5DECCDD9" w:rsidR="00DA390F" w:rsidRDefault="00DA390F" w:rsidP="00D313E8">
      <w:pPr>
        <w:jc w:val="center"/>
      </w:pPr>
      <w:r>
        <w:t>Table X. Analysis of Variance of State Used Vehicle Import(+)/</w:t>
      </w:r>
      <w:proofErr w:type="gramStart"/>
      <w:r>
        <w:t>Export(</w:t>
      </w:r>
      <w:proofErr w:type="gramEnd"/>
      <w:r>
        <w:t>-) Indicators</w:t>
      </w:r>
    </w:p>
    <w:tbl>
      <w:tblPr>
        <w:tblW w:w="0" w:type="auto"/>
        <w:tblInd w:w="-30" w:type="dxa"/>
        <w:tblLayout w:type="fixed"/>
        <w:tblLook w:val="0000" w:firstRow="0" w:lastRow="0" w:firstColumn="0" w:lastColumn="0" w:noHBand="0" w:noVBand="0"/>
      </w:tblPr>
      <w:tblGrid>
        <w:gridCol w:w="1337"/>
        <w:gridCol w:w="1123"/>
        <w:gridCol w:w="90"/>
        <w:gridCol w:w="900"/>
        <w:gridCol w:w="983"/>
        <w:gridCol w:w="1032"/>
        <w:gridCol w:w="1032"/>
      </w:tblGrid>
      <w:tr w:rsidR="00D828BB" w14:paraId="2F22E06A" w14:textId="77777777" w:rsidTr="00DA390F">
        <w:trPr>
          <w:trHeight w:val="305"/>
        </w:trPr>
        <w:tc>
          <w:tcPr>
            <w:tcW w:w="3450" w:type="dxa"/>
            <w:gridSpan w:val="4"/>
            <w:tcBorders>
              <w:top w:val="nil"/>
              <w:left w:val="nil"/>
              <w:bottom w:val="nil"/>
              <w:right w:val="nil"/>
            </w:tcBorders>
          </w:tcPr>
          <w:p w14:paraId="4B06BFFD" w14:textId="77777777"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Number of observations = 1,224</w:t>
            </w:r>
          </w:p>
        </w:tc>
        <w:tc>
          <w:tcPr>
            <w:tcW w:w="2015" w:type="dxa"/>
            <w:gridSpan w:val="2"/>
            <w:tcBorders>
              <w:top w:val="nil"/>
              <w:left w:val="nil"/>
              <w:bottom w:val="nil"/>
              <w:right w:val="nil"/>
            </w:tcBorders>
          </w:tcPr>
          <w:p w14:paraId="77A6E136" w14:textId="77777777"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R-squared =</w:t>
            </w:r>
          </w:p>
        </w:tc>
        <w:tc>
          <w:tcPr>
            <w:tcW w:w="1032" w:type="dxa"/>
            <w:tcBorders>
              <w:top w:val="nil"/>
              <w:left w:val="nil"/>
              <w:bottom w:val="nil"/>
              <w:right w:val="nil"/>
            </w:tcBorders>
          </w:tcPr>
          <w:p w14:paraId="1672047D"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0.7894</w:t>
            </w:r>
          </w:p>
        </w:tc>
      </w:tr>
      <w:tr w:rsidR="00D828BB" w14:paraId="1B4B8C91" w14:textId="77777777" w:rsidTr="00DA390F">
        <w:trPr>
          <w:trHeight w:val="305"/>
        </w:trPr>
        <w:tc>
          <w:tcPr>
            <w:tcW w:w="1337" w:type="dxa"/>
            <w:tcBorders>
              <w:top w:val="nil"/>
              <w:left w:val="nil"/>
              <w:bottom w:val="nil"/>
              <w:right w:val="nil"/>
            </w:tcBorders>
          </w:tcPr>
          <w:p w14:paraId="68081467" w14:textId="77777777"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Root MSE =</w:t>
            </w:r>
          </w:p>
        </w:tc>
        <w:tc>
          <w:tcPr>
            <w:tcW w:w="1123" w:type="dxa"/>
            <w:tcBorders>
              <w:top w:val="nil"/>
              <w:left w:val="nil"/>
              <w:bottom w:val="nil"/>
              <w:right w:val="nil"/>
            </w:tcBorders>
          </w:tcPr>
          <w:p w14:paraId="1903A1B7"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0.015984</w:t>
            </w:r>
          </w:p>
        </w:tc>
        <w:tc>
          <w:tcPr>
            <w:tcW w:w="990" w:type="dxa"/>
            <w:gridSpan w:val="2"/>
            <w:tcBorders>
              <w:top w:val="nil"/>
              <w:left w:val="nil"/>
              <w:bottom w:val="nil"/>
              <w:right w:val="nil"/>
            </w:tcBorders>
          </w:tcPr>
          <w:p w14:paraId="3B5FAB58"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p>
        </w:tc>
        <w:tc>
          <w:tcPr>
            <w:tcW w:w="2015" w:type="dxa"/>
            <w:gridSpan w:val="2"/>
            <w:tcBorders>
              <w:top w:val="nil"/>
              <w:left w:val="nil"/>
              <w:bottom w:val="nil"/>
              <w:right w:val="nil"/>
            </w:tcBorders>
          </w:tcPr>
          <w:p w14:paraId="603D1BD8" w14:textId="77777777"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Adj. R-squared =</w:t>
            </w:r>
          </w:p>
        </w:tc>
        <w:tc>
          <w:tcPr>
            <w:tcW w:w="1032" w:type="dxa"/>
            <w:tcBorders>
              <w:top w:val="nil"/>
              <w:left w:val="nil"/>
              <w:bottom w:val="nil"/>
              <w:right w:val="nil"/>
            </w:tcBorders>
          </w:tcPr>
          <w:p w14:paraId="04D5DB52"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0.7785</w:t>
            </w:r>
          </w:p>
        </w:tc>
      </w:tr>
      <w:tr w:rsidR="00D828BB" w14:paraId="365CDCA4" w14:textId="77777777" w:rsidTr="00DA390F">
        <w:trPr>
          <w:trHeight w:val="305"/>
        </w:trPr>
        <w:tc>
          <w:tcPr>
            <w:tcW w:w="1337" w:type="dxa"/>
            <w:tcBorders>
              <w:top w:val="nil"/>
              <w:left w:val="nil"/>
              <w:bottom w:val="nil"/>
              <w:right w:val="nil"/>
            </w:tcBorders>
          </w:tcPr>
          <w:p w14:paraId="148BC62A" w14:textId="77777777"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Source</w:t>
            </w:r>
          </w:p>
        </w:tc>
        <w:tc>
          <w:tcPr>
            <w:tcW w:w="1213" w:type="dxa"/>
            <w:gridSpan w:val="2"/>
            <w:tcBorders>
              <w:top w:val="nil"/>
              <w:left w:val="nil"/>
              <w:bottom w:val="nil"/>
              <w:right w:val="nil"/>
            </w:tcBorders>
          </w:tcPr>
          <w:p w14:paraId="513E042F" w14:textId="3F9D557B"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Partial SS</w:t>
            </w:r>
          </w:p>
        </w:tc>
        <w:tc>
          <w:tcPr>
            <w:tcW w:w="900" w:type="dxa"/>
            <w:tcBorders>
              <w:top w:val="nil"/>
              <w:left w:val="nil"/>
              <w:bottom w:val="nil"/>
              <w:right w:val="nil"/>
            </w:tcBorders>
          </w:tcPr>
          <w:p w14:paraId="5333717D" w14:textId="77777777" w:rsidR="00D828BB" w:rsidRDefault="00D828BB">
            <w:pPr>
              <w:autoSpaceDE w:val="0"/>
              <w:autoSpaceDN w:val="0"/>
              <w:adjustRightInd w:val="0"/>
              <w:spacing w:after="0" w:line="240" w:lineRule="auto"/>
              <w:jc w:val="center"/>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df</w:t>
            </w:r>
            <w:proofErr w:type="spellEnd"/>
          </w:p>
        </w:tc>
        <w:tc>
          <w:tcPr>
            <w:tcW w:w="983" w:type="dxa"/>
            <w:tcBorders>
              <w:top w:val="nil"/>
              <w:left w:val="nil"/>
              <w:bottom w:val="nil"/>
              <w:right w:val="nil"/>
            </w:tcBorders>
          </w:tcPr>
          <w:p w14:paraId="7795B042" w14:textId="77777777" w:rsidR="00D828BB" w:rsidRDefault="00D828BB">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MS</w:t>
            </w:r>
          </w:p>
        </w:tc>
        <w:tc>
          <w:tcPr>
            <w:tcW w:w="1032" w:type="dxa"/>
            <w:tcBorders>
              <w:top w:val="nil"/>
              <w:left w:val="nil"/>
              <w:bottom w:val="nil"/>
              <w:right w:val="nil"/>
            </w:tcBorders>
          </w:tcPr>
          <w:p w14:paraId="4497CABD" w14:textId="77777777" w:rsidR="00D828BB" w:rsidRDefault="00D828BB">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F</w:t>
            </w:r>
          </w:p>
        </w:tc>
        <w:tc>
          <w:tcPr>
            <w:tcW w:w="1032" w:type="dxa"/>
            <w:tcBorders>
              <w:top w:val="nil"/>
              <w:left w:val="nil"/>
              <w:bottom w:val="nil"/>
              <w:right w:val="nil"/>
            </w:tcBorders>
          </w:tcPr>
          <w:p w14:paraId="0E498AC2" w14:textId="77777777" w:rsidR="00D828BB" w:rsidRDefault="00D828BB">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Prob&gt;F</w:t>
            </w:r>
          </w:p>
        </w:tc>
      </w:tr>
      <w:tr w:rsidR="00D828BB" w14:paraId="42E48108" w14:textId="77777777" w:rsidTr="00DA390F">
        <w:trPr>
          <w:trHeight w:val="305"/>
        </w:trPr>
        <w:tc>
          <w:tcPr>
            <w:tcW w:w="1337" w:type="dxa"/>
            <w:tcBorders>
              <w:top w:val="nil"/>
              <w:left w:val="nil"/>
              <w:bottom w:val="nil"/>
              <w:right w:val="nil"/>
            </w:tcBorders>
          </w:tcPr>
          <w:p w14:paraId="238940D8" w14:textId="77777777"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Model</w:t>
            </w:r>
          </w:p>
        </w:tc>
        <w:tc>
          <w:tcPr>
            <w:tcW w:w="1213" w:type="dxa"/>
            <w:gridSpan w:val="2"/>
            <w:tcBorders>
              <w:top w:val="nil"/>
              <w:left w:val="nil"/>
              <w:bottom w:val="nil"/>
              <w:right w:val="nil"/>
            </w:tcBorders>
          </w:tcPr>
          <w:p w14:paraId="638959F6"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1.11372</w:t>
            </w:r>
          </w:p>
        </w:tc>
        <w:tc>
          <w:tcPr>
            <w:tcW w:w="900" w:type="dxa"/>
            <w:tcBorders>
              <w:top w:val="nil"/>
              <w:left w:val="nil"/>
              <w:bottom w:val="nil"/>
              <w:right w:val="nil"/>
            </w:tcBorders>
          </w:tcPr>
          <w:p w14:paraId="274D14C0"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60</w:t>
            </w:r>
          </w:p>
        </w:tc>
        <w:tc>
          <w:tcPr>
            <w:tcW w:w="983" w:type="dxa"/>
            <w:tcBorders>
              <w:top w:val="nil"/>
              <w:left w:val="nil"/>
              <w:bottom w:val="nil"/>
              <w:right w:val="nil"/>
            </w:tcBorders>
          </w:tcPr>
          <w:p w14:paraId="5321D02F"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0.01856</w:t>
            </w:r>
          </w:p>
        </w:tc>
        <w:tc>
          <w:tcPr>
            <w:tcW w:w="1032" w:type="dxa"/>
            <w:tcBorders>
              <w:top w:val="nil"/>
              <w:left w:val="nil"/>
              <w:bottom w:val="nil"/>
              <w:right w:val="nil"/>
            </w:tcBorders>
          </w:tcPr>
          <w:p w14:paraId="533C6B06"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72.65</w:t>
            </w:r>
          </w:p>
        </w:tc>
        <w:tc>
          <w:tcPr>
            <w:tcW w:w="1032" w:type="dxa"/>
            <w:tcBorders>
              <w:top w:val="nil"/>
              <w:left w:val="nil"/>
              <w:bottom w:val="nil"/>
              <w:right w:val="nil"/>
            </w:tcBorders>
          </w:tcPr>
          <w:p w14:paraId="4FE297C0"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0.0000</w:t>
            </w:r>
          </w:p>
        </w:tc>
      </w:tr>
      <w:tr w:rsidR="00D828BB" w14:paraId="77ACBBB7" w14:textId="77777777" w:rsidTr="00DA390F">
        <w:trPr>
          <w:trHeight w:val="305"/>
        </w:trPr>
        <w:tc>
          <w:tcPr>
            <w:tcW w:w="1337" w:type="dxa"/>
            <w:tcBorders>
              <w:top w:val="nil"/>
              <w:left w:val="nil"/>
              <w:bottom w:val="nil"/>
              <w:right w:val="nil"/>
            </w:tcBorders>
          </w:tcPr>
          <w:p w14:paraId="6B2126BD" w14:textId="77777777"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State</w:t>
            </w:r>
          </w:p>
        </w:tc>
        <w:tc>
          <w:tcPr>
            <w:tcW w:w="1213" w:type="dxa"/>
            <w:gridSpan w:val="2"/>
            <w:tcBorders>
              <w:top w:val="nil"/>
              <w:left w:val="nil"/>
              <w:bottom w:val="nil"/>
              <w:right w:val="nil"/>
            </w:tcBorders>
          </w:tcPr>
          <w:p w14:paraId="71D80F1A"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0.64836</w:t>
            </w:r>
          </w:p>
        </w:tc>
        <w:tc>
          <w:tcPr>
            <w:tcW w:w="900" w:type="dxa"/>
            <w:tcBorders>
              <w:top w:val="nil"/>
              <w:left w:val="nil"/>
              <w:bottom w:val="nil"/>
              <w:right w:val="nil"/>
            </w:tcBorders>
          </w:tcPr>
          <w:p w14:paraId="08C84EC3"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50</w:t>
            </w:r>
          </w:p>
        </w:tc>
        <w:tc>
          <w:tcPr>
            <w:tcW w:w="983" w:type="dxa"/>
            <w:tcBorders>
              <w:top w:val="nil"/>
              <w:left w:val="nil"/>
              <w:bottom w:val="nil"/>
              <w:right w:val="nil"/>
            </w:tcBorders>
          </w:tcPr>
          <w:p w14:paraId="07823B20"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0.01297</w:t>
            </w:r>
          </w:p>
        </w:tc>
        <w:tc>
          <w:tcPr>
            <w:tcW w:w="1032" w:type="dxa"/>
            <w:tcBorders>
              <w:top w:val="nil"/>
              <w:left w:val="nil"/>
              <w:bottom w:val="nil"/>
              <w:right w:val="nil"/>
            </w:tcBorders>
          </w:tcPr>
          <w:p w14:paraId="2A22FB84"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50.75</w:t>
            </w:r>
          </w:p>
        </w:tc>
        <w:tc>
          <w:tcPr>
            <w:tcW w:w="1032" w:type="dxa"/>
            <w:tcBorders>
              <w:top w:val="nil"/>
              <w:left w:val="nil"/>
              <w:bottom w:val="nil"/>
              <w:right w:val="nil"/>
            </w:tcBorders>
          </w:tcPr>
          <w:p w14:paraId="1B17B5F8"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0.0000</w:t>
            </w:r>
          </w:p>
        </w:tc>
      </w:tr>
      <w:tr w:rsidR="00D828BB" w14:paraId="78D8E3C7" w14:textId="77777777" w:rsidTr="00DA390F">
        <w:trPr>
          <w:trHeight w:val="305"/>
        </w:trPr>
        <w:tc>
          <w:tcPr>
            <w:tcW w:w="1337" w:type="dxa"/>
            <w:tcBorders>
              <w:top w:val="nil"/>
              <w:left w:val="nil"/>
              <w:bottom w:val="nil"/>
              <w:right w:val="nil"/>
            </w:tcBorders>
          </w:tcPr>
          <w:p w14:paraId="38AA4667" w14:textId="77777777"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Year</w:t>
            </w:r>
          </w:p>
        </w:tc>
        <w:tc>
          <w:tcPr>
            <w:tcW w:w="1213" w:type="dxa"/>
            <w:gridSpan w:val="2"/>
            <w:tcBorders>
              <w:top w:val="nil"/>
              <w:left w:val="nil"/>
              <w:bottom w:val="nil"/>
              <w:right w:val="nil"/>
            </w:tcBorders>
          </w:tcPr>
          <w:p w14:paraId="775BBF0C"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0.05915</w:t>
            </w:r>
          </w:p>
        </w:tc>
        <w:tc>
          <w:tcPr>
            <w:tcW w:w="900" w:type="dxa"/>
            <w:tcBorders>
              <w:top w:val="nil"/>
              <w:left w:val="nil"/>
              <w:bottom w:val="nil"/>
              <w:right w:val="nil"/>
            </w:tcBorders>
          </w:tcPr>
          <w:p w14:paraId="15BD2334"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7</w:t>
            </w:r>
          </w:p>
        </w:tc>
        <w:tc>
          <w:tcPr>
            <w:tcW w:w="983" w:type="dxa"/>
            <w:tcBorders>
              <w:top w:val="nil"/>
              <w:left w:val="nil"/>
              <w:bottom w:val="nil"/>
              <w:right w:val="nil"/>
            </w:tcBorders>
          </w:tcPr>
          <w:p w14:paraId="13FC2E7A"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0.00845</w:t>
            </w:r>
          </w:p>
        </w:tc>
        <w:tc>
          <w:tcPr>
            <w:tcW w:w="1032" w:type="dxa"/>
            <w:tcBorders>
              <w:top w:val="nil"/>
              <w:left w:val="nil"/>
              <w:bottom w:val="nil"/>
              <w:right w:val="nil"/>
            </w:tcBorders>
          </w:tcPr>
          <w:p w14:paraId="4C8FB4B8"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33.07</w:t>
            </w:r>
          </w:p>
        </w:tc>
        <w:tc>
          <w:tcPr>
            <w:tcW w:w="1032" w:type="dxa"/>
            <w:tcBorders>
              <w:top w:val="nil"/>
              <w:left w:val="nil"/>
              <w:bottom w:val="nil"/>
              <w:right w:val="nil"/>
            </w:tcBorders>
          </w:tcPr>
          <w:p w14:paraId="4014CBBD"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0.0000</w:t>
            </w:r>
          </w:p>
        </w:tc>
      </w:tr>
      <w:tr w:rsidR="00D828BB" w14:paraId="77C6189F" w14:textId="77777777" w:rsidTr="00DA390F">
        <w:trPr>
          <w:trHeight w:val="305"/>
        </w:trPr>
        <w:tc>
          <w:tcPr>
            <w:tcW w:w="1337" w:type="dxa"/>
            <w:tcBorders>
              <w:top w:val="nil"/>
              <w:left w:val="nil"/>
              <w:bottom w:val="nil"/>
              <w:right w:val="nil"/>
            </w:tcBorders>
          </w:tcPr>
          <w:p w14:paraId="33A74C7E" w14:textId="77777777"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Vehicle Type</w:t>
            </w:r>
          </w:p>
        </w:tc>
        <w:tc>
          <w:tcPr>
            <w:tcW w:w="1213" w:type="dxa"/>
            <w:gridSpan w:val="2"/>
            <w:tcBorders>
              <w:top w:val="nil"/>
              <w:left w:val="nil"/>
              <w:bottom w:val="nil"/>
              <w:right w:val="nil"/>
            </w:tcBorders>
          </w:tcPr>
          <w:p w14:paraId="342E59B6"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0.05626</w:t>
            </w:r>
          </w:p>
        </w:tc>
        <w:tc>
          <w:tcPr>
            <w:tcW w:w="900" w:type="dxa"/>
            <w:tcBorders>
              <w:top w:val="nil"/>
              <w:left w:val="nil"/>
              <w:bottom w:val="nil"/>
              <w:right w:val="nil"/>
            </w:tcBorders>
          </w:tcPr>
          <w:p w14:paraId="71347015"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2</w:t>
            </w:r>
          </w:p>
        </w:tc>
        <w:tc>
          <w:tcPr>
            <w:tcW w:w="983" w:type="dxa"/>
            <w:tcBorders>
              <w:top w:val="nil"/>
              <w:left w:val="nil"/>
              <w:bottom w:val="nil"/>
              <w:right w:val="nil"/>
            </w:tcBorders>
          </w:tcPr>
          <w:p w14:paraId="03BCD516"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0.02813</w:t>
            </w:r>
          </w:p>
        </w:tc>
        <w:tc>
          <w:tcPr>
            <w:tcW w:w="1032" w:type="dxa"/>
            <w:tcBorders>
              <w:top w:val="nil"/>
              <w:left w:val="nil"/>
              <w:bottom w:val="nil"/>
              <w:right w:val="nil"/>
            </w:tcBorders>
          </w:tcPr>
          <w:p w14:paraId="7E475F6A"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110.10</w:t>
            </w:r>
          </w:p>
        </w:tc>
        <w:tc>
          <w:tcPr>
            <w:tcW w:w="1032" w:type="dxa"/>
            <w:tcBorders>
              <w:top w:val="nil"/>
              <w:left w:val="nil"/>
              <w:bottom w:val="nil"/>
              <w:right w:val="nil"/>
            </w:tcBorders>
          </w:tcPr>
          <w:p w14:paraId="13246F14"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0.0000</w:t>
            </w:r>
          </w:p>
        </w:tc>
      </w:tr>
      <w:tr w:rsidR="00D828BB" w14:paraId="0A2F066E" w14:textId="77777777" w:rsidTr="00DA390F">
        <w:trPr>
          <w:trHeight w:val="305"/>
        </w:trPr>
        <w:tc>
          <w:tcPr>
            <w:tcW w:w="1337" w:type="dxa"/>
            <w:tcBorders>
              <w:top w:val="nil"/>
              <w:left w:val="nil"/>
              <w:bottom w:val="nil"/>
              <w:right w:val="nil"/>
            </w:tcBorders>
          </w:tcPr>
          <w:p w14:paraId="05AB7B1C" w14:textId="77777777"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TN2014</w:t>
            </w:r>
          </w:p>
        </w:tc>
        <w:tc>
          <w:tcPr>
            <w:tcW w:w="1213" w:type="dxa"/>
            <w:gridSpan w:val="2"/>
            <w:tcBorders>
              <w:top w:val="nil"/>
              <w:left w:val="nil"/>
              <w:bottom w:val="nil"/>
              <w:right w:val="nil"/>
            </w:tcBorders>
          </w:tcPr>
          <w:p w14:paraId="1E9E91A7"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0.25535</w:t>
            </w:r>
          </w:p>
        </w:tc>
        <w:tc>
          <w:tcPr>
            <w:tcW w:w="900" w:type="dxa"/>
            <w:tcBorders>
              <w:top w:val="nil"/>
              <w:left w:val="nil"/>
              <w:bottom w:val="nil"/>
              <w:right w:val="nil"/>
            </w:tcBorders>
          </w:tcPr>
          <w:p w14:paraId="44467B26"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1</w:t>
            </w:r>
          </w:p>
        </w:tc>
        <w:tc>
          <w:tcPr>
            <w:tcW w:w="983" w:type="dxa"/>
            <w:tcBorders>
              <w:top w:val="nil"/>
              <w:left w:val="nil"/>
              <w:bottom w:val="nil"/>
              <w:right w:val="nil"/>
            </w:tcBorders>
          </w:tcPr>
          <w:p w14:paraId="5EEF4595"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0.25535</w:t>
            </w:r>
          </w:p>
        </w:tc>
        <w:tc>
          <w:tcPr>
            <w:tcW w:w="1032" w:type="dxa"/>
            <w:tcBorders>
              <w:top w:val="nil"/>
              <w:left w:val="nil"/>
              <w:bottom w:val="nil"/>
              <w:right w:val="nil"/>
            </w:tcBorders>
          </w:tcPr>
          <w:p w14:paraId="1C4D4ABC"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999.45</w:t>
            </w:r>
          </w:p>
        </w:tc>
        <w:tc>
          <w:tcPr>
            <w:tcW w:w="1032" w:type="dxa"/>
            <w:tcBorders>
              <w:top w:val="nil"/>
              <w:left w:val="nil"/>
              <w:bottom w:val="nil"/>
              <w:right w:val="nil"/>
            </w:tcBorders>
          </w:tcPr>
          <w:p w14:paraId="5C38CD76"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0.0000</w:t>
            </w:r>
          </w:p>
        </w:tc>
      </w:tr>
      <w:tr w:rsidR="00D828BB" w14:paraId="30FE4778" w14:textId="77777777" w:rsidTr="00DA390F">
        <w:trPr>
          <w:trHeight w:val="305"/>
        </w:trPr>
        <w:tc>
          <w:tcPr>
            <w:tcW w:w="1337" w:type="dxa"/>
            <w:tcBorders>
              <w:top w:val="nil"/>
              <w:left w:val="nil"/>
              <w:bottom w:val="nil"/>
              <w:right w:val="nil"/>
            </w:tcBorders>
          </w:tcPr>
          <w:p w14:paraId="0AC24418" w14:textId="77777777"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Residual</w:t>
            </w:r>
          </w:p>
        </w:tc>
        <w:tc>
          <w:tcPr>
            <w:tcW w:w="1213" w:type="dxa"/>
            <w:gridSpan w:val="2"/>
            <w:tcBorders>
              <w:top w:val="nil"/>
              <w:left w:val="nil"/>
              <w:bottom w:val="nil"/>
              <w:right w:val="nil"/>
            </w:tcBorders>
          </w:tcPr>
          <w:p w14:paraId="59BB0E48"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0.29713</w:t>
            </w:r>
          </w:p>
        </w:tc>
        <w:tc>
          <w:tcPr>
            <w:tcW w:w="900" w:type="dxa"/>
            <w:tcBorders>
              <w:top w:val="nil"/>
              <w:left w:val="nil"/>
              <w:bottom w:val="nil"/>
              <w:right w:val="nil"/>
            </w:tcBorders>
          </w:tcPr>
          <w:p w14:paraId="781FB785"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1,163</w:t>
            </w:r>
          </w:p>
        </w:tc>
        <w:tc>
          <w:tcPr>
            <w:tcW w:w="983" w:type="dxa"/>
            <w:tcBorders>
              <w:top w:val="nil"/>
              <w:left w:val="nil"/>
              <w:bottom w:val="nil"/>
              <w:right w:val="nil"/>
            </w:tcBorders>
          </w:tcPr>
          <w:p w14:paraId="73D06193"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0.00026</w:t>
            </w:r>
          </w:p>
        </w:tc>
        <w:tc>
          <w:tcPr>
            <w:tcW w:w="1032" w:type="dxa"/>
            <w:tcBorders>
              <w:top w:val="nil"/>
              <w:left w:val="nil"/>
              <w:bottom w:val="nil"/>
              <w:right w:val="nil"/>
            </w:tcBorders>
          </w:tcPr>
          <w:p w14:paraId="1C3C32C6"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p>
        </w:tc>
        <w:tc>
          <w:tcPr>
            <w:tcW w:w="1032" w:type="dxa"/>
            <w:tcBorders>
              <w:top w:val="nil"/>
              <w:left w:val="nil"/>
              <w:bottom w:val="nil"/>
              <w:right w:val="nil"/>
            </w:tcBorders>
          </w:tcPr>
          <w:p w14:paraId="4C749ED6"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p>
        </w:tc>
      </w:tr>
      <w:tr w:rsidR="00D828BB" w14:paraId="6C35A902" w14:textId="77777777" w:rsidTr="00DA390F">
        <w:trPr>
          <w:trHeight w:val="305"/>
        </w:trPr>
        <w:tc>
          <w:tcPr>
            <w:tcW w:w="1337" w:type="dxa"/>
            <w:tcBorders>
              <w:top w:val="nil"/>
              <w:left w:val="nil"/>
              <w:bottom w:val="nil"/>
              <w:right w:val="nil"/>
            </w:tcBorders>
          </w:tcPr>
          <w:p w14:paraId="26088443" w14:textId="77777777" w:rsidR="00D828BB" w:rsidRDefault="00D828BB">
            <w:pPr>
              <w:autoSpaceDE w:val="0"/>
              <w:autoSpaceDN w:val="0"/>
              <w:adjustRightInd w:val="0"/>
              <w:spacing w:after="0" w:line="240" w:lineRule="auto"/>
              <w:rPr>
                <w:rFonts w:ascii="Aptos Narrow" w:hAnsi="Aptos Narrow" w:cs="Aptos Narrow"/>
                <w:color w:val="000000"/>
                <w:kern w:val="0"/>
                <w:sz w:val="22"/>
                <w:szCs w:val="22"/>
              </w:rPr>
            </w:pPr>
            <w:r>
              <w:rPr>
                <w:rFonts w:ascii="Aptos Narrow" w:hAnsi="Aptos Narrow" w:cs="Aptos Narrow"/>
                <w:color w:val="000000"/>
                <w:kern w:val="0"/>
                <w:sz w:val="22"/>
                <w:szCs w:val="22"/>
              </w:rPr>
              <w:t>Total</w:t>
            </w:r>
          </w:p>
        </w:tc>
        <w:tc>
          <w:tcPr>
            <w:tcW w:w="1213" w:type="dxa"/>
            <w:gridSpan w:val="2"/>
            <w:tcBorders>
              <w:top w:val="nil"/>
              <w:left w:val="nil"/>
              <w:bottom w:val="nil"/>
              <w:right w:val="nil"/>
            </w:tcBorders>
          </w:tcPr>
          <w:p w14:paraId="2FC6C4A0"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1.41085</w:t>
            </w:r>
          </w:p>
        </w:tc>
        <w:tc>
          <w:tcPr>
            <w:tcW w:w="900" w:type="dxa"/>
            <w:tcBorders>
              <w:top w:val="nil"/>
              <w:left w:val="nil"/>
              <w:bottom w:val="nil"/>
              <w:right w:val="nil"/>
            </w:tcBorders>
          </w:tcPr>
          <w:p w14:paraId="7771F022"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1,223</w:t>
            </w:r>
          </w:p>
        </w:tc>
        <w:tc>
          <w:tcPr>
            <w:tcW w:w="983" w:type="dxa"/>
            <w:tcBorders>
              <w:top w:val="nil"/>
              <w:left w:val="nil"/>
              <w:bottom w:val="nil"/>
              <w:right w:val="nil"/>
            </w:tcBorders>
          </w:tcPr>
          <w:p w14:paraId="69164987"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r>
              <w:rPr>
                <w:rFonts w:ascii="Aptos Narrow" w:hAnsi="Aptos Narrow" w:cs="Aptos Narrow"/>
                <w:color w:val="000000"/>
                <w:kern w:val="0"/>
                <w:sz w:val="22"/>
                <w:szCs w:val="22"/>
              </w:rPr>
              <w:t>0.00115</w:t>
            </w:r>
          </w:p>
        </w:tc>
        <w:tc>
          <w:tcPr>
            <w:tcW w:w="1032" w:type="dxa"/>
            <w:tcBorders>
              <w:top w:val="nil"/>
              <w:left w:val="nil"/>
              <w:bottom w:val="nil"/>
              <w:right w:val="nil"/>
            </w:tcBorders>
          </w:tcPr>
          <w:p w14:paraId="170F9F94"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p>
        </w:tc>
        <w:tc>
          <w:tcPr>
            <w:tcW w:w="1032" w:type="dxa"/>
            <w:tcBorders>
              <w:top w:val="nil"/>
              <w:left w:val="nil"/>
              <w:bottom w:val="nil"/>
              <w:right w:val="nil"/>
            </w:tcBorders>
          </w:tcPr>
          <w:p w14:paraId="4D69BAF2" w14:textId="77777777" w:rsidR="00D828BB" w:rsidRDefault="00D828BB">
            <w:pPr>
              <w:autoSpaceDE w:val="0"/>
              <w:autoSpaceDN w:val="0"/>
              <w:adjustRightInd w:val="0"/>
              <w:spacing w:after="0" w:line="240" w:lineRule="auto"/>
              <w:jc w:val="right"/>
              <w:rPr>
                <w:rFonts w:ascii="Aptos Narrow" w:hAnsi="Aptos Narrow" w:cs="Aptos Narrow"/>
                <w:color w:val="000000"/>
                <w:kern w:val="0"/>
                <w:sz w:val="22"/>
                <w:szCs w:val="22"/>
              </w:rPr>
            </w:pPr>
          </w:p>
        </w:tc>
      </w:tr>
    </w:tbl>
    <w:p w14:paraId="62A1A026" w14:textId="77777777" w:rsidR="00847ADF" w:rsidRDefault="00847ADF" w:rsidP="00613D77"/>
    <w:p w14:paraId="362B0FF0" w14:textId="119F096A" w:rsidR="00B1570F" w:rsidRDefault="00613D77" w:rsidP="00613D77">
      <w:pPr>
        <w:rPr>
          <w:rFonts w:eastAsiaTheme="minorEastAsia"/>
        </w:rPr>
      </w:pPr>
      <w:r>
        <w:t xml:space="preserve">An OLS regression of the state </w:t>
      </w:r>
      <w:r w:rsidR="00067F07">
        <w:t xml:space="preserve">indicators,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jsy</m:t>
            </m:r>
          </m:sub>
        </m:sSub>
      </m:oMath>
      <w:r w:rsidR="00067F07">
        <w:rPr>
          <w:rFonts w:eastAsiaTheme="minorEastAsia"/>
        </w:rPr>
        <w:t xml:space="preserve">, </w:t>
      </w:r>
      <w:r w:rsidR="00847ADF">
        <w:rPr>
          <w:rFonts w:eastAsiaTheme="minorEastAsia"/>
        </w:rPr>
        <w:t>inclu</w:t>
      </w:r>
      <w:r w:rsidR="00066B58">
        <w:rPr>
          <w:rFonts w:eastAsiaTheme="minorEastAsia"/>
        </w:rPr>
        <w:t>ding</w:t>
      </w:r>
      <w:r w:rsidR="00171361">
        <w:rPr>
          <w:rFonts w:eastAsiaTheme="minorEastAsia"/>
        </w:rPr>
        <w:t xml:space="preserve"> state GDP, income and population growth rates as explanatory variables</w:t>
      </w:r>
      <w:r w:rsidR="00847ADF">
        <w:rPr>
          <w:rFonts w:eastAsiaTheme="minorEastAsia"/>
        </w:rPr>
        <w:t xml:space="preserve"> in addition to state and year fixed effects,</w:t>
      </w:r>
      <w:r w:rsidR="00171361">
        <w:rPr>
          <w:rFonts w:eastAsiaTheme="minorEastAsia"/>
        </w:rPr>
        <w:t xml:space="preserve"> </w:t>
      </w:r>
      <w:r w:rsidR="00847ADF">
        <w:rPr>
          <w:rFonts w:eastAsiaTheme="minorEastAsia"/>
        </w:rPr>
        <w:t>indicat</w:t>
      </w:r>
      <w:r w:rsidR="00171361">
        <w:rPr>
          <w:rFonts w:eastAsiaTheme="minorEastAsia"/>
        </w:rPr>
        <w:t xml:space="preserve">ed that all factors, including state fixed effects as a </w:t>
      </w:r>
      <w:r w:rsidR="00066B58">
        <w:rPr>
          <w:rFonts w:eastAsiaTheme="minorEastAsia"/>
        </w:rPr>
        <w:t>group</w:t>
      </w:r>
      <w:r w:rsidR="00171361">
        <w:rPr>
          <w:rFonts w:eastAsiaTheme="minorEastAsia"/>
        </w:rPr>
        <w:t xml:space="preserve"> </w:t>
      </w:r>
      <w:r w:rsidR="00066B58">
        <w:rPr>
          <w:rFonts w:eastAsiaTheme="minorEastAsia"/>
        </w:rPr>
        <w:t xml:space="preserve">were </w:t>
      </w:r>
      <w:r w:rsidR="00171361">
        <w:rPr>
          <w:rFonts w:eastAsiaTheme="minorEastAsia"/>
        </w:rPr>
        <w:t>statistically significant at the 0.0001 level. The growth rates of GDP, income and population all increase</w:t>
      </w:r>
      <w:r w:rsidR="009935CB">
        <w:rPr>
          <w:rFonts w:eastAsiaTheme="minorEastAsia"/>
        </w:rPr>
        <w:t>d</w:t>
      </w:r>
      <w:r w:rsidR="00171361">
        <w:rPr>
          <w:rFonts w:eastAsiaTheme="minorEastAsia"/>
        </w:rPr>
        <w:t xml:space="preserve"> migration of used vehicles into states</w:t>
      </w:r>
      <w:r w:rsidR="009935CB">
        <w:rPr>
          <w:rFonts w:eastAsiaTheme="minorEastAsia"/>
        </w:rPr>
        <w:t xml:space="preserve">, but the growth rate of state population had a much larger impact, an intuitive result suggesting that used vehicle migration mainly reflects population growth. We tested Census estimates of annual population migration as a percentage of state population (USDOC, 2024), but we found that including population growth rendered our migration variable insignificant. </w:t>
      </w:r>
      <w:r w:rsidR="00171361">
        <w:rPr>
          <w:rFonts w:eastAsiaTheme="minorEastAsia"/>
        </w:rPr>
        <w:t xml:space="preserve">The Ramsey F-test rejected the hypothesis of omitted variables, the </w:t>
      </w:r>
      <w:r w:rsidR="00847ADF">
        <w:rPr>
          <w:rFonts w:eastAsiaTheme="minorEastAsia"/>
        </w:rPr>
        <w:t>variance inflation factor (</w:t>
      </w:r>
      <w:r w:rsidR="005F4036">
        <w:rPr>
          <w:rFonts w:eastAsiaTheme="minorEastAsia"/>
        </w:rPr>
        <w:t>VIF</w:t>
      </w:r>
      <w:r w:rsidR="00847ADF">
        <w:rPr>
          <w:rFonts w:eastAsiaTheme="minorEastAsia"/>
        </w:rPr>
        <w:t>)</w:t>
      </w:r>
      <w:r w:rsidR="00171361">
        <w:rPr>
          <w:rFonts w:eastAsiaTheme="minorEastAsia"/>
        </w:rPr>
        <w:t xml:space="preserve"> test</w:t>
      </w:r>
      <w:r w:rsidR="005F4036">
        <w:rPr>
          <w:rFonts w:eastAsiaTheme="minorEastAsia"/>
        </w:rPr>
        <w:t xml:space="preserve"> for overfitting</w:t>
      </w:r>
      <w:r w:rsidR="00171361">
        <w:rPr>
          <w:rFonts w:eastAsiaTheme="minorEastAsia"/>
        </w:rPr>
        <w:t xml:space="preserve"> calculated </w:t>
      </w:r>
      <w:r w:rsidR="005F4036">
        <w:rPr>
          <w:rFonts w:eastAsiaTheme="minorEastAsia"/>
        </w:rPr>
        <w:t xml:space="preserve">an average VIF of 2.0 with no variable including the state fixed effects having a VIF greater than 2.65, except </w:t>
      </w:r>
      <w:r w:rsidR="005F4036">
        <w:rPr>
          <w:rFonts w:eastAsiaTheme="minorEastAsia"/>
        </w:rPr>
        <w:lastRenderedPageBreak/>
        <w:t>for the population growth rate at 5.63, indicating that multicollinearity was also not a problem (Table X+1).</w:t>
      </w:r>
      <w:r w:rsidR="00066B58">
        <w:rPr>
          <w:rFonts w:eastAsiaTheme="minorEastAsia"/>
        </w:rPr>
        <w:t xml:space="preserve"> </w:t>
      </w:r>
    </w:p>
    <w:p w14:paraId="2A20ED32" w14:textId="1D38E720" w:rsidR="00B1570F" w:rsidRDefault="00B1570F" w:rsidP="00613D77">
      <w:pPr>
        <w:rPr>
          <w:rFonts w:eastAsiaTheme="minorEastAsia"/>
        </w:rPr>
      </w:pPr>
      <w:r>
        <w:rPr>
          <w:rFonts w:eastAsiaTheme="minorEastAsia"/>
        </w:rPr>
        <w:t>Table X+1</w:t>
      </w:r>
      <w:r w:rsidR="00847ADF">
        <w:rPr>
          <w:rFonts w:eastAsiaTheme="minorEastAsia"/>
        </w:rPr>
        <w:t>.</w:t>
      </w:r>
      <w:r>
        <w:rPr>
          <w:rFonts w:eastAsiaTheme="minorEastAsia"/>
        </w:rPr>
        <w:t xml:space="preserve"> Regression of</w:t>
      </w:r>
      <w:r>
        <w:t xml:space="preserve"> State Used Vehicle Import(+)/</w:t>
      </w:r>
      <w:proofErr w:type="gramStart"/>
      <w:r>
        <w:t>Export(</w:t>
      </w:r>
      <w:proofErr w:type="gramEnd"/>
      <w:r>
        <w:t>-) Indicators on Growth Rates</w:t>
      </w:r>
    </w:p>
    <w:tbl>
      <w:tblPr>
        <w:tblW w:w="7000" w:type="dxa"/>
        <w:tblLook w:val="04A0" w:firstRow="1" w:lastRow="0" w:firstColumn="1" w:lastColumn="0" w:noHBand="0" w:noVBand="1"/>
      </w:tblPr>
      <w:tblGrid>
        <w:gridCol w:w="1167"/>
        <w:gridCol w:w="1184"/>
        <w:gridCol w:w="943"/>
        <w:gridCol w:w="898"/>
        <w:gridCol w:w="898"/>
        <w:gridCol w:w="1084"/>
        <w:gridCol w:w="960"/>
      </w:tblGrid>
      <w:tr w:rsidR="00066B58" w:rsidRPr="00066B58" w14:paraId="0AFAC84D" w14:textId="77777777" w:rsidTr="00066B58">
        <w:trPr>
          <w:trHeight w:val="300"/>
        </w:trPr>
        <w:tc>
          <w:tcPr>
            <w:tcW w:w="3160" w:type="dxa"/>
            <w:gridSpan w:val="3"/>
            <w:tcBorders>
              <w:top w:val="nil"/>
              <w:left w:val="nil"/>
              <w:bottom w:val="nil"/>
              <w:right w:val="nil"/>
            </w:tcBorders>
            <w:noWrap/>
            <w:vAlign w:val="bottom"/>
            <w:hideMark/>
          </w:tcPr>
          <w:p w14:paraId="7A6D635A"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 xml:space="preserve">Number of </w:t>
            </w:r>
            <w:proofErr w:type="spellStart"/>
            <w:r w:rsidRPr="00066B58">
              <w:rPr>
                <w:rFonts w:ascii="Aptos Narrow" w:eastAsia="Times New Roman" w:hAnsi="Aptos Narrow" w:cs="Times New Roman"/>
                <w:color w:val="000000"/>
                <w:kern w:val="0"/>
                <w:sz w:val="22"/>
                <w:szCs w:val="22"/>
                <w14:ligatures w14:val="none"/>
              </w:rPr>
              <w:t>obs</w:t>
            </w:r>
            <w:proofErr w:type="spellEnd"/>
            <w:r w:rsidRPr="00066B58">
              <w:rPr>
                <w:rFonts w:ascii="Aptos Narrow" w:eastAsia="Times New Roman" w:hAnsi="Aptos Narrow" w:cs="Times New Roman"/>
                <w:color w:val="000000"/>
                <w:kern w:val="0"/>
                <w:sz w:val="22"/>
                <w:szCs w:val="22"/>
                <w14:ligatures w14:val="none"/>
              </w:rPr>
              <w:t xml:space="preserve">   =   1,224</w:t>
            </w:r>
          </w:p>
        </w:tc>
        <w:tc>
          <w:tcPr>
            <w:tcW w:w="2880" w:type="dxa"/>
            <w:gridSpan w:val="3"/>
            <w:tcBorders>
              <w:top w:val="nil"/>
              <w:left w:val="nil"/>
              <w:bottom w:val="nil"/>
              <w:right w:val="nil"/>
            </w:tcBorders>
            <w:noWrap/>
            <w:vAlign w:val="bottom"/>
            <w:hideMark/>
          </w:tcPr>
          <w:p w14:paraId="5189728C"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R-squared        =     0.7746</w:t>
            </w:r>
          </w:p>
        </w:tc>
        <w:tc>
          <w:tcPr>
            <w:tcW w:w="960" w:type="dxa"/>
            <w:tcBorders>
              <w:top w:val="nil"/>
              <w:left w:val="nil"/>
              <w:bottom w:val="nil"/>
              <w:right w:val="nil"/>
            </w:tcBorders>
            <w:noWrap/>
            <w:vAlign w:val="bottom"/>
            <w:hideMark/>
          </w:tcPr>
          <w:p w14:paraId="20FC52A2"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p>
        </w:tc>
      </w:tr>
      <w:tr w:rsidR="00066B58" w:rsidRPr="00066B58" w14:paraId="6FD8F9D5" w14:textId="77777777" w:rsidTr="00066B58">
        <w:trPr>
          <w:trHeight w:val="300"/>
        </w:trPr>
        <w:tc>
          <w:tcPr>
            <w:tcW w:w="3160" w:type="dxa"/>
            <w:gridSpan w:val="3"/>
            <w:tcBorders>
              <w:top w:val="nil"/>
              <w:left w:val="nil"/>
              <w:bottom w:val="nil"/>
              <w:right w:val="nil"/>
            </w:tcBorders>
            <w:noWrap/>
            <w:vAlign w:val="bottom"/>
            <w:hideMark/>
          </w:tcPr>
          <w:p w14:paraId="51E2F555"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proofErr w:type="gramStart"/>
            <w:r w:rsidRPr="00066B58">
              <w:rPr>
                <w:rFonts w:ascii="Aptos Narrow" w:eastAsia="Times New Roman" w:hAnsi="Aptos Narrow" w:cs="Times New Roman"/>
                <w:color w:val="000000"/>
                <w:kern w:val="0"/>
                <w:sz w:val="22"/>
                <w:szCs w:val="22"/>
                <w14:ligatures w14:val="none"/>
              </w:rPr>
              <w:t>F(</w:t>
            </w:r>
            <w:proofErr w:type="gramEnd"/>
            <w:r w:rsidRPr="00066B58">
              <w:rPr>
                <w:rFonts w:ascii="Aptos Narrow" w:eastAsia="Times New Roman" w:hAnsi="Aptos Narrow" w:cs="Times New Roman"/>
                <w:color w:val="000000"/>
                <w:kern w:val="0"/>
                <w:sz w:val="22"/>
                <w:szCs w:val="22"/>
                <w14:ligatures w14:val="none"/>
              </w:rPr>
              <w:t>57, 1166)      =       91.27</w:t>
            </w:r>
          </w:p>
        </w:tc>
        <w:tc>
          <w:tcPr>
            <w:tcW w:w="2880" w:type="dxa"/>
            <w:gridSpan w:val="3"/>
            <w:tcBorders>
              <w:top w:val="nil"/>
              <w:left w:val="nil"/>
              <w:bottom w:val="nil"/>
              <w:right w:val="nil"/>
            </w:tcBorders>
            <w:noWrap/>
            <w:vAlign w:val="bottom"/>
            <w:hideMark/>
          </w:tcPr>
          <w:p w14:paraId="0AEAA309"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Root MSE          =      0.01651</w:t>
            </w:r>
          </w:p>
        </w:tc>
        <w:tc>
          <w:tcPr>
            <w:tcW w:w="960" w:type="dxa"/>
            <w:tcBorders>
              <w:top w:val="nil"/>
              <w:left w:val="nil"/>
              <w:bottom w:val="nil"/>
              <w:right w:val="nil"/>
            </w:tcBorders>
            <w:noWrap/>
            <w:vAlign w:val="bottom"/>
            <w:hideMark/>
          </w:tcPr>
          <w:p w14:paraId="667D4BFC"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p>
        </w:tc>
      </w:tr>
      <w:tr w:rsidR="00066B58" w:rsidRPr="00066B58" w14:paraId="2B482230" w14:textId="77777777" w:rsidTr="00066B58">
        <w:trPr>
          <w:trHeight w:val="300"/>
        </w:trPr>
        <w:tc>
          <w:tcPr>
            <w:tcW w:w="3160" w:type="dxa"/>
            <w:gridSpan w:val="3"/>
            <w:tcBorders>
              <w:top w:val="nil"/>
              <w:left w:val="nil"/>
              <w:bottom w:val="nil"/>
              <w:right w:val="nil"/>
            </w:tcBorders>
            <w:noWrap/>
            <w:vAlign w:val="bottom"/>
            <w:hideMark/>
          </w:tcPr>
          <w:p w14:paraId="71F540CF"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Prob &gt; F         =       0.0000</w:t>
            </w:r>
          </w:p>
        </w:tc>
        <w:tc>
          <w:tcPr>
            <w:tcW w:w="898" w:type="dxa"/>
            <w:tcBorders>
              <w:top w:val="nil"/>
              <w:left w:val="nil"/>
              <w:bottom w:val="nil"/>
              <w:right w:val="nil"/>
            </w:tcBorders>
            <w:noWrap/>
            <w:vAlign w:val="bottom"/>
            <w:hideMark/>
          </w:tcPr>
          <w:p w14:paraId="68C43CB5"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p>
        </w:tc>
        <w:tc>
          <w:tcPr>
            <w:tcW w:w="898" w:type="dxa"/>
            <w:tcBorders>
              <w:top w:val="nil"/>
              <w:left w:val="nil"/>
              <w:bottom w:val="nil"/>
              <w:right w:val="nil"/>
            </w:tcBorders>
            <w:noWrap/>
            <w:vAlign w:val="bottom"/>
            <w:hideMark/>
          </w:tcPr>
          <w:p w14:paraId="4B59E12B"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c>
          <w:tcPr>
            <w:tcW w:w="1084" w:type="dxa"/>
            <w:tcBorders>
              <w:top w:val="nil"/>
              <w:left w:val="nil"/>
              <w:bottom w:val="nil"/>
              <w:right w:val="nil"/>
            </w:tcBorders>
            <w:noWrap/>
            <w:vAlign w:val="bottom"/>
            <w:hideMark/>
          </w:tcPr>
          <w:p w14:paraId="521FFA4C"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2FD220FC"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r>
      <w:tr w:rsidR="00066B58" w:rsidRPr="00066B58" w14:paraId="62F60F13" w14:textId="77777777" w:rsidTr="00066B58">
        <w:trPr>
          <w:trHeight w:val="300"/>
        </w:trPr>
        <w:tc>
          <w:tcPr>
            <w:tcW w:w="1133" w:type="dxa"/>
            <w:tcBorders>
              <w:top w:val="nil"/>
              <w:left w:val="nil"/>
              <w:bottom w:val="nil"/>
              <w:right w:val="nil"/>
            </w:tcBorders>
            <w:noWrap/>
            <w:vAlign w:val="bottom"/>
            <w:hideMark/>
          </w:tcPr>
          <w:p w14:paraId="09545F96"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c>
          <w:tcPr>
            <w:tcW w:w="1153" w:type="dxa"/>
            <w:tcBorders>
              <w:top w:val="nil"/>
              <w:left w:val="nil"/>
              <w:bottom w:val="nil"/>
              <w:right w:val="nil"/>
            </w:tcBorders>
            <w:noWrap/>
            <w:vAlign w:val="bottom"/>
            <w:hideMark/>
          </w:tcPr>
          <w:p w14:paraId="04E3B04C"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c>
          <w:tcPr>
            <w:tcW w:w="874" w:type="dxa"/>
            <w:tcBorders>
              <w:top w:val="nil"/>
              <w:left w:val="nil"/>
              <w:bottom w:val="nil"/>
              <w:right w:val="nil"/>
            </w:tcBorders>
            <w:noWrap/>
            <w:vAlign w:val="bottom"/>
            <w:hideMark/>
          </w:tcPr>
          <w:p w14:paraId="2DEF0CEE" w14:textId="77777777" w:rsidR="00066B58" w:rsidRPr="00066B58" w:rsidRDefault="00066B58" w:rsidP="00066B58">
            <w:pPr>
              <w:spacing w:after="0" w:line="240" w:lineRule="auto"/>
              <w:jc w:val="center"/>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Robust</w:t>
            </w:r>
          </w:p>
        </w:tc>
        <w:tc>
          <w:tcPr>
            <w:tcW w:w="898" w:type="dxa"/>
            <w:tcBorders>
              <w:top w:val="nil"/>
              <w:left w:val="nil"/>
              <w:bottom w:val="nil"/>
              <w:right w:val="nil"/>
            </w:tcBorders>
            <w:noWrap/>
            <w:vAlign w:val="bottom"/>
            <w:hideMark/>
          </w:tcPr>
          <w:p w14:paraId="46CFDE94" w14:textId="77777777" w:rsidR="00066B58" w:rsidRPr="00066B58" w:rsidRDefault="00066B58" w:rsidP="00066B58">
            <w:pPr>
              <w:spacing w:after="0" w:line="240" w:lineRule="auto"/>
              <w:jc w:val="center"/>
              <w:rPr>
                <w:rFonts w:ascii="Aptos Narrow" w:eastAsia="Times New Roman" w:hAnsi="Aptos Narrow" w:cs="Times New Roman"/>
                <w:color w:val="000000"/>
                <w:kern w:val="0"/>
                <w:sz w:val="22"/>
                <w:szCs w:val="22"/>
                <w14:ligatures w14:val="none"/>
              </w:rPr>
            </w:pPr>
          </w:p>
        </w:tc>
        <w:tc>
          <w:tcPr>
            <w:tcW w:w="898" w:type="dxa"/>
            <w:tcBorders>
              <w:top w:val="nil"/>
              <w:left w:val="nil"/>
              <w:bottom w:val="nil"/>
              <w:right w:val="nil"/>
            </w:tcBorders>
            <w:noWrap/>
            <w:vAlign w:val="bottom"/>
            <w:hideMark/>
          </w:tcPr>
          <w:p w14:paraId="2F9A9E9F"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c>
          <w:tcPr>
            <w:tcW w:w="1084" w:type="dxa"/>
            <w:tcBorders>
              <w:top w:val="nil"/>
              <w:left w:val="nil"/>
              <w:bottom w:val="nil"/>
              <w:right w:val="nil"/>
            </w:tcBorders>
            <w:noWrap/>
            <w:vAlign w:val="bottom"/>
            <w:hideMark/>
          </w:tcPr>
          <w:p w14:paraId="59C3FED8"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F149071"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r>
      <w:tr w:rsidR="00066B58" w:rsidRPr="00066B58" w14:paraId="76CBF720" w14:textId="77777777" w:rsidTr="00066B58">
        <w:trPr>
          <w:trHeight w:val="300"/>
        </w:trPr>
        <w:tc>
          <w:tcPr>
            <w:tcW w:w="1133" w:type="dxa"/>
            <w:tcBorders>
              <w:top w:val="nil"/>
              <w:left w:val="nil"/>
              <w:bottom w:val="nil"/>
              <w:right w:val="nil"/>
            </w:tcBorders>
            <w:noWrap/>
            <w:vAlign w:val="bottom"/>
            <w:hideMark/>
          </w:tcPr>
          <w:p w14:paraId="14AD2572" w14:textId="77777777" w:rsidR="00066B58" w:rsidRPr="00066B58" w:rsidRDefault="00066B58" w:rsidP="00066B58">
            <w:pPr>
              <w:spacing w:after="0" w:line="240" w:lineRule="auto"/>
              <w:jc w:val="center"/>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Variable</w:t>
            </w:r>
          </w:p>
        </w:tc>
        <w:tc>
          <w:tcPr>
            <w:tcW w:w="1153" w:type="dxa"/>
            <w:tcBorders>
              <w:top w:val="nil"/>
              <w:left w:val="nil"/>
              <w:bottom w:val="nil"/>
              <w:right w:val="nil"/>
            </w:tcBorders>
            <w:noWrap/>
            <w:vAlign w:val="bottom"/>
            <w:hideMark/>
          </w:tcPr>
          <w:p w14:paraId="51823C36" w14:textId="77777777" w:rsidR="00066B58" w:rsidRPr="00066B58" w:rsidRDefault="00066B58" w:rsidP="00066B58">
            <w:pPr>
              <w:spacing w:after="0" w:line="240" w:lineRule="auto"/>
              <w:jc w:val="center"/>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Coefficient</w:t>
            </w:r>
          </w:p>
        </w:tc>
        <w:tc>
          <w:tcPr>
            <w:tcW w:w="874" w:type="dxa"/>
            <w:tcBorders>
              <w:top w:val="nil"/>
              <w:left w:val="nil"/>
              <w:bottom w:val="nil"/>
              <w:right w:val="nil"/>
            </w:tcBorders>
            <w:noWrap/>
            <w:vAlign w:val="bottom"/>
            <w:hideMark/>
          </w:tcPr>
          <w:p w14:paraId="0C4CCD7F" w14:textId="77777777" w:rsidR="00066B58" w:rsidRPr="00066B58" w:rsidRDefault="00066B58" w:rsidP="00066B58">
            <w:pPr>
              <w:spacing w:after="0" w:line="240" w:lineRule="auto"/>
              <w:jc w:val="center"/>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Std. Eff.</w:t>
            </w:r>
          </w:p>
        </w:tc>
        <w:tc>
          <w:tcPr>
            <w:tcW w:w="898" w:type="dxa"/>
            <w:tcBorders>
              <w:top w:val="nil"/>
              <w:left w:val="nil"/>
              <w:bottom w:val="nil"/>
              <w:right w:val="nil"/>
            </w:tcBorders>
            <w:noWrap/>
            <w:vAlign w:val="bottom"/>
            <w:hideMark/>
          </w:tcPr>
          <w:p w14:paraId="7974277F" w14:textId="77777777" w:rsidR="00066B58" w:rsidRPr="00066B58" w:rsidRDefault="00066B58" w:rsidP="00066B58">
            <w:pPr>
              <w:spacing w:after="0" w:line="240" w:lineRule="auto"/>
              <w:jc w:val="center"/>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t</w:t>
            </w:r>
          </w:p>
        </w:tc>
        <w:tc>
          <w:tcPr>
            <w:tcW w:w="898" w:type="dxa"/>
            <w:tcBorders>
              <w:top w:val="nil"/>
              <w:left w:val="nil"/>
              <w:bottom w:val="nil"/>
              <w:right w:val="nil"/>
            </w:tcBorders>
            <w:noWrap/>
            <w:vAlign w:val="bottom"/>
            <w:hideMark/>
          </w:tcPr>
          <w:p w14:paraId="781C3356" w14:textId="77777777" w:rsidR="00066B58" w:rsidRPr="00066B58" w:rsidRDefault="00066B58" w:rsidP="00066B58">
            <w:pPr>
              <w:spacing w:after="0" w:line="240" w:lineRule="auto"/>
              <w:jc w:val="center"/>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P&gt;|t|</w:t>
            </w:r>
          </w:p>
        </w:tc>
        <w:tc>
          <w:tcPr>
            <w:tcW w:w="2044" w:type="dxa"/>
            <w:gridSpan w:val="2"/>
            <w:tcBorders>
              <w:top w:val="nil"/>
              <w:left w:val="nil"/>
              <w:bottom w:val="nil"/>
              <w:right w:val="nil"/>
            </w:tcBorders>
            <w:noWrap/>
            <w:vAlign w:val="bottom"/>
            <w:hideMark/>
          </w:tcPr>
          <w:p w14:paraId="6CEA625A" w14:textId="77777777" w:rsidR="00066B58" w:rsidRPr="00066B58" w:rsidRDefault="00066B58" w:rsidP="00066B58">
            <w:pPr>
              <w:spacing w:after="0" w:line="240" w:lineRule="auto"/>
              <w:jc w:val="center"/>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[95% conf. interval]</w:t>
            </w:r>
          </w:p>
        </w:tc>
      </w:tr>
      <w:tr w:rsidR="00066B58" w:rsidRPr="00066B58" w14:paraId="13F50DE0" w14:textId="77777777" w:rsidTr="00066B58">
        <w:trPr>
          <w:trHeight w:val="300"/>
        </w:trPr>
        <w:tc>
          <w:tcPr>
            <w:tcW w:w="1133" w:type="dxa"/>
            <w:tcBorders>
              <w:top w:val="nil"/>
              <w:left w:val="nil"/>
              <w:bottom w:val="nil"/>
              <w:right w:val="nil"/>
            </w:tcBorders>
            <w:noWrap/>
            <w:vAlign w:val="bottom"/>
            <w:hideMark/>
          </w:tcPr>
          <w:p w14:paraId="09D47E24" w14:textId="77777777" w:rsidR="00066B58" w:rsidRPr="00066B58" w:rsidRDefault="00066B58" w:rsidP="00066B58">
            <w:pPr>
              <w:spacing w:after="0" w:line="240" w:lineRule="auto"/>
              <w:jc w:val="center"/>
              <w:rPr>
                <w:rFonts w:ascii="Aptos Narrow" w:eastAsia="Times New Roman" w:hAnsi="Aptos Narrow" w:cs="Times New Roman"/>
                <w:color w:val="000000"/>
                <w:kern w:val="0"/>
                <w:sz w:val="22"/>
                <w:szCs w:val="22"/>
                <w14:ligatures w14:val="none"/>
              </w:rPr>
            </w:pPr>
          </w:p>
        </w:tc>
        <w:tc>
          <w:tcPr>
            <w:tcW w:w="1153" w:type="dxa"/>
            <w:tcBorders>
              <w:top w:val="nil"/>
              <w:left w:val="nil"/>
              <w:bottom w:val="nil"/>
              <w:right w:val="nil"/>
            </w:tcBorders>
            <w:noWrap/>
            <w:vAlign w:val="bottom"/>
            <w:hideMark/>
          </w:tcPr>
          <w:p w14:paraId="37F7D3C4"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c>
          <w:tcPr>
            <w:tcW w:w="874" w:type="dxa"/>
            <w:tcBorders>
              <w:top w:val="nil"/>
              <w:left w:val="nil"/>
              <w:bottom w:val="nil"/>
              <w:right w:val="nil"/>
            </w:tcBorders>
            <w:noWrap/>
            <w:vAlign w:val="bottom"/>
            <w:hideMark/>
          </w:tcPr>
          <w:p w14:paraId="3983D1E2"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c>
          <w:tcPr>
            <w:tcW w:w="898" w:type="dxa"/>
            <w:tcBorders>
              <w:top w:val="nil"/>
              <w:left w:val="nil"/>
              <w:bottom w:val="nil"/>
              <w:right w:val="nil"/>
            </w:tcBorders>
            <w:noWrap/>
            <w:vAlign w:val="bottom"/>
            <w:hideMark/>
          </w:tcPr>
          <w:p w14:paraId="1117901D"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c>
          <w:tcPr>
            <w:tcW w:w="898" w:type="dxa"/>
            <w:tcBorders>
              <w:top w:val="nil"/>
              <w:left w:val="nil"/>
              <w:bottom w:val="nil"/>
              <w:right w:val="nil"/>
            </w:tcBorders>
            <w:noWrap/>
            <w:vAlign w:val="bottom"/>
            <w:hideMark/>
          </w:tcPr>
          <w:p w14:paraId="5000672D"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c>
          <w:tcPr>
            <w:tcW w:w="1084" w:type="dxa"/>
            <w:tcBorders>
              <w:top w:val="nil"/>
              <w:left w:val="nil"/>
              <w:bottom w:val="nil"/>
              <w:right w:val="nil"/>
            </w:tcBorders>
            <w:noWrap/>
            <w:vAlign w:val="bottom"/>
            <w:hideMark/>
          </w:tcPr>
          <w:p w14:paraId="3A82FD7E"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E43A3F0" w14:textId="77777777" w:rsidR="00066B58" w:rsidRPr="00066B58" w:rsidRDefault="00066B58" w:rsidP="00066B58">
            <w:pPr>
              <w:spacing w:after="0" w:line="240" w:lineRule="auto"/>
              <w:rPr>
                <w:rFonts w:ascii="Times New Roman" w:eastAsia="Times New Roman" w:hAnsi="Times New Roman" w:cs="Times New Roman"/>
                <w:kern w:val="0"/>
                <w:sz w:val="20"/>
                <w:szCs w:val="20"/>
                <w14:ligatures w14:val="none"/>
              </w:rPr>
            </w:pPr>
          </w:p>
        </w:tc>
      </w:tr>
      <w:tr w:rsidR="00066B58" w:rsidRPr="00066B58" w14:paraId="49A7BD35" w14:textId="77777777" w:rsidTr="00066B58">
        <w:trPr>
          <w:trHeight w:val="300"/>
        </w:trPr>
        <w:tc>
          <w:tcPr>
            <w:tcW w:w="1133" w:type="dxa"/>
            <w:tcBorders>
              <w:top w:val="nil"/>
              <w:left w:val="nil"/>
              <w:bottom w:val="nil"/>
              <w:right w:val="nil"/>
            </w:tcBorders>
            <w:noWrap/>
            <w:vAlign w:val="bottom"/>
            <w:hideMark/>
          </w:tcPr>
          <w:p w14:paraId="3B21FC21"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Pickup</w:t>
            </w:r>
          </w:p>
        </w:tc>
        <w:tc>
          <w:tcPr>
            <w:tcW w:w="1153" w:type="dxa"/>
            <w:tcBorders>
              <w:top w:val="nil"/>
              <w:left w:val="nil"/>
              <w:bottom w:val="nil"/>
              <w:right w:val="nil"/>
            </w:tcBorders>
            <w:noWrap/>
            <w:vAlign w:val="bottom"/>
            <w:hideMark/>
          </w:tcPr>
          <w:p w14:paraId="21D248D8"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0.01614</w:t>
            </w:r>
          </w:p>
        </w:tc>
        <w:tc>
          <w:tcPr>
            <w:tcW w:w="874" w:type="dxa"/>
            <w:tcBorders>
              <w:top w:val="nil"/>
              <w:left w:val="nil"/>
              <w:bottom w:val="nil"/>
              <w:right w:val="nil"/>
            </w:tcBorders>
            <w:noWrap/>
            <w:vAlign w:val="bottom"/>
            <w:hideMark/>
          </w:tcPr>
          <w:p w14:paraId="1B414B8E"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0.00121</w:t>
            </w:r>
          </w:p>
        </w:tc>
        <w:tc>
          <w:tcPr>
            <w:tcW w:w="898" w:type="dxa"/>
            <w:tcBorders>
              <w:top w:val="nil"/>
              <w:left w:val="nil"/>
              <w:bottom w:val="nil"/>
              <w:right w:val="nil"/>
            </w:tcBorders>
            <w:noWrap/>
            <w:vAlign w:val="bottom"/>
            <w:hideMark/>
          </w:tcPr>
          <w:p w14:paraId="32FC4C32"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13.32</w:t>
            </w:r>
          </w:p>
        </w:tc>
        <w:tc>
          <w:tcPr>
            <w:tcW w:w="898" w:type="dxa"/>
            <w:tcBorders>
              <w:top w:val="nil"/>
              <w:left w:val="nil"/>
              <w:bottom w:val="nil"/>
              <w:right w:val="nil"/>
            </w:tcBorders>
            <w:noWrap/>
            <w:vAlign w:val="bottom"/>
            <w:hideMark/>
          </w:tcPr>
          <w:p w14:paraId="1403EA31"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0.000</w:t>
            </w:r>
          </w:p>
        </w:tc>
        <w:tc>
          <w:tcPr>
            <w:tcW w:w="1084" w:type="dxa"/>
            <w:tcBorders>
              <w:top w:val="nil"/>
              <w:left w:val="nil"/>
              <w:bottom w:val="nil"/>
              <w:right w:val="nil"/>
            </w:tcBorders>
            <w:noWrap/>
            <w:vAlign w:val="bottom"/>
            <w:hideMark/>
          </w:tcPr>
          <w:p w14:paraId="753C0CF9"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0.0138</w:t>
            </w:r>
          </w:p>
        </w:tc>
        <w:tc>
          <w:tcPr>
            <w:tcW w:w="960" w:type="dxa"/>
            <w:tcBorders>
              <w:top w:val="nil"/>
              <w:left w:val="nil"/>
              <w:bottom w:val="nil"/>
              <w:right w:val="nil"/>
            </w:tcBorders>
            <w:noWrap/>
            <w:vAlign w:val="bottom"/>
            <w:hideMark/>
          </w:tcPr>
          <w:p w14:paraId="1BCAAEFC"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0.0185</w:t>
            </w:r>
          </w:p>
        </w:tc>
      </w:tr>
      <w:tr w:rsidR="00066B58" w:rsidRPr="00066B58" w14:paraId="2D3FD9BC" w14:textId="77777777" w:rsidTr="00066B58">
        <w:trPr>
          <w:trHeight w:val="300"/>
        </w:trPr>
        <w:tc>
          <w:tcPr>
            <w:tcW w:w="1133" w:type="dxa"/>
            <w:tcBorders>
              <w:top w:val="nil"/>
              <w:left w:val="nil"/>
              <w:bottom w:val="nil"/>
              <w:right w:val="nil"/>
            </w:tcBorders>
            <w:noWrap/>
            <w:vAlign w:val="bottom"/>
            <w:hideMark/>
          </w:tcPr>
          <w:p w14:paraId="431274EB"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SUV Van</w:t>
            </w:r>
          </w:p>
        </w:tc>
        <w:tc>
          <w:tcPr>
            <w:tcW w:w="1153" w:type="dxa"/>
            <w:tcBorders>
              <w:top w:val="nil"/>
              <w:left w:val="nil"/>
              <w:bottom w:val="nil"/>
              <w:right w:val="nil"/>
            </w:tcBorders>
            <w:noWrap/>
            <w:vAlign w:val="bottom"/>
            <w:hideMark/>
          </w:tcPr>
          <w:p w14:paraId="361C2CF8"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0.01146</w:t>
            </w:r>
          </w:p>
        </w:tc>
        <w:tc>
          <w:tcPr>
            <w:tcW w:w="874" w:type="dxa"/>
            <w:tcBorders>
              <w:top w:val="nil"/>
              <w:left w:val="nil"/>
              <w:bottom w:val="nil"/>
              <w:right w:val="nil"/>
            </w:tcBorders>
            <w:noWrap/>
            <w:vAlign w:val="bottom"/>
            <w:hideMark/>
          </w:tcPr>
          <w:p w14:paraId="71F5F883"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0.00108</w:t>
            </w:r>
          </w:p>
        </w:tc>
        <w:tc>
          <w:tcPr>
            <w:tcW w:w="898" w:type="dxa"/>
            <w:tcBorders>
              <w:top w:val="nil"/>
              <w:left w:val="nil"/>
              <w:bottom w:val="nil"/>
              <w:right w:val="nil"/>
            </w:tcBorders>
            <w:noWrap/>
            <w:vAlign w:val="bottom"/>
            <w:hideMark/>
          </w:tcPr>
          <w:p w14:paraId="044BB24E"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10.62</w:t>
            </w:r>
          </w:p>
        </w:tc>
        <w:tc>
          <w:tcPr>
            <w:tcW w:w="898" w:type="dxa"/>
            <w:tcBorders>
              <w:top w:val="nil"/>
              <w:left w:val="nil"/>
              <w:bottom w:val="nil"/>
              <w:right w:val="nil"/>
            </w:tcBorders>
            <w:noWrap/>
            <w:vAlign w:val="bottom"/>
            <w:hideMark/>
          </w:tcPr>
          <w:p w14:paraId="6703FF6C"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0.000</w:t>
            </w:r>
          </w:p>
        </w:tc>
        <w:tc>
          <w:tcPr>
            <w:tcW w:w="1084" w:type="dxa"/>
            <w:tcBorders>
              <w:top w:val="nil"/>
              <w:left w:val="nil"/>
              <w:bottom w:val="nil"/>
              <w:right w:val="nil"/>
            </w:tcBorders>
            <w:noWrap/>
            <w:vAlign w:val="bottom"/>
            <w:hideMark/>
          </w:tcPr>
          <w:p w14:paraId="1F6ACF11"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0.0093</w:t>
            </w:r>
          </w:p>
        </w:tc>
        <w:tc>
          <w:tcPr>
            <w:tcW w:w="960" w:type="dxa"/>
            <w:tcBorders>
              <w:top w:val="nil"/>
              <w:left w:val="nil"/>
              <w:bottom w:val="nil"/>
              <w:right w:val="nil"/>
            </w:tcBorders>
            <w:noWrap/>
            <w:vAlign w:val="bottom"/>
            <w:hideMark/>
          </w:tcPr>
          <w:p w14:paraId="5F968A2D"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0.0136</w:t>
            </w:r>
          </w:p>
        </w:tc>
      </w:tr>
      <w:tr w:rsidR="00066B58" w:rsidRPr="00066B58" w14:paraId="31F3AF64" w14:textId="77777777" w:rsidTr="00066B58">
        <w:trPr>
          <w:trHeight w:val="300"/>
        </w:trPr>
        <w:tc>
          <w:tcPr>
            <w:tcW w:w="1133" w:type="dxa"/>
            <w:tcBorders>
              <w:top w:val="nil"/>
              <w:left w:val="nil"/>
              <w:bottom w:val="nil"/>
              <w:right w:val="nil"/>
            </w:tcBorders>
            <w:noWrap/>
            <w:vAlign w:val="bottom"/>
            <w:hideMark/>
          </w:tcPr>
          <w:p w14:paraId="0590BEAB"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GDP</w:t>
            </w:r>
          </w:p>
        </w:tc>
        <w:tc>
          <w:tcPr>
            <w:tcW w:w="1153" w:type="dxa"/>
            <w:tcBorders>
              <w:top w:val="nil"/>
              <w:left w:val="nil"/>
              <w:bottom w:val="nil"/>
              <w:right w:val="nil"/>
            </w:tcBorders>
            <w:noWrap/>
            <w:vAlign w:val="bottom"/>
            <w:hideMark/>
          </w:tcPr>
          <w:p w14:paraId="1CEF5088"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0.07077</w:t>
            </w:r>
          </w:p>
        </w:tc>
        <w:tc>
          <w:tcPr>
            <w:tcW w:w="874" w:type="dxa"/>
            <w:tcBorders>
              <w:top w:val="nil"/>
              <w:left w:val="nil"/>
              <w:bottom w:val="nil"/>
              <w:right w:val="nil"/>
            </w:tcBorders>
            <w:noWrap/>
            <w:vAlign w:val="bottom"/>
            <w:hideMark/>
          </w:tcPr>
          <w:p w14:paraId="23F143E8"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0.01680</w:t>
            </w:r>
          </w:p>
        </w:tc>
        <w:tc>
          <w:tcPr>
            <w:tcW w:w="898" w:type="dxa"/>
            <w:tcBorders>
              <w:top w:val="nil"/>
              <w:left w:val="nil"/>
              <w:bottom w:val="nil"/>
              <w:right w:val="nil"/>
            </w:tcBorders>
            <w:noWrap/>
            <w:vAlign w:val="bottom"/>
            <w:hideMark/>
          </w:tcPr>
          <w:p w14:paraId="79C6CE3B"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4.21</w:t>
            </w:r>
          </w:p>
        </w:tc>
        <w:tc>
          <w:tcPr>
            <w:tcW w:w="898" w:type="dxa"/>
            <w:tcBorders>
              <w:top w:val="nil"/>
              <w:left w:val="nil"/>
              <w:bottom w:val="nil"/>
              <w:right w:val="nil"/>
            </w:tcBorders>
            <w:noWrap/>
            <w:vAlign w:val="bottom"/>
            <w:hideMark/>
          </w:tcPr>
          <w:p w14:paraId="5AE29B0D"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0.000</w:t>
            </w:r>
          </w:p>
        </w:tc>
        <w:tc>
          <w:tcPr>
            <w:tcW w:w="1084" w:type="dxa"/>
            <w:tcBorders>
              <w:top w:val="nil"/>
              <w:left w:val="nil"/>
              <w:bottom w:val="nil"/>
              <w:right w:val="nil"/>
            </w:tcBorders>
            <w:noWrap/>
            <w:vAlign w:val="bottom"/>
            <w:hideMark/>
          </w:tcPr>
          <w:p w14:paraId="42633809"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0.0378</w:t>
            </w:r>
          </w:p>
        </w:tc>
        <w:tc>
          <w:tcPr>
            <w:tcW w:w="960" w:type="dxa"/>
            <w:tcBorders>
              <w:top w:val="nil"/>
              <w:left w:val="nil"/>
              <w:bottom w:val="nil"/>
              <w:right w:val="nil"/>
            </w:tcBorders>
            <w:noWrap/>
            <w:vAlign w:val="bottom"/>
            <w:hideMark/>
          </w:tcPr>
          <w:p w14:paraId="736983D6"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0.1037</w:t>
            </w:r>
          </w:p>
        </w:tc>
      </w:tr>
      <w:tr w:rsidR="00066B58" w:rsidRPr="00066B58" w14:paraId="61817E0B" w14:textId="77777777" w:rsidTr="00066B58">
        <w:trPr>
          <w:trHeight w:val="300"/>
        </w:trPr>
        <w:tc>
          <w:tcPr>
            <w:tcW w:w="1133" w:type="dxa"/>
            <w:tcBorders>
              <w:top w:val="nil"/>
              <w:left w:val="nil"/>
              <w:bottom w:val="nil"/>
              <w:right w:val="nil"/>
            </w:tcBorders>
            <w:noWrap/>
            <w:vAlign w:val="bottom"/>
            <w:hideMark/>
          </w:tcPr>
          <w:p w14:paraId="6C9C5289"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Income</w:t>
            </w:r>
          </w:p>
        </w:tc>
        <w:tc>
          <w:tcPr>
            <w:tcW w:w="1153" w:type="dxa"/>
            <w:tcBorders>
              <w:top w:val="nil"/>
              <w:left w:val="nil"/>
              <w:bottom w:val="nil"/>
              <w:right w:val="nil"/>
            </w:tcBorders>
            <w:noWrap/>
            <w:vAlign w:val="bottom"/>
            <w:hideMark/>
          </w:tcPr>
          <w:p w14:paraId="44174F59"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0.05018</w:t>
            </w:r>
          </w:p>
        </w:tc>
        <w:tc>
          <w:tcPr>
            <w:tcW w:w="874" w:type="dxa"/>
            <w:tcBorders>
              <w:top w:val="nil"/>
              <w:left w:val="nil"/>
              <w:bottom w:val="nil"/>
              <w:right w:val="nil"/>
            </w:tcBorders>
            <w:noWrap/>
            <w:vAlign w:val="bottom"/>
            <w:hideMark/>
          </w:tcPr>
          <w:p w14:paraId="4D4BF3A8"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0.01251</w:t>
            </w:r>
          </w:p>
        </w:tc>
        <w:tc>
          <w:tcPr>
            <w:tcW w:w="898" w:type="dxa"/>
            <w:tcBorders>
              <w:top w:val="nil"/>
              <w:left w:val="nil"/>
              <w:bottom w:val="nil"/>
              <w:right w:val="nil"/>
            </w:tcBorders>
            <w:noWrap/>
            <w:vAlign w:val="bottom"/>
            <w:hideMark/>
          </w:tcPr>
          <w:p w14:paraId="75CF4434"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4.01</w:t>
            </w:r>
          </w:p>
        </w:tc>
        <w:tc>
          <w:tcPr>
            <w:tcW w:w="898" w:type="dxa"/>
            <w:tcBorders>
              <w:top w:val="nil"/>
              <w:left w:val="nil"/>
              <w:bottom w:val="nil"/>
              <w:right w:val="nil"/>
            </w:tcBorders>
            <w:noWrap/>
            <w:vAlign w:val="bottom"/>
            <w:hideMark/>
          </w:tcPr>
          <w:p w14:paraId="2B78665E"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0.000</w:t>
            </w:r>
          </w:p>
        </w:tc>
        <w:tc>
          <w:tcPr>
            <w:tcW w:w="1084" w:type="dxa"/>
            <w:tcBorders>
              <w:top w:val="nil"/>
              <w:left w:val="nil"/>
              <w:bottom w:val="nil"/>
              <w:right w:val="nil"/>
            </w:tcBorders>
            <w:noWrap/>
            <w:vAlign w:val="bottom"/>
            <w:hideMark/>
          </w:tcPr>
          <w:p w14:paraId="44FBF825"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0.0256</w:t>
            </w:r>
          </w:p>
        </w:tc>
        <w:tc>
          <w:tcPr>
            <w:tcW w:w="960" w:type="dxa"/>
            <w:tcBorders>
              <w:top w:val="nil"/>
              <w:left w:val="nil"/>
              <w:bottom w:val="nil"/>
              <w:right w:val="nil"/>
            </w:tcBorders>
            <w:noWrap/>
            <w:vAlign w:val="bottom"/>
            <w:hideMark/>
          </w:tcPr>
          <w:p w14:paraId="116B6EAC"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0.0747</w:t>
            </w:r>
          </w:p>
        </w:tc>
      </w:tr>
      <w:tr w:rsidR="00066B58" w:rsidRPr="00066B58" w14:paraId="11A88021" w14:textId="77777777" w:rsidTr="00066B58">
        <w:trPr>
          <w:trHeight w:val="300"/>
        </w:trPr>
        <w:tc>
          <w:tcPr>
            <w:tcW w:w="1133" w:type="dxa"/>
            <w:tcBorders>
              <w:top w:val="nil"/>
              <w:left w:val="nil"/>
              <w:bottom w:val="nil"/>
              <w:right w:val="nil"/>
            </w:tcBorders>
            <w:noWrap/>
            <w:vAlign w:val="bottom"/>
            <w:hideMark/>
          </w:tcPr>
          <w:p w14:paraId="3FCD69BA"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Population</w:t>
            </w:r>
          </w:p>
        </w:tc>
        <w:tc>
          <w:tcPr>
            <w:tcW w:w="1153" w:type="dxa"/>
            <w:tcBorders>
              <w:top w:val="nil"/>
              <w:left w:val="nil"/>
              <w:bottom w:val="nil"/>
              <w:right w:val="nil"/>
            </w:tcBorders>
            <w:noWrap/>
            <w:vAlign w:val="bottom"/>
            <w:hideMark/>
          </w:tcPr>
          <w:p w14:paraId="465DD678"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1.08111</w:t>
            </w:r>
          </w:p>
        </w:tc>
        <w:tc>
          <w:tcPr>
            <w:tcW w:w="874" w:type="dxa"/>
            <w:tcBorders>
              <w:top w:val="nil"/>
              <w:left w:val="nil"/>
              <w:bottom w:val="nil"/>
              <w:right w:val="nil"/>
            </w:tcBorders>
            <w:noWrap/>
            <w:vAlign w:val="bottom"/>
            <w:hideMark/>
          </w:tcPr>
          <w:p w14:paraId="18F98187"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0.17940</w:t>
            </w:r>
          </w:p>
        </w:tc>
        <w:tc>
          <w:tcPr>
            <w:tcW w:w="898" w:type="dxa"/>
            <w:tcBorders>
              <w:top w:val="nil"/>
              <w:left w:val="nil"/>
              <w:bottom w:val="nil"/>
              <w:right w:val="nil"/>
            </w:tcBorders>
            <w:noWrap/>
            <w:vAlign w:val="bottom"/>
            <w:hideMark/>
          </w:tcPr>
          <w:p w14:paraId="36EAD9E8"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6.03</w:t>
            </w:r>
          </w:p>
        </w:tc>
        <w:tc>
          <w:tcPr>
            <w:tcW w:w="898" w:type="dxa"/>
            <w:tcBorders>
              <w:top w:val="nil"/>
              <w:left w:val="nil"/>
              <w:bottom w:val="nil"/>
              <w:right w:val="nil"/>
            </w:tcBorders>
            <w:noWrap/>
            <w:vAlign w:val="bottom"/>
            <w:hideMark/>
          </w:tcPr>
          <w:p w14:paraId="6AB66628"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0.000</w:t>
            </w:r>
          </w:p>
        </w:tc>
        <w:tc>
          <w:tcPr>
            <w:tcW w:w="1084" w:type="dxa"/>
            <w:tcBorders>
              <w:top w:val="nil"/>
              <w:left w:val="nil"/>
              <w:bottom w:val="nil"/>
              <w:right w:val="nil"/>
            </w:tcBorders>
            <w:noWrap/>
            <w:vAlign w:val="bottom"/>
            <w:hideMark/>
          </w:tcPr>
          <w:p w14:paraId="7279F44E"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0.7291</w:t>
            </w:r>
          </w:p>
        </w:tc>
        <w:tc>
          <w:tcPr>
            <w:tcW w:w="960" w:type="dxa"/>
            <w:tcBorders>
              <w:top w:val="nil"/>
              <w:left w:val="nil"/>
              <w:bottom w:val="nil"/>
              <w:right w:val="nil"/>
            </w:tcBorders>
            <w:noWrap/>
            <w:vAlign w:val="bottom"/>
            <w:hideMark/>
          </w:tcPr>
          <w:p w14:paraId="4B9E4421"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1.4331</w:t>
            </w:r>
          </w:p>
        </w:tc>
      </w:tr>
      <w:tr w:rsidR="00066B58" w:rsidRPr="00066B58" w14:paraId="33059FF2" w14:textId="77777777" w:rsidTr="00066B58">
        <w:trPr>
          <w:trHeight w:val="300"/>
        </w:trPr>
        <w:tc>
          <w:tcPr>
            <w:tcW w:w="1133" w:type="dxa"/>
            <w:tcBorders>
              <w:top w:val="nil"/>
              <w:left w:val="nil"/>
              <w:bottom w:val="nil"/>
              <w:right w:val="nil"/>
            </w:tcBorders>
            <w:noWrap/>
            <w:vAlign w:val="bottom"/>
            <w:hideMark/>
          </w:tcPr>
          <w:p w14:paraId="0848392D"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Year</w:t>
            </w:r>
          </w:p>
        </w:tc>
        <w:tc>
          <w:tcPr>
            <w:tcW w:w="1153" w:type="dxa"/>
            <w:tcBorders>
              <w:top w:val="nil"/>
              <w:left w:val="nil"/>
              <w:bottom w:val="nil"/>
              <w:right w:val="nil"/>
            </w:tcBorders>
            <w:noWrap/>
            <w:vAlign w:val="bottom"/>
            <w:hideMark/>
          </w:tcPr>
          <w:p w14:paraId="55C615E3"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0.00237</w:t>
            </w:r>
          </w:p>
        </w:tc>
        <w:tc>
          <w:tcPr>
            <w:tcW w:w="874" w:type="dxa"/>
            <w:tcBorders>
              <w:top w:val="nil"/>
              <w:left w:val="nil"/>
              <w:bottom w:val="nil"/>
              <w:right w:val="nil"/>
            </w:tcBorders>
            <w:noWrap/>
            <w:vAlign w:val="bottom"/>
            <w:hideMark/>
          </w:tcPr>
          <w:p w14:paraId="2B429B8E"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0.00023</w:t>
            </w:r>
          </w:p>
        </w:tc>
        <w:tc>
          <w:tcPr>
            <w:tcW w:w="898" w:type="dxa"/>
            <w:tcBorders>
              <w:top w:val="nil"/>
              <w:left w:val="nil"/>
              <w:bottom w:val="nil"/>
              <w:right w:val="nil"/>
            </w:tcBorders>
            <w:noWrap/>
            <w:vAlign w:val="bottom"/>
            <w:hideMark/>
          </w:tcPr>
          <w:p w14:paraId="35565441"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10.13</w:t>
            </w:r>
          </w:p>
        </w:tc>
        <w:tc>
          <w:tcPr>
            <w:tcW w:w="898" w:type="dxa"/>
            <w:tcBorders>
              <w:top w:val="nil"/>
              <w:left w:val="nil"/>
              <w:bottom w:val="nil"/>
              <w:right w:val="nil"/>
            </w:tcBorders>
            <w:noWrap/>
            <w:vAlign w:val="bottom"/>
            <w:hideMark/>
          </w:tcPr>
          <w:p w14:paraId="4BEB07E5"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0.000</w:t>
            </w:r>
          </w:p>
        </w:tc>
        <w:tc>
          <w:tcPr>
            <w:tcW w:w="1084" w:type="dxa"/>
            <w:tcBorders>
              <w:top w:val="nil"/>
              <w:left w:val="nil"/>
              <w:bottom w:val="nil"/>
              <w:right w:val="nil"/>
            </w:tcBorders>
            <w:noWrap/>
            <w:vAlign w:val="bottom"/>
            <w:hideMark/>
          </w:tcPr>
          <w:p w14:paraId="129AC492"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0.0019</w:t>
            </w:r>
          </w:p>
        </w:tc>
        <w:tc>
          <w:tcPr>
            <w:tcW w:w="960" w:type="dxa"/>
            <w:tcBorders>
              <w:top w:val="nil"/>
              <w:left w:val="nil"/>
              <w:bottom w:val="nil"/>
              <w:right w:val="nil"/>
            </w:tcBorders>
            <w:noWrap/>
            <w:vAlign w:val="bottom"/>
            <w:hideMark/>
          </w:tcPr>
          <w:p w14:paraId="5673C97D"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0.0028</w:t>
            </w:r>
          </w:p>
        </w:tc>
      </w:tr>
      <w:tr w:rsidR="00066B58" w:rsidRPr="00066B58" w14:paraId="22F14238" w14:textId="77777777" w:rsidTr="00066B58">
        <w:trPr>
          <w:trHeight w:val="300"/>
        </w:trPr>
        <w:tc>
          <w:tcPr>
            <w:tcW w:w="1133" w:type="dxa"/>
            <w:tcBorders>
              <w:top w:val="nil"/>
              <w:left w:val="nil"/>
              <w:bottom w:val="nil"/>
              <w:right w:val="nil"/>
            </w:tcBorders>
            <w:noWrap/>
            <w:vAlign w:val="bottom"/>
            <w:hideMark/>
          </w:tcPr>
          <w:p w14:paraId="79D5D117" w14:textId="77777777"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TN2014</w:t>
            </w:r>
          </w:p>
        </w:tc>
        <w:tc>
          <w:tcPr>
            <w:tcW w:w="1153" w:type="dxa"/>
            <w:tcBorders>
              <w:top w:val="nil"/>
              <w:left w:val="nil"/>
              <w:bottom w:val="nil"/>
              <w:right w:val="nil"/>
            </w:tcBorders>
            <w:noWrap/>
            <w:vAlign w:val="bottom"/>
            <w:hideMark/>
          </w:tcPr>
          <w:p w14:paraId="1AC358D1"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0.30573</w:t>
            </w:r>
          </w:p>
        </w:tc>
        <w:tc>
          <w:tcPr>
            <w:tcW w:w="874" w:type="dxa"/>
            <w:tcBorders>
              <w:top w:val="nil"/>
              <w:left w:val="nil"/>
              <w:bottom w:val="nil"/>
              <w:right w:val="nil"/>
            </w:tcBorders>
            <w:noWrap/>
            <w:vAlign w:val="bottom"/>
            <w:hideMark/>
          </w:tcPr>
          <w:p w14:paraId="53330E56"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0.02575</w:t>
            </w:r>
          </w:p>
        </w:tc>
        <w:tc>
          <w:tcPr>
            <w:tcW w:w="898" w:type="dxa"/>
            <w:tcBorders>
              <w:top w:val="nil"/>
              <w:left w:val="nil"/>
              <w:bottom w:val="nil"/>
              <w:right w:val="nil"/>
            </w:tcBorders>
            <w:noWrap/>
            <w:vAlign w:val="bottom"/>
            <w:hideMark/>
          </w:tcPr>
          <w:p w14:paraId="68B9CCDC"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11.87</w:t>
            </w:r>
          </w:p>
        </w:tc>
        <w:tc>
          <w:tcPr>
            <w:tcW w:w="898" w:type="dxa"/>
            <w:tcBorders>
              <w:top w:val="nil"/>
              <w:left w:val="nil"/>
              <w:bottom w:val="nil"/>
              <w:right w:val="nil"/>
            </w:tcBorders>
            <w:noWrap/>
            <w:vAlign w:val="bottom"/>
            <w:hideMark/>
          </w:tcPr>
          <w:p w14:paraId="3AF50909"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0.000</w:t>
            </w:r>
          </w:p>
        </w:tc>
        <w:tc>
          <w:tcPr>
            <w:tcW w:w="1084" w:type="dxa"/>
            <w:tcBorders>
              <w:top w:val="nil"/>
              <w:left w:val="nil"/>
              <w:bottom w:val="nil"/>
              <w:right w:val="nil"/>
            </w:tcBorders>
            <w:noWrap/>
            <w:vAlign w:val="bottom"/>
            <w:hideMark/>
          </w:tcPr>
          <w:p w14:paraId="6568746F"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0.2552</w:t>
            </w:r>
          </w:p>
        </w:tc>
        <w:tc>
          <w:tcPr>
            <w:tcW w:w="960" w:type="dxa"/>
            <w:tcBorders>
              <w:top w:val="nil"/>
              <w:left w:val="nil"/>
              <w:bottom w:val="nil"/>
              <w:right w:val="nil"/>
            </w:tcBorders>
            <w:noWrap/>
            <w:vAlign w:val="bottom"/>
            <w:hideMark/>
          </w:tcPr>
          <w:p w14:paraId="7347C22E"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0.3563</w:t>
            </w:r>
          </w:p>
        </w:tc>
      </w:tr>
      <w:tr w:rsidR="00066B58" w:rsidRPr="00066B58" w14:paraId="724B1904" w14:textId="77777777" w:rsidTr="00066B58">
        <w:trPr>
          <w:trHeight w:val="300"/>
        </w:trPr>
        <w:tc>
          <w:tcPr>
            <w:tcW w:w="1133" w:type="dxa"/>
            <w:tcBorders>
              <w:top w:val="nil"/>
              <w:left w:val="nil"/>
              <w:bottom w:val="nil"/>
              <w:right w:val="nil"/>
            </w:tcBorders>
            <w:noWrap/>
            <w:vAlign w:val="bottom"/>
            <w:hideMark/>
          </w:tcPr>
          <w:p w14:paraId="1C861A37" w14:textId="059F80AB" w:rsidR="00066B58" w:rsidRPr="00066B58" w:rsidRDefault="00066B58" w:rsidP="00066B58">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w:t>
            </w:r>
            <w:r w:rsidRPr="00066B58">
              <w:rPr>
                <w:rFonts w:ascii="Aptos Narrow" w:eastAsia="Times New Roman" w:hAnsi="Aptos Narrow" w:cs="Times New Roman"/>
                <w:color w:val="000000"/>
                <w:kern w:val="0"/>
                <w:sz w:val="22"/>
                <w:szCs w:val="22"/>
                <w14:ligatures w14:val="none"/>
              </w:rPr>
              <w:t>onstant</w:t>
            </w:r>
          </w:p>
        </w:tc>
        <w:tc>
          <w:tcPr>
            <w:tcW w:w="1153" w:type="dxa"/>
            <w:tcBorders>
              <w:top w:val="nil"/>
              <w:left w:val="nil"/>
              <w:bottom w:val="nil"/>
              <w:right w:val="nil"/>
            </w:tcBorders>
            <w:noWrap/>
            <w:vAlign w:val="bottom"/>
            <w:hideMark/>
          </w:tcPr>
          <w:p w14:paraId="5FA8687A"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0.01260</w:t>
            </w:r>
          </w:p>
        </w:tc>
        <w:tc>
          <w:tcPr>
            <w:tcW w:w="874" w:type="dxa"/>
            <w:tcBorders>
              <w:top w:val="nil"/>
              <w:left w:val="nil"/>
              <w:bottom w:val="nil"/>
              <w:right w:val="nil"/>
            </w:tcBorders>
            <w:noWrap/>
            <w:vAlign w:val="bottom"/>
            <w:hideMark/>
          </w:tcPr>
          <w:p w14:paraId="5ABCE882"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0.00219</w:t>
            </w:r>
          </w:p>
        </w:tc>
        <w:tc>
          <w:tcPr>
            <w:tcW w:w="898" w:type="dxa"/>
            <w:tcBorders>
              <w:top w:val="nil"/>
              <w:left w:val="nil"/>
              <w:bottom w:val="nil"/>
              <w:right w:val="nil"/>
            </w:tcBorders>
            <w:noWrap/>
            <w:vAlign w:val="bottom"/>
            <w:hideMark/>
          </w:tcPr>
          <w:p w14:paraId="1C30BB6A"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5.74</w:t>
            </w:r>
          </w:p>
        </w:tc>
        <w:tc>
          <w:tcPr>
            <w:tcW w:w="898" w:type="dxa"/>
            <w:tcBorders>
              <w:top w:val="nil"/>
              <w:left w:val="nil"/>
              <w:bottom w:val="nil"/>
              <w:right w:val="nil"/>
            </w:tcBorders>
            <w:noWrap/>
            <w:vAlign w:val="bottom"/>
            <w:hideMark/>
          </w:tcPr>
          <w:p w14:paraId="14929279"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0.000</w:t>
            </w:r>
          </w:p>
        </w:tc>
        <w:tc>
          <w:tcPr>
            <w:tcW w:w="1084" w:type="dxa"/>
            <w:tcBorders>
              <w:top w:val="nil"/>
              <w:left w:val="nil"/>
              <w:bottom w:val="nil"/>
              <w:right w:val="nil"/>
            </w:tcBorders>
            <w:noWrap/>
            <w:vAlign w:val="bottom"/>
            <w:hideMark/>
          </w:tcPr>
          <w:p w14:paraId="5609F1F0"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0.0083</w:t>
            </w:r>
          </w:p>
        </w:tc>
        <w:tc>
          <w:tcPr>
            <w:tcW w:w="960" w:type="dxa"/>
            <w:tcBorders>
              <w:top w:val="nil"/>
              <w:left w:val="nil"/>
              <w:bottom w:val="nil"/>
              <w:right w:val="nil"/>
            </w:tcBorders>
            <w:noWrap/>
            <w:vAlign w:val="bottom"/>
            <w:hideMark/>
          </w:tcPr>
          <w:p w14:paraId="5693770D" w14:textId="77777777" w:rsidR="00066B58" w:rsidRPr="00066B58" w:rsidRDefault="00066B58" w:rsidP="00066B58">
            <w:pPr>
              <w:spacing w:after="0" w:line="240" w:lineRule="auto"/>
              <w:jc w:val="right"/>
              <w:rPr>
                <w:rFonts w:ascii="Aptos Narrow" w:eastAsia="Times New Roman" w:hAnsi="Aptos Narrow" w:cs="Times New Roman"/>
                <w:color w:val="000000"/>
                <w:kern w:val="0"/>
                <w:sz w:val="22"/>
                <w:szCs w:val="22"/>
                <w14:ligatures w14:val="none"/>
              </w:rPr>
            </w:pPr>
            <w:r w:rsidRPr="00066B58">
              <w:rPr>
                <w:rFonts w:ascii="Aptos Narrow" w:eastAsia="Times New Roman" w:hAnsi="Aptos Narrow" w:cs="Times New Roman"/>
                <w:color w:val="000000"/>
                <w:kern w:val="0"/>
                <w:sz w:val="22"/>
                <w:szCs w:val="22"/>
                <w14:ligatures w14:val="none"/>
              </w:rPr>
              <w:t>0.0169</w:t>
            </w:r>
          </w:p>
        </w:tc>
      </w:tr>
    </w:tbl>
    <w:p w14:paraId="39CEFEF6" w14:textId="77777777" w:rsidR="00B1570F" w:rsidRDefault="00B1570F" w:rsidP="00613D77"/>
    <w:sectPr w:rsidR="00B157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02ABB" w14:textId="77777777" w:rsidR="00BB0B13" w:rsidRDefault="00BB0B13" w:rsidP="00BB0B13">
      <w:pPr>
        <w:spacing w:after="0" w:line="240" w:lineRule="auto"/>
      </w:pPr>
      <w:r>
        <w:separator/>
      </w:r>
    </w:p>
  </w:endnote>
  <w:endnote w:type="continuationSeparator" w:id="0">
    <w:p w14:paraId="4CD31C94" w14:textId="77777777" w:rsidR="00BB0B13" w:rsidRDefault="00BB0B13" w:rsidP="00BB0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B9681" w14:textId="77777777" w:rsidR="00BB0B13" w:rsidRDefault="00BB0B13" w:rsidP="00BB0B13">
      <w:pPr>
        <w:spacing w:after="0" w:line="240" w:lineRule="auto"/>
      </w:pPr>
      <w:r>
        <w:separator/>
      </w:r>
    </w:p>
  </w:footnote>
  <w:footnote w:type="continuationSeparator" w:id="0">
    <w:p w14:paraId="506D9AB6" w14:textId="77777777" w:rsidR="00BB0B13" w:rsidRDefault="00BB0B13" w:rsidP="00BB0B13">
      <w:pPr>
        <w:spacing w:after="0" w:line="240" w:lineRule="auto"/>
      </w:pPr>
      <w:r>
        <w:continuationSeparator/>
      </w:r>
    </w:p>
  </w:footnote>
  <w:footnote w:id="1">
    <w:p w14:paraId="0B2C1054" w14:textId="05EF87F7" w:rsidR="005524B8" w:rsidRDefault="005524B8">
      <w:pPr>
        <w:pStyle w:val="FootnoteText"/>
      </w:pPr>
      <w:r>
        <w:rPr>
          <w:rStyle w:val="FootnoteReference"/>
        </w:rPr>
        <w:footnoteRef/>
      </w:r>
      <w:r>
        <w:t xml:space="preserve"> We have been unable to find a vendor who will sell us such </w:t>
      </w:r>
      <w:proofErr w:type="gramStart"/>
      <w:r>
        <w:t>data,</w:t>
      </w:r>
      <w:proofErr w:type="gramEnd"/>
      <w:r>
        <w:t xml:space="preserve"> let alone at a price we could afford. In response to the query, “C</w:t>
      </w:r>
      <w:r w:rsidRPr="005524B8">
        <w:t xml:space="preserve">an </w:t>
      </w:r>
      <w:r>
        <w:t>I</w:t>
      </w:r>
      <w:r w:rsidRPr="005524B8">
        <w:t xml:space="preserve"> buy a complete census of all used vehicles in the us by vin number</w:t>
      </w:r>
      <w:r>
        <w:t>?” Google AI responded:  “</w:t>
      </w:r>
      <w:r w:rsidRPr="005524B8">
        <w:t>No, you cannot buy a </w:t>
      </w:r>
      <w:r w:rsidRPr="005524B8">
        <w:rPr>
          <w:i/>
          <w:iCs/>
        </w:rPr>
        <w:t>complete</w:t>
      </w:r>
      <w:r w:rsidRPr="005524B8">
        <w:t> census of </w:t>
      </w:r>
      <w:r w:rsidRPr="005524B8">
        <w:rPr>
          <w:i/>
          <w:iCs/>
        </w:rPr>
        <w:t>all</w:t>
      </w:r>
      <w:r w:rsidRPr="005524B8">
        <w:t> used vehicles in the U.S. by VIN, but you can access comprehensive data through services like NMVTIS (National Motor Vehicle Title Information System) and third-party providers (</w:t>
      </w:r>
      <w:hyperlink r:id="rId1" w:history="1">
        <w:r w:rsidRPr="005524B8">
          <w:rPr>
            <w:rStyle w:val="Hyperlink"/>
          </w:rPr>
          <w:t>Carfax</w:t>
        </w:r>
      </w:hyperlink>
      <w:r w:rsidRPr="005524B8">
        <w:t>, </w:t>
      </w:r>
      <w:proofErr w:type="spellStart"/>
      <w:r w:rsidRPr="005524B8">
        <w:fldChar w:fldCharType="begin"/>
      </w:r>
      <w:r w:rsidRPr="005524B8">
        <w:instrText>HYPERLINK "https://www.google.com/search?q=AutoCheck&amp;sca_esv=015d5179f0b394af&amp;source=hp&amp;ei=ltQ2adGoBoH5kPIPoZ3BmQ4&amp;iflsig=AOw8s4IAAAAAaTbipufqzebZXxYmRqhaxGPnMXP9V2bW&amp;ved=2ahUKEwjYy_-yjq6RAxUSBbwBHbVxOikQgK4QegQIARAD&amp;uact=5&amp;oq=can+i+buy+a+complete+census+of+all+used+vehicles+in+the+us+by+vin+number&amp;gs_lp=Egdnd3Mtd2l6IkhjYW4gaSBidXkgYSBjb21wbGV0ZSBjZW5zdXMgb2YgYWxsIHVzZWQgdmVoaWNsZXMgaW4gdGhlIHVzIGJ5IHZpbiBudW1iZXJIr3dQAFjudHAAeACQAQCYAZIBoAH9OaoBBTE3LjQ5uAEDyAEA-AEBmAI8oALINsICDhAAGIAEGIoFGLEDGIMBwgIIEAAYgAQYsQPCAgsQLhiABBixAxiDAcICCxAAGIAEGLEDGIMBwgIREC4YgAQYsQMYgwEYxwEY0QPCAggQLhiABBixA8ICDhAuGIAEGLEDGMcBGNEDwgIQEAAYgAQYigUYsQMYgwEYCsICERAAGIAEGIoFGI0GGLEDGIMBwgIOEC4YgAQYigUYsQMYgwHCAg4QLhiABBixAxiDARjlBMICBRAAGIAEwgILEC4YgAQYigUYsQPCAgsQABiABBiKBRixA8ICBhAAGBYYHsICCBAAGIAEGKIEwgIFEAAY7wXCAgUQIRigAcICBRAhGJ8FwgIFECEYqwLCAgUQIRiSA5gDAJIHBDkuNTGgB8S1A7IHBDkuNTG4B8g2wgcHMjYuMzMuMcgHSIAIAQ&amp;sclient=gws-wiz&amp;mstk=AUtExfC1TKNezEkzMMtj-tYuz7jgMdeiwR0EUa2LANwmry8Sv7oRTCA-jNsheO2ZmtUWxS0hS9GWr9EuqBZzzi5ZG7jxI3KOU0J7MxkLhUFC-VlZRzlYCawrphljUtllgVvXsRk&amp;csui=3"</w:instrText>
      </w:r>
      <w:r w:rsidRPr="005524B8">
        <w:fldChar w:fldCharType="separate"/>
      </w:r>
      <w:r w:rsidRPr="005524B8">
        <w:rPr>
          <w:rStyle w:val="Hyperlink"/>
        </w:rPr>
        <w:t>AutoCheck</w:t>
      </w:r>
      <w:proofErr w:type="spellEnd"/>
      <w:r w:rsidRPr="005524B8">
        <w:fldChar w:fldCharType="end"/>
      </w:r>
      <w:r w:rsidRPr="005524B8">
        <w:t>) for specific vehicle histories, pulling title, salvage, theft, and odometer data for individual VINs, not a bulk list of every car.</w:t>
      </w:r>
      <w:r>
        <w:t>” (12,8/2025) Reasons offered included data privacy and that firms considered the data proprietary.</w:t>
      </w:r>
    </w:p>
  </w:footnote>
  <w:footnote w:id="2">
    <w:p w14:paraId="19173AC3" w14:textId="255C5E0A" w:rsidR="00BB0B13" w:rsidRDefault="00BB0B13">
      <w:pPr>
        <w:pStyle w:val="FootnoteText"/>
      </w:pPr>
      <w:r>
        <w:rPr>
          <w:rStyle w:val="FootnoteReference"/>
        </w:rPr>
        <w:footnoteRef/>
      </w:r>
      <w:r>
        <w:t xml:space="preserve"> There are anomalies in</w:t>
      </w:r>
      <w:r w:rsidR="00DA4D1F">
        <w:t xml:space="preserve"> all three scrappage curves due to calendar year 2020 when the COVID pandemic struck the U.S.</w:t>
      </w:r>
      <w:r>
        <w:t xml:space="preserve"> </w:t>
      </w:r>
      <w:r w:rsidR="00DA4D1F">
        <w:t>The anomalies are especially strong for pickup trucks, whose scrappage curve minus 2020 data is shown in the dashed line in Figure</w:t>
      </w:r>
      <w:r w:rsidR="00FC5934">
        <w:t xml:space="preserve"> 3</w:t>
      </w:r>
      <w:r w:rsidR="00DA4D1F">
        <w:t>. All curves show reduced scrappage from 1 to 2 years of age due to unsold inventory from the previous model year.</w:t>
      </w:r>
      <w:r w:rsidR="00773BEF">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DB0"/>
    <w:rsid w:val="00066B58"/>
    <w:rsid w:val="00067F07"/>
    <w:rsid w:val="00074372"/>
    <w:rsid w:val="000E02B9"/>
    <w:rsid w:val="001323D3"/>
    <w:rsid w:val="001667CD"/>
    <w:rsid w:val="00171361"/>
    <w:rsid w:val="001F58EF"/>
    <w:rsid w:val="002B2E17"/>
    <w:rsid w:val="00315A83"/>
    <w:rsid w:val="00340653"/>
    <w:rsid w:val="003758BE"/>
    <w:rsid w:val="0038595A"/>
    <w:rsid w:val="003C2A1E"/>
    <w:rsid w:val="003D7DB0"/>
    <w:rsid w:val="004457E1"/>
    <w:rsid w:val="005446B1"/>
    <w:rsid w:val="005524B8"/>
    <w:rsid w:val="00580F0B"/>
    <w:rsid w:val="005A4D48"/>
    <w:rsid w:val="005F4036"/>
    <w:rsid w:val="00613D77"/>
    <w:rsid w:val="006258A4"/>
    <w:rsid w:val="0066787E"/>
    <w:rsid w:val="006A093B"/>
    <w:rsid w:val="006A0D95"/>
    <w:rsid w:val="006E4EE0"/>
    <w:rsid w:val="006F156E"/>
    <w:rsid w:val="00773BEF"/>
    <w:rsid w:val="0079298E"/>
    <w:rsid w:val="007D399B"/>
    <w:rsid w:val="00810457"/>
    <w:rsid w:val="00837817"/>
    <w:rsid w:val="00847ADF"/>
    <w:rsid w:val="008526BF"/>
    <w:rsid w:val="0086070C"/>
    <w:rsid w:val="00937B67"/>
    <w:rsid w:val="00977A0D"/>
    <w:rsid w:val="009935CB"/>
    <w:rsid w:val="009E0400"/>
    <w:rsid w:val="00A23BE8"/>
    <w:rsid w:val="00A81F07"/>
    <w:rsid w:val="00B1570F"/>
    <w:rsid w:val="00BB0B13"/>
    <w:rsid w:val="00BC7A07"/>
    <w:rsid w:val="00CD57CB"/>
    <w:rsid w:val="00CF5FB5"/>
    <w:rsid w:val="00D313E8"/>
    <w:rsid w:val="00D828BB"/>
    <w:rsid w:val="00D90348"/>
    <w:rsid w:val="00DA390F"/>
    <w:rsid w:val="00DA4D1F"/>
    <w:rsid w:val="00DE17E3"/>
    <w:rsid w:val="00E5060A"/>
    <w:rsid w:val="00FC5934"/>
    <w:rsid w:val="00FE331A"/>
    <w:rsid w:val="00FF68B9"/>
    <w:rsid w:val="00FF7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989A"/>
  <w15:chartTrackingRefBased/>
  <w15:docId w15:val="{8BCF8EC7-4B76-4356-8F64-578D7A94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DB0"/>
    <w:rPr>
      <w:rFonts w:eastAsiaTheme="majorEastAsia" w:cstheme="majorBidi"/>
      <w:color w:val="272727" w:themeColor="text1" w:themeTint="D8"/>
    </w:rPr>
  </w:style>
  <w:style w:type="paragraph" w:styleId="Title">
    <w:name w:val="Title"/>
    <w:basedOn w:val="Normal"/>
    <w:next w:val="Normal"/>
    <w:link w:val="TitleChar"/>
    <w:uiPriority w:val="10"/>
    <w:qFormat/>
    <w:rsid w:val="003D7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DB0"/>
    <w:pPr>
      <w:spacing w:before="160"/>
      <w:jc w:val="center"/>
    </w:pPr>
    <w:rPr>
      <w:i/>
      <w:iCs/>
      <w:color w:val="404040" w:themeColor="text1" w:themeTint="BF"/>
    </w:rPr>
  </w:style>
  <w:style w:type="character" w:customStyle="1" w:styleId="QuoteChar">
    <w:name w:val="Quote Char"/>
    <w:basedOn w:val="DefaultParagraphFont"/>
    <w:link w:val="Quote"/>
    <w:uiPriority w:val="29"/>
    <w:rsid w:val="003D7DB0"/>
    <w:rPr>
      <w:i/>
      <w:iCs/>
      <w:color w:val="404040" w:themeColor="text1" w:themeTint="BF"/>
    </w:rPr>
  </w:style>
  <w:style w:type="paragraph" w:styleId="ListParagraph">
    <w:name w:val="List Paragraph"/>
    <w:basedOn w:val="Normal"/>
    <w:uiPriority w:val="34"/>
    <w:qFormat/>
    <w:rsid w:val="003D7DB0"/>
    <w:pPr>
      <w:ind w:left="720"/>
      <w:contextualSpacing/>
    </w:pPr>
  </w:style>
  <w:style w:type="character" w:styleId="IntenseEmphasis">
    <w:name w:val="Intense Emphasis"/>
    <w:basedOn w:val="DefaultParagraphFont"/>
    <w:uiPriority w:val="21"/>
    <w:qFormat/>
    <w:rsid w:val="003D7DB0"/>
    <w:rPr>
      <w:i/>
      <w:iCs/>
      <w:color w:val="0F4761" w:themeColor="accent1" w:themeShade="BF"/>
    </w:rPr>
  </w:style>
  <w:style w:type="paragraph" w:styleId="IntenseQuote">
    <w:name w:val="Intense Quote"/>
    <w:basedOn w:val="Normal"/>
    <w:next w:val="Normal"/>
    <w:link w:val="IntenseQuoteChar"/>
    <w:uiPriority w:val="30"/>
    <w:qFormat/>
    <w:rsid w:val="003D7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DB0"/>
    <w:rPr>
      <w:i/>
      <w:iCs/>
      <w:color w:val="0F4761" w:themeColor="accent1" w:themeShade="BF"/>
    </w:rPr>
  </w:style>
  <w:style w:type="character" w:styleId="IntenseReference">
    <w:name w:val="Intense Reference"/>
    <w:basedOn w:val="DefaultParagraphFont"/>
    <w:uiPriority w:val="32"/>
    <w:qFormat/>
    <w:rsid w:val="003D7DB0"/>
    <w:rPr>
      <w:b/>
      <w:bCs/>
      <w:smallCaps/>
      <w:color w:val="0F4761" w:themeColor="accent1" w:themeShade="BF"/>
      <w:spacing w:val="5"/>
    </w:rPr>
  </w:style>
  <w:style w:type="paragraph" w:styleId="FootnoteText">
    <w:name w:val="footnote text"/>
    <w:basedOn w:val="Normal"/>
    <w:link w:val="FootnoteTextChar"/>
    <w:uiPriority w:val="99"/>
    <w:semiHidden/>
    <w:unhideWhenUsed/>
    <w:rsid w:val="00BB0B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0B13"/>
    <w:rPr>
      <w:sz w:val="20"/>
      <w:szCs w:val="20"/>
    </w:rPr>
  </w:style>
  <w:style w:type="character" w:styleId="FootnoteReference">
    <w:name w:val="footnote reference"/>
    <w:basedOn w:val="DefaultParagraphFont"/>
    <w:uiPriority w:val="99"/>
    <w:semiHidden/>
    <w:unhideWhenUsed/>
    <w:rsid w:val="00BB0B13"/>
    <w:rPr>
      <w:vertAlign w:val="superscript"/>
    </w:rPr>
  </w:style>
  <w:style w:type="character" w:styleId="CommentReference">
    <w:name w:val="annotation reference"/>
    <w:basedOn w:val="DefaultParagraphFont"/>
    <w:uiPriority w:val="99"/>
    <w:semiHidden/>
    <w:unhideWhenUsed/>
    <w:rsid w:val="00FC5934"/>
    <w:rPr>
      <w:sz w:val="16"/>
      <w:szCs w:val="16"/>
    </w:rPr>
  </w:style>
  <w:style w:type="paragraph" w:styleId="CommentText">
    <w:name w:val="annotation text"/>
    <w:basedOn w:val="Normal"/>
    <w:link w:val="CommentTextChar"/>
    <w:uiPriority w:val="99"/>
    <w:unhideWhenUsed/>
    <w:rsid w:val="00FC5934"/>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FC5934"/>
    <w:rPr>
      <w:kern w:val="0"/>
      <w:sz w:val="20"/>
      <w:szCs w:val="20"/>
      <w14:ligatures w14:val="none"/>
    </w:rPr>
  </w:style>
  <w:style w:type="character" w:styleId="PlaceholderText">
    <w:name w:val="Placeholder Text"/>
    <w:basedOn w:val="DefaultParagraphFont"/>
    <w:uiPriority w:val="99"/>
    <w:semiHidden/>
    <w:rsid w:val="000E02B9"/>
    <w:rPr>
      <w:color w:val="666666"/>
    </w:rPr>
  </w:style>
  <w:style w:type="character" w:styleId="Hyperlink">
    <w:name w:val="Hyperlink"/>
    <w:basedOn w:val="DefaultParagraphFont"/>
    <w:uiPriority w:val="99"/>
    <w:unhideWhenUsed/>
    <w:rsid w:val="005524B8"/>
    <w:rPr>
      <w:color w:val="467886" w:themeColor="hyperlink"/>
      <w:u w:val="single"/>
    </w:rPr>
  </w:style>
  <w:style w:type="character" w:styleId="UnresolvedMention">
    <w:name w:val="Unresolved Mention"/>
    <w:basedOn w:val="DefaultParagraphFont"/>
    <w:uiPriority w:val="99"/>
    <w:semiHidden/>
    <w:unhideWhenUsed/>
    <w:rsid w:val="005524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footnotes.xml.rels><?xml version="1.0" encoding="UTF-8" standalone="yes"?>
<Relationships xmlns="http://schemas.openxmlformats.org/package/2006/relationships"><Relationship Id="rId1" Type="http://schemas.openxmlformats.org/officeDocument/2006/relationships/hyperlink" Target="https://www.google.com/search?q=Carfax&amp;sca_esv=015d5179f0b394af&amp;source=hp&amp;ei=ltQ2adGoBoH5kPIPoZ3BmQ4&amp;iflsig=AOw8s4IAAAAAaTbipufqzebZXxYmRqhaxGPnMXP9V2bW&amp;ved=2ahUKEwjYy_-yjq6RAxUSBbwBHbVxOikQgK4QegQIARAC&amp;uact=5&amp;oq=can+i+buy+a+complete+census+of+all+used+vehicles+in+the+us+by+vin+number&amp;gs_lp=Egdnd3Mtd2l6IkhjYW4gaSBidXkgYSBjb21wbGV0ZSBjZW5zdXMgb2YgYWxsIHVzZWQgdmVoaWNsZXMgaW4gdGhlIHVzIGJ5IHZpbiBudW1iZXJIr3dQAFjudHAAeACQAQCYAZIBoAH9OaoBBTE3LjQ5uAEDyAEA-AEBmAI8oALINsICDhAAGIAEGIoFGLEDGIMBwgIIEAAYgAQYsQPCAgsQLhiABBixAxiDAcICCxAAGIAEGLEDGIMBwgIREC4YgAQYsQMYgwEYxwEY0QPCAggQLhiABBixA8ICDhAuGIAEGLEDGMcBGNEDwgIQEAAYgAQYigUYsQMYgwEYCsICERAAGIAEGIoFGI0GGLEDGIMBwgIOEC4YgAQYigUYsQMYgwHCAg4QLhiABBixAxiDARjlBMICBRAAGIAEwgILEC4YgAQYigUYsQPCAgsQABiABBiKBRixA8ICBhAAGBYYHsICCBAAGIAEGKIEwgIFEAAY7wXCAgUQIRigAcICBRAhGJ8FwgIFECEYqwLCAgUQIRiSA5gDAJIHBDkuNTGgB8S1A7IHBDkuNTG4B8g2wgcHMjYuMzMuMcgHSIAIAQ&amp;sclient=gws-wiz&amp;mstk=AUtExfC1TKNezEkzMMtj-tYuz7jgMdeiwR0EUa2LANwmry8Sv7oRTCA-jNsheO2ZmtUWxS0hS9GWr9EuqBZzzi5ZG7jxI3KOU0J7MxkLhUFC-VlZRzlYCawrphljUtllgVvXsRk&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05964-2B4D-4195-B07E-7D0A68D13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1486</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davidlgreene49@gmail.com</dc:creator>
  <cp:keywords/>
  <dc:description/>
  <cp:lastModifiedBy>davidlgreene49@gmail.com</cp:lastModifiedBy>
  <cp:revision>2</cp:revision>
  <dcterms:created xsi:type="dcterms:W3CDTF">2025-12-08T14:09:00Z</dcterms:created>
  <dcterms:modified xsi:type="dcterms:W3CDTF">2025-12-08T14:09:00Z</dcterms:modified>
</cp:coreProperties>
</file>