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68DF" w:rsidRPr="005C197B" w:rsidRDefault="00491894" w:rsidP="00D9446D">
      <w:pPr>
        <w:jc w:val="center"/>
        <w:rPr>
          <w:b/>
        </w:rPr>
      </w:pPr>
      <w:r w:rsidRPr="005C197B">
        <w:rPr>
          <w:b/>
        </w:rPr>
        <w:t>Vehicle Survival and Net Migration Research Using Vehicles in Operation Data</w:t>
      </w:r>
    </w:p>
    <w:p w:rsidR="00491894" w:rsidRDefault="00491894" w:rsidP="00D9446D">
      <w:pPr>
        <w:spacing w:after="0"/>
        <w:jc w:val="center"/>
      </w:pPr>
      <w:r>
        <w:t>David L. Greene</w:t>
      </w:r>
      <w:r w:rsidR="005C197B">
        <w:t xml:space="preserve"> &amp; Benjamin P. </w:t>
      </w:r>
      <w:proofErr w:type="spellStart"/>
      <w:r w:rsidR="005C197B">
        <w:t>Leard</w:t>
      </w:r>
      <w:proofErr w:type="spellEnd"/>
    </w:p>
    <w:p w:rsidR="00D9446D" w:rsidRDefault="00D9446D" w:rsidP="00D9446D">
      <w:pPr>
        <w:spacing w:after="0"/>
        <w:jc w:val="center"/>
      </w:pPr>
      <w:r>
        <w:t>The University of Tennessee</w:t>
      </w:r>
    </w:p>
    <w:p w:rsidR="00491894" w:rsidRDefault="00491894" w:rsidP="005C197B">
      <w:pPr>
        <w:jc w:val="center"/>
      </w:pPr>
      <w:r>
        <w:t>November 12, 2024</w:t>
      </w:r>
    </w:p>
    <w:p w:rsidR="00491894" w:rsidRPr="005C197B" w:rsidRDefault="00491894">
      <w:pPr>
        <w:rPr>
          <w:b/>
        </w:rPr>
      </w:pPr>
      <w:r w:rsidRPr="005C197B">
        <w:rPr>
          <w:b/>
        </w:rPr>
        <w:t>Background</w:t>
      </w:r>
    </w:p>
    <w:p w:rsidR="00491894" w:rsidRDefault="00D63B8D">
      <w:r>
        <w:t xml:space="preserve">Using state level survival rates based on state level counts of vehicles in operation (VIO) by three vehicle types, we were able to estimate state-specific survival models that fit the data well. The models combined </w:t>
      </w:r>
      <w:r w:rsidR="005C197B">
        <w:t>continuous, time-varying predictors (rates of change in state population and employment) with state and time fixed effects. The models captured significant differences in state survival rates that suggest important migrations of vehicles among states. With further research it may be possible to build models to predict both survival rates and vehicle migrations by vehicle type and powertrain and to</w:t>
      </w:r>
      <w:bookmarkStart w:id="0" w:name="_GoBack"/>
      <w:bookmarkEnd w:id="0"/>
      <w:r w:rsidR="005C197B">
        <w:t xml:space="preserve"> develop useful insights about how the geographical distribution of EVs is likely to evolve during the transition to electrified vehicles.</w:t>
      </w:r>
    </w:p>
    <w:p w:rsidR="00491894" w:rsidRPr="005C197B" w:rsidRDefault="00491894">
      <w:pPr>
        <w:rPr>
          <w:b/>
        </w:rPr>
      </w:pPr>
      <w:r w:rsidRPr="005C197B">
        <w:rPr>
          <w:b/>
        </w:rPr>
        <w:t xml:space="preserve">Research Agenda </w:t>
      </w:r>
    </w:p>
    <w:p w:rsidR="00491894" w:rsidRDefault="005C197B">
      <w:r>
        <w:t>Given data on vehicle counts by state, model year, vehicle type and powertrain type, we</w:t>
      </w:r>
      <w:r w:rsidR="00491894">
        <w:t xml:space="preserve"> propose to focus on </w:t>
      </w:r>
      <w:r>
        <w:t xml:space="preserve">the following </w:t>
      </w:r>
      <w:r w:rsidR="00491894">
        <w:t xml:space="preserve">three topics: </w:t>
      </w:r>
    </w:p>
    <w:p w:rsidR="00491894" w:rsidRDefault="00491894" w:rsidP="00491894">
      <w:pPr>
        <w:pStyle w:val="ListParagraph"/>
        <w:numPr>
          <w:ilvl w:val="0"/>
          <w:numId w:val="1"/>
        </w:numPr>
      </w:pPr>
      <w:r>
        <w:t xml:space="preserve">Calculating net state deviations from national survival rates for BEVs, PHEVs and HEVs, and mapping and </w:t>
      </w:r>
      <w:r w:rsidR="00D9446D">
        <w:t>describing</w:t>
      </w:r>
      <w:r w:rsidR="00D63B8D">
        <w:t xml:space="preserve"> geographical and temporal</w:t>
      </w:r>
      <w:r w:rsidR="00D9446D">
        <w:t xml:space="preserve"> patterns</w:t>
      </w:r>
      <w:r w:rsidR="00D63B8D">
        <w:t xml:space="preserve"> and trends</w:t>
      </w:r>
      <w:r>
        <w:t>.</w:t>
      </w:r>
    </w:p>
    <w:p w:rsidR="00491894" w:rsidRDefault="00010959" w:rsidP="00491894">
      <w:pPr>
        <w:pStyle w:val="ListParagraph"/>
        <w:numPr>
          <w:ilvl w:val="0"/>
          <w:numId w:val="1"/>
        </w:numPr>
      </w:pPr>
      <w:r>
        <w:t>Investigat</w:t>
      </w:r>
      <w:r w:rsidR="00491894">
        <w:t xml:space="preserve">ing </w:t>
      </w:r>
      <w:r>
        <w:t>the potential to separate vehicle migrations among states from inherent differences in vehicle survival rate</w:t>
      </w:r>
      <w:r w:rsidR="00491894">
        <w:t xml:space="preserve">. First, using net state deviations from national survival rates by vehicle type as a function of vehicle age to calculate the implied net VIO differences, then </w:t>
      </w:r>
      <w:r>
        <w:t>attempting to distinguish vehicle migrations from state-specific vehicle survival rates.</w:t>
      </w:r>
    </w:p>
    <w:p w:rsidR="00FD485D" w:rsidRDefault="00D63B8D" w:rsidP="00FD485D">
      <w:pPr>
        <w:pStyle w:val="ListParagraph"/>
        <w:numPr>
          <w:ilvl w:val="0"/>
          <w:numId w:val="1"/>
        </w:numPr>
      </w:pPr>
      <w:r>
        <w:t>Investigating</w:t>
      </w:r>
      <w:r w:rsidR="00010959">
        <w:t xml:space="preserve"> the </w:t>
      </w:r>
      <w:r>
        <w:t>potential</w:t>
      </w:r>
      <w:r w:rsidR="00010959">
        <w:t xml:space="preserve"> to infer state-to-state flows of vehicles</w:t>
      </w:r>
      <w:r>
        <w:t xml:space="preserve"> from the state VIO data</w:t>
      </w:r>
      <w:r w:rsidR="00010959">
        <w:t>.</w:t>
      </w:r>
      <w:r>
        <w:t xml:space="preserve"> Recent development</w:t>
      </w:r>
      <w:r w:rsidR="005C197B">
        <w:t>s</w:t>
      </w:r>
      <w:r>
        <w:t xml:space="preserve"> in Integrated Population Modeling (Abadi et al., 2010; Christian et al., 2024) and the well-established methods of spatial interaction modeling </w:t>
      </w:r>
      <w:r>
        <w:t>(Roy and Thill, 2004)</w:t>
      </w:r>
      <w:r>
        <w:t xml:space="preserve"> are promising approaches that rely on population counts and related data when actual migration counts are not directly observed. </w:t>
      </w:r>
      <w:r w:rsidR="00010959">
        <w:t>Depending on the results of 1 and 2, this would initially be focused on EVs or vehicle types.</w:t>
      </w:r>
      <w:r>
        <w:t xml:space="preserve"> </w:t>
      </w:r>
      <w:r>
        <w:t xml:space="preserve"> </w:t>
      </w:r>
    </w:p>
    <w:p w:rsidR="00FD485D" w:rsidRDefault="00FD485D" w:rsidP="00FD485D">
      <w:r>
        <w:t>References</w:t>
      </w:r>
    </w:p>
    <w:p w:rsidR="00FD485D" w:rsidRDefault="00FD485D" w:rsidP="00FD485D">
      <w:pPr>
        <w:pStyle w:val="ListParagraph"/>
        <w:numPr>
          <w:ilvl w:val="0"/>
          <w:numId w:val="2"/>
        </w:numPr>
      </w:pPr>
      <w:r>
        <w:t xml:space="preserve">Abadi, F., A. Gimenez, B. Ulrich, R. </w:t>
      </w:r>
      <w:proofErr w:type="spellStart"/>
      <w:r>
        <w:t>Arlettaz</w:t>
      </w:r>
      <w:proofErr w:type="spellEnd"/>
      <w:r>
        <w:t xml:space="preserve"> and M. Schaub, 2010. “</w:t>
      </w:r>
      <w:r w:rsidRPr="00FD485D">
        <w:t>Estimation of immigration rate using integrated</w:t>
      </w:r>
      <w:r>
        <w:t xml:space="preserve"> </w:t>
      </w:r>
      <w:r w:rsidRPr="00FD485D">
        <w:t>population models</w:t>
      </w:r>
      <w:r>
        <w:t xml:space="preserve">”, </w:t>
      </w:r>
      <w:r w:rsidRPr="00FD485D">
        <w:rPr>
          <w:i/>
        </w:rPr>
        <w:t>Journal of Applied Ecology</w:t>
      </w:r>
      <w:r>
        <w:t xml:space="preserve">, 47: 393-400. </w:t>
      </w:r>
      <w:hyperlink r:id="rId5" w:history="1">
        <w:r w:rsidRPr="00F831B3">
          <w:rPr>
            <w:rStyle w:val="Hyperlink"/>
          </w:rPr>
          <w:t>https://besjournals.onlinelibrary.wiley.com/doi/epdf/10.1111/j.1365-2664.2010.01789.x</w:t>
        </w:r>
      </w:hyperlink>
      <w:r>
        <w:t xml:space="preserve"> .</w:t>
      </w:r>
    </w:p>
    <w:p w:rsidR="00FD485D" w:rsidRDefault="00FD485D" w:rsidP="00FD485D">
      <w:pPr>
        <w:pStyle w:val="ListParagraph"/>
        <w:numPr>
          <w:ilvl w:val="0"/>
          <w:numId w:val="2"/>
        </w:numPr>
      </w:pPr>
      <w:r>
        <w:t xml:space="preserve">Christian, M., W. Oosthuizen, M. Bester and P. Nico de </w:t>
      </w:r>
      <w:proofErr w:type="spellStart"/>
      <w:r>
        <w:t>Bruyn</w:t>
      </w:r>
      <w:proofErr w:type="spellEnd"/>
      <w:r>
        <w:t>, 2024. “</w:t>
      </w:r>
      <w:r w:rsidRPr="00FD485D">
        <w:t>Robustly estimating the demographic contribution of</w:t>
      </w:r>
      <w:r>
        <w:t xml:space="preserve"> </w:t>
      </w:r>
      <w:r w:rsidRPr="00FD485D">
        <w:t>immigration: Simulation, sensitivity analysis and seals</w:t>
      </w:r>
      <w:r>
        <w:t xml:space="preserve">”, </w:t>
      </w:r>
      <w:r w:rsidRPr="00FD485D">
        <w:rPr>
          <w:i/>
        </w:rPr>
        <w:t>Journal of Animal Ecology</w:t>
      </w:r>
      <w:r>
        <w:t xml:space="preserve">, 93: 632-645. </w:t>
      </w:r>
      <w:hyperlink r:id="rId6" w:history="1">
        <w:r w:rsidRPr="00F831B3">
          <w:rPr>
            <w:rStyle w:val="Hyperlink"/>
          </w:rPr>
          <w:t>https://besjournals.onlinelibrary.wiley.com/doi/epdf/10.1111/1365-2656.14053</w:t>
        </w:r>
      </w:hyperlink>
      <w:r>
        <w:t xml:space="preserve"> .</w:t>
      </w:r>
    </w:p>
    <w:p w:rsidR="00FD485D" w:rsidRDefault="00700327" w:rsidP="00FD485D">
      <w:pPr>
        <w:pStyle w:val="ListParagraph"/>
        <w:numPr>
          <w:ilvl w:val="0"/>
          <w:numId w:val="2"/>
        </w:numPr>
      </w:pPr>
      <w:r>
        <w:t>Roy, J. and J-C. Thill, 200</w:t>
      </w:r>
      <w:r w:rsidR="00D63B8D">
        <w:t>4</w:t>
      </w:r>
      <w:r>
        <w:t xml:space="preserve">. “Spatial Interaction Modeling”, pp. 339-361, in R. </w:t>
      </w:r>
      <w:proofErr w:type="spellStart"/>
      <w:r>
        <w:t>Florax</w:t>
      </w:r>
      <w:proofErr w:type="spellEnd"/>
      <w:r>
        <w:t xml:space="preserve"> and D. Plane, </w:t>
      </w:r>
      <w:r w:rsidRPr="00700327">
        <w:rPr>
          <w:i/>
        </w:rPr>
        <w:t>Fifty Years of Regional Science</w:t>
      </w:r>
      <w:r>
        <w:t xml:space="preserve">, Springer, </w:t>
      </w:r>
      <w:hyperlink r:id="rId7" w:history="1">
        <w:r w:rsidRPr="00F831B3">
          <w:rPr>
            <w:rStyle w:val="Hyperlink"/>
          </w:rPr>
          <w:t>https://link.springer.com/chapter/10.1007/978-3-662-07223-3_15</w:t>
        </w:r>
      </w:hyperlink>
      <w:r>
        <w:t xml:space="preserve"> .</w:t>
      </w:r>
    </w:p>
    <w:sectPr w:rsidR="00FD48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72C7F"/>
    <w:multiLevelType w:val="hybridMultilevel"/>
    <w:tmpl w:val="3F667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646D4A"/>
    <w:multiLevelType w:val="hybridMultilevel"/>
    <w:tmpl w:val="6B02B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894"/>
    <w:rsid w:val="00010959"/>
    <w:rsid w:val="00491894"/>
    <w:rsid w:val="005C197B"/>
    <w:rsid w:val="00700327"/>
    <w:rsid w:val="0090129A"/>
    <w:rsid w:val="00B16EAD"/>
    <w:rsid w:val="00B408F1"/>
    <w:rsid w:val="00D63B8D"/>
    <w:rsid w:val="00D9446D"/>
    <w:rsid w:val="00FD4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B904F"/>
  <w15:chartTrackingRefBased/>
  <w15:docId w15:val="{730089B7-604E-4BE6-AE29-DF7602F3E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894"/>
    <w:pPr>
      <w:ind w:left="720"/>
      <w:contextualSpacing/>
    </w:pPr>
  </w:style>
  <w:style w:type="character" w:styleId="Hyperlink">
    <w:name w:val="Hyperlink"/>
    <w:basedOn w:val="DefaultParagraphFont"/>
    <w:uiPriority w:val="99"/>
    <w:unhideWhenUsed/>
    <w:rsid w:val="00FD485D"/>
    <w:rPr>
      <w:color w:val="0563C1" w:themeColor="hyperlink"/>
      <w:u w:val="single"/>
    </w:rPr>
  </w:style>
  <w:style w:type="character" w:styleId="UnresolvedMention">
    <w:name w:val="Unresolved Mention"/>
    <w:basedOn w:val="DefaultParagraphFont"/>
    <w:uiPriority w:val="99"/>
    <w:semiHidden/>
    <w:unhideWhenUsed/>
    <w:rsid w:val="00FD48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springer.com/chapter/10.1007/978-3-662-07223-3_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esjournals.onlinelibrary.wiley.com/doi/epdf/10.1111/1365-2656.14053" TargetMode="External"/><Relationship Id="rId5" Type="http://schemas.openxmlformats.org/officeDocument/2006/relationships/hyperlink" Target="https://besjournals.onlinelibrary.wiley.com/doi/epdf/10.1111/j.1365-2664.2010.01789.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Greene</dc:creator>
  <cp:keywords/>
  <dc:description/>
  <cp:lastModifiedBy>Greene, David</cp:lastModifiedBy>
  <cp:revision>2</cp:revision>
  <dcterms:created xsi:type="dcterms:W3CDTF">2024-11-11T16:00:00Z</dcterms:created>
  <dcterms:modified xsi:type="dcterms:W3CDTF">2024-11-11T17:37:00Z</dcterms:modified>
</cp:coreProperties>
</file>