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94BD37" w14:textId="4375E66A" w:rsidR="009B5F49" w:rsidRPr="00726EB0" w:rsidRDefault="00726EB0" w:rsidP="00726EB0">
      <w:pPr>
        <w:spacing w:after="0"/>
        <w:jc w:val="center"/>
        <w:rPr>
          <w:sz w:val="28"/>
          <w:szCs w:val="28"/>
        </w:rPr>
      </w:pPr>
      <w:r w:rsidRPr="00726EB0">
        <w:rPr>
          <w:b/>
          <w:bCs/>
          <w:sz w:val="28"/>
          <w:szCs w:val="28"/>
        </w:rPr>
        <w:t>Scope of Work to Support Used Vehicle Market Modeling Led by ORNL/UTK</w:t>
      </w:r>
      <w:r w:rsidR="00FA46B1">
        <w:rPr>
          <w:b/>
          <w:bCs/>
          <w:sz w:val="28"/>
          <w:szCs w:val="28"/>
        </w:rPr>
        <w:t xml:space="preserve"> (FY24/25)</w:t>
      </w:r>
    </w:p>
    <w:p w14:paraId="097EE9C4" w14:textId="77777777" w:rsidR="00726EB0" w:rsidRDefault="00726EB0" w:rsidP="00726EB0">
      <w:pPr>
        <w:spacing w:after="0"/>
        <w:jc w:val="center"/>
      </w:pPr>
    </w:p>
    <w:p w14:paraId="35CDFF7F" w14:textId="3901327D" w:rsidR="00726EB0" w:rsidRPr="00FA46B1" w:rsidRDefault="00726EB0" w:rsidP="00FA46B1">
      <w:pPr>
        <w:pBdr>
          <w:bottom w:val="single" w:sz="6" w:space="1" w:color="auto"/>
        </w:pBdr>
        <w:spacing w:after="120"/>
        <w:rPr>
          <w:b/>
          <w:bCs/>
          <w:color w:val="156082" w:themeColor="accent1"/>
          <w:sz w:val="24"/>
          <w:szCs w:val="24"/>
        </w:rPr>
      </w:pPr>
      <w:r w:rsidRPr="00FA46B1">
        <w:rPr>
          <w:b/>
          <w:bCs/>
          <w:color w:val="156082" w:themeColor="accent1"/>
          <w:sz w:val="24"/>
          <w:szCs w:val="24"/>
        </w:rPr>
        <w:t>Summary of Information</w:t>
      </w:r>
    </w:p>
    <w:tbl>
      <w:tblPr>
        <w:tblStyle w:val="TableGrid"/>
        <w:tblW w:w="0" w:type="auto"/>
        <w:tblLook w:val="04A0" w:firstRow="1" w:lastRow="0" w:firstColumn="1" w:lastColumn="0" w:noHBand="0" w:noVBand="1"/>
      </w:tblPr>
      <w:tblGrid>
        <w:gridCol w:w="4675"/>
        <w:gridCol w:w="4675"/>
      </w:tblGrid>
      <w:tr w:rsidR="00BB4DCB" w14:paraId="59BBFCF0" w14:textId="77777777" w:rsidTr="008A2E27">
        <w:tc>
          <w:tcPr>
            <w:tcW w:w="9350" w:type="dxa"/>
            <w:gridSpan w:val="2"/>
          </w:tcPr>
          <w:p w14:paraId="363992A8" w14:textId="1D15452E" w:rsidR="00BB4DCB" w:rsidRPr="00FA46B1" w:rsidRDefault="00BB4DCB" w:rsidP="00FA46B1">
            <w:pPr>
              <w:spacing w:after="120"/>
              <w:rPr>
                <w:b/>
                <w:bCs/>
              </w:rPr>
            </w:pPr>
            <w:r w:rsidRPr="00FA46B1">
              <w:rPr>
                <w:b/>
                <w:bCs/>
                <w:color w:val="156082" w:themeColor="accent1"/>
              </w:rPr>
              <w:t>Project General Information</w:t>
            </w:r>
            <w:r w:rsidR="00FA46B1" w:rsidRPr="00FA46B1">
              <w:rPr>
                <w:b/>
                <w:bCs/>
                <w:color w:val="156082" w:themeColor="accent1"/>
              </w:rPr>
              <w:t xml:space="preserve"> </w:t>
            </w:r>
          </w:p>
        </w:tc>
      </w:tr>
      <w:tr w:rsidR="00BB4DCB" w14:paraId="72897204" w14:textId="77777777" w:rsidTr="00BB4DCB">
        <w:tc>
          <w:tcPr>
            <w:tcW w:w="4675" w:type="dxa"/>
          </w:tcPr>
          <w:p w14:paraId="1BE36F16" w14:textId="0347D9E2" w:rsidR="00BB4DCB" w:rsidRDefault="00FA46B1" w:rsidP="00FA46B1">
            <w:pPr>
              <w:spacing w:after="120"/>
            </w:pPr>
            <w:r w:rsidRPr="00FA46B1">
              <w:rPr>
                <w:b/>
                <w:bCs/>
              </w:rPr>
              <w:t>Planned Project Start Date</w:t>
            </w:r>
            <w:r>
              <w:t xml:space="preserve">: </w:t>
            </w:r>
          </w:p>
        </w:tc>
        <w:tc>
          <w:tcPr>
            <w:tcW w:w="4675" w:type="dxa"/>
          </w:tcPr>
          <w:p w14:paraId="7F29680B" w14:textId="1801652E" w:rsidR="00BB4DCB" w:rsidRDefault="00FA46B1" w:rsidP="00FA46B1">
            <w:pPr>
              <w:spacing w:after="120"/>
            </w:pPr>
            <w:r w:rsidRPr="00FA46B1">
              <w:rPr>
                <w:b/>
                <w:bCs/>
              </w:rPr>
              <w:t>Planned Project End Date</w:t>
            </w:r>
            <w:r>
              <w:t xml:space="preserve">: </w:t>
            </w:r>
          </w:p>
        </w:tc>
      </w:tr>
      <w:tr w:rsidR="00BB4DCB" w14:paraId="2DC0E897" w14:textId="77777777" w:rsidTr="00D80C52">
        <w:tc>
          <w:tcPr>
            <w:tcW w:w="9350" w:type="dxa"/>
            <w:gridSpan w:val="2"/>
          </w:tcPr>
          <w:p w14:paraId="69319228" w14:textId="658300A5" w:rsidR="00BB4DCB" w:rsidRPr="00FA46B1" w:rsidRDefault="00BB4DCB" w:rsidP="00FA46B1">
            <w:pPr>
              <w:spacing w:after="120"/>
              <w:rPr>
                <w:b/>
                <w:bCs/>
              </w:rPr>
            </w:pPr>
            <w:r w:rsidRPr="00FA46B1">
              <w:rPr>
                <w:b/>
                <w:bCs/>
                <w:color w:val="156082" w:themeColor="accent1"/>
              </w:rPr>
              <w:t>Project Ownership and Performers</w:t>
            </w:r>
          </w:p>
        </w:tc>
      </w:tr>
      <w:tr w:rsidR="00BB4DCB" w14:paraId="05D6E04A" w14:textId="77777777" w:rsidTr="00BB4DCB">
        <w:tc>
          <w:tcPr>
            <w:tcW w:w="4675" w:type="dxa"/>
          </w:tcPr>
          <w:p w14:paraId="5CA7BD73" w14:textId="547ABA3F" w:rsidR="00BB4DCB" w:rsidRDefault="00FA46B1" w:rsidP="00FA46B1">
            <w:pPr>
              <w:spacing w:after="120"/>
            </w:pPr>
            <w:r w:rsidRPr="00FA46B1">
              <w:rPr>
                <w:b/>
                <w:bCs/>
              </w:rPr>
              <w:t>Project Lead</w:t>
            </w:r>
            <w:r>
              <w:t xml:space="preserve">: </w:t>
            </w:r>
          </w:p>
        </w:tc>
        <w:tc>
          <w:tcPr>
            <w:tcW w:w="4675" w:type="dxa"/>
          </w:tcPr>
          <w:p w14:paraId="2A1BC164" w14:textId="07F971A6" w:rsidR="00FA46B1" w:rsidRDefault="00FA46B1" w:rsidP="00FA46B1">
            <w:pPr>
              <w:spacing w:after="120"/>
            </w:pPr>
            <w:r w:rsidRPr="00FA46B1">
              <w:rPr>
                <w:b/>
                <w:bCs/>
              </w:rPr>
              <w:t>NREL Principal Investigator</w:t>
            </w:r>
            <w:r>
              <w:t xml:space="preserve">: </w:t>
            </w:r>
            <w:r w:rsidR="000D1E21">
              <w:t>Arthur Yip</w:t>
            </w:r>
          </w:p>
        </w:tc>
      </w:tr>
      <w:tr w:rsidR="00FA46B1" w14:paraId="7F66C44E" w14:textId="77777777" w:rsidTr="00BB4DCB">
        <w:tc>
          <w:tcPr>
            <w:tcW w:w="4675" w:type="dxa"/>
          </w:tcPr>
          <w:p w14:paraId="63DF39F1" w14:textId="0F093AB0" w:rsidR="00FA46B1" w:rsidRDefault="00FA46B1" w:rsidP="00FA46B1">
            <w:pPr>
              <w:spacing w:after="120"/>
            </w:pPr>
            <w:r w:rsidRPr="00FA46B1">
              <w:rPr>
                <w:b/>
                <w:bCs/>
              </w:rPr>
              <w:t>Other Participating Labs/Leads</w:t>
            </w:r>
            <w:r>
              <w:t xml:space="preserve">: </w:t>
            </w:r>
            <w:r w:rsidR="000D1E21">
              <w:t>ORNL</w:t>
            </w:r>
            <w:r w:rsidR="00131DC5">
              <w:t xml:space="preserve"> + </w:t>
            </w:r>
            <w:r w:rsidR="000D1E21">
              <w:t>UTK</w:t>
            </w:r>
            <w:r>
              <w:t xml:space="preserve"> </w:t>
            </w:r>
          </w:p>
        </w:tc>
        <w:tc>
          <w:tcPr>
            <w:tcW w:w="4675" w:type="dxa"/>
          </w:tcPr>
          <w:p w14:paraId="05BEAFB1" w14:textId="77777777" w:rsidR="00FA46B1" w:rsidRDefault="00FA46B1" w:rsidP="00FA46B1">
            <w:pPr>
              <w:spacing w:after="120"/>
            </w:pPr>
          </w:p>
        </w:tc>
      </w:tr>
    </w:tbl>
    <w:p w14:paraId="2E209DDD" w14:textId="77777777" w:rsidR="00BB4DCB" w:rsidRDefault="00BB4DCB" w:rsidP="00726EB0">
      <w:pPr>
        <w:spacing w:after="0"/>
      </w:pPr>
    </w:p>
    <w:p w14:paraId="17B2E9FC" w14:textId="4FB8D89D" w:rsidR="00726EB0" w:rsidRPr="00FA46B1" w:rsidRDefault="00BB4DCB" w:rsidP="00FA46B1">
      <w:pPr>
        <w:pBdr>
          <w:bottom w:val="single" w:sz="6" w:space="1" w:color="auto"/>
        </w:pBdr>
        <w:spacing w:after="120"/>
        <w:rPr>
          <w:b/>
          <w:bCs/>
          <w:color w:val="156082" w:themeColor="accent1"/>
          <w:sz w:val="24"/>
          <w:szCs w:val="24"/>
        </w:rPr>
      </w:pPr>
      <w:r w:rsidRPr="00FA46B1">
        <w:rPr>
          <w:b/>
          <w:bCs/>
          <w:color w:val="156082" w:themeColor="accent1"/>
          <w:sz w:val="24"/>
          <w:szCs w:val="24"/>
        </w:rPr>
        <w:t xml:space="preserve">Project </w:t>
      </w:r>
      <w:r w:rsidR="00FA46B1" w:rsidRPr="00FA46B1">
        <w:rPr>
          <w:b/>
          <w:bCs/>
          <w:color w:val="156082" w:themeColor="accent1"/>
          <w:sz w:val="24"/>
          <w:szCs w:val="24"/>
        </w:rPr>
        <w:t>Summary</w:t>
      </w:r>
    </w:p>
    <w:p w14:paraId="33BED3DB" w14:textId="4E4FC69A" w:rsidR="00FA46B1" w:rsidRDefault="00FA46B1" w:rsidP="00FA46B1">
      <w:pPr>
        <w:spacing w:after="120"/>
        <w:rPr>
          <w:rFonts w:ascii="Aptos" w:hAnsi="Aptos"/>
          <w:color w:val="242424"/>
        </w:rPr>
      </w:pPr>
      <w:r>
        <w:rPr>
          <w:bdr w:val="none" w:sz="0" w:space="0" w:color="auto" w:frame="1"/>
        </w:rPr>
        <w:t>The ability to model used vehicle markets is becoming more and more important, especially to assess equity implications of decarbonization pathways (e.g., estimate costs and benefits for different segments of the population). Funded by VTAP, ORNL is developing key modeling and analysis capabilities in this space, in collaboration with David Greene and Benjamin Leard at the University of Tennessee – Knoxville (UTK). NREL has data and resources to offer that the ORNL team has requested, particularly the vehicle registration data from Experian, and we are interested in supporting ORNL and in ensuring that we can implement the methodology in TEMPO.</w:t>
      </w:r>
    </w:p>
    <w:p w14:paraId="31AD04DB" w14:textId="693EF3CB" w:rsidR="00FA46B1" w:rsidRDefault="00FA46B1" w:rsidP="00FA46B1">
      <w:pPr>
        <w:spacing w:after="120"/>
        <w:rPr>
          <w:rFonts w:ascii="Aptos" w:hAnsi="Aptos"/>
          <w:color w:val="242424"/>
        </w:rPr>
      </w:pPr>
      <w:r>
        <w:rPr>
          <w:bdr w:val="none" w:sz="0" w:space="0" w:color="auto" w:frame="1"/>
        </w:rPr>
        <w:t>Because the </w:t>
      </w:r>
      <w:r>
        <w:rPr>
          <w:bdr w:val="none" w:sz="0" w:space="0" w:color="auto" w:frame="1"/>
          <w:shd w:val="clear" w:color="auto" w:fill="FFFFFF"/>
        </w:rPr>
        <w:t>Experian LDV registration data is under license to NREL, the requested data must be processed and analyzed into a data product and approved for sharing. The work outlined here includes the planning, negotiation, and execution of that analysis. The core data product to be exchanged between NREL and ORNL/UTK will be LDV </w:t>
      </w:r>
      <w:r>
        <w:rPr>
          <w:bdr w:val="none" w:sz="0" w:space="0" w:color="auto" w:frame="1"/>
        </w:rPr>
        <w:t>survival rates, by state, vehicle type, and powertrain type, for 2 pairs of years, 2021-2022, and 2018-2019. </w:t>
      </w:r>
    </w:p>
    <w:p w14:paraId="55A02311" w14:textId="77777777" w:rsidR="00FA46B1" w:rsidRDefault="00FA46B1" w:rsidP="00FA46B1">
      <w:pPr>
        <w:spacing w:after="120"/>
        <w:rPr>
          <w:rFonts w:ascii="Aptos" w:hAnsi="Aptos"/>
          <w:color w:val="242424"/>
        </w:rPr>
      </w:pPr>
      <w:r>
        <w:rPr>
          <w:bdr w:val="none" w:sz="0" w:space="0" w:color="auto" w:frame="1"/>
        </w:rPr>
        <w:t>Additional analysis will include statistics related to survival by state (and county, where data resolution allows), vehicle type, and powertrain type, including age distributions and % stock as new sales (insights on turnover/longevity), and characterization of expected data features and anomalies of interest (e.g. deviations from average or national), such as the age, transfer, and survival of leased vehicles of age 2-4 years, and electric vehicles. Comparisons will be made to EIA's methodology on their version of regional survival statistics and how they are implementing them in the next NEMS/AEO. The NREL team will also implement </w:t>
      </w:r>
      <w:r>
        <w:rPr>
          <w:bdr w:val="none" w:sz="0" w:space="0" w:color="auto" w:frame="1"/>
          <w:shd w:val="clear" w:color="auto" w:fill="FFFFFF"/>
        </w:rPr>
        <w:t>the regional LDV survival curves developed in this project in TEMPO to represent the used vehicle market and explore implications.</w:t>
      </w:r>
    </w:p>
    <w:p w14:paraId="41F77DD1" w14:textId="77777777" w:rsidR="00FA46B1" w:rsidRPr="00FA46B1" w:rsidRDefault="00FA46B1" w:rsidP="00FA46B1">
      <w:pPr>
        <w:pBdr>
          <w:bottom w:val="single" w:sz="6" w:space="1" w:color="auto"/>
        </w:pBdr>
        <w:spacing w:after="120"/>
        <w:rPr>
          <w:b/>
          <w:bCs/>
          <w:color w:val="156082" w:themeColor="accent1"/>
          <w:sz w:val="24"/>
          <w:szCs w:val="24"/>
        </w:rPr>
      </w:pPr>
      <w:r w:rsidRPr="00FA46B1">
        <w:rPr>
          <w:b/>
          <w:bCs/>
          <w:color w:val="156082" w:themeColor="accent1"/>
          <w:sz w:val="24"/>
          <w:szCs w:val="24"/>
        </w:rPr>
        <w:t>Deliverables</w:t>
      </w:r>
    </w:p>
    <w:tbl>
      <w:tblPr>
        <w:tblStyle w:val="TableGrid"/>
        <w:tblW w:w="0" w:type="auto"/>
        <w:tblLook w:val="04A0" w:firstRow="1" w:lastRow="0" w:firstColumn="1" w:lastColumn="0" w:noHBand="0" w:noVBand="1"/>
      </w:tblPr>
      <w:tblGrid>
        <w:gridCol w:w="3955"/>
        <w:gridCol w:w="2340"/>
        <w:gridCol w:w="1350"/>
        <w:gridCol w:w="1705"/>
      </w:tblGrid>
      <w:tr w:rsidR="00FE09B2" w14:paraId="03867617" w14:textId="77777777" w:rsidTr="00FE09B2">
        <w:tc>
          <w:tcPr>
            <w:tcW w:w="3955" w:type="dxa"/>
            <w:shd w:val="clear" w:color="auto" w:fill="CAEDFB" w:themeFill="accent4" w:themeFillTint="33"/>
            <w:vAlign w:val="center"/>
          </w:tcPr>
          <w:p w14:paraId="410D4E50" w14:textId="361F36FE" w:rsidR="00FE09B2" w:rsidRPr="00FE09B2" w:rsidRDefault="00FE09B2" w:rsidP="00FE09B2">
            <w:pPr>
              <w:jc w:val="center"/>
              <w:rPr>
                <w:b/>
                <w:bCs/>
              </w:rPr>
            </w:pPr>
            <w:r w:rsidRPr="00FE09B2">
              <w:rPr>
                <w:b/>
                <w:bCs/>
              </w:rPr>
              <w:t>Deliverable Name/Description</w:t>
            </w:r>
          </w:p>
        </w:tc>
        <w:tc>
          <w:tcPr>
            <w:tcW w:w="2340" w:type="dxa"/>
            <w:shd w:val="clear" w:color="auto" w:fill="CAEDFB" w:themeFill="accent4" w:themeFillTint="33"/>
            <w:vAlign w:val="center"/>
          </w:tcPr>
          <w:p w14:paraId="36821BE5" w14:textId="4C5EA5F8" w:rsidR="00FE09B2" w:rsidRPr="00FE09B2" w:rsidRDefault="00FE09B2" w:rsidP="00FE09B2">
            <w:pPr>
              <w:jc w:val="center"/>
              <w:rPr>
                <w:b/>
                <w:bCs/>
              </w:rPr>
            </w:pPr>
            <w:r w:rsidRPr="00FE09B2">
              <w:rPr>
                <w:b/>
                <w:bCs/>
              </w:rPr>
              <w:t>Product Type (</w:t>
            </w:r>
            <w:r w:rsidRPr="00FE09B2">
              <w:rPr>
                <w:b/>
                <w:bCs/>
                <w:i/>
                <w:iCs/>
              </w:rPr>
              <w:t>e.g., Technical Report, Journal, Article, Model, Memo, Data Set</w:t>
            </w:r>
            <w:r w:rsidRPr="00FE09B2">
              <w:rPr>
                <w:b/>
                <w:bCs/>
              </w:rPr>
              <w:t>)</w:t>
            </w:r>
          </w:p>
        </w:tc>
        <w:tc>
          <w:tcPr>
            <w:tcW w:w="1350" w:type="dxa"/>
            <w:shd w:val="clear" w:color="auto" w:fill="CAEDFB" w:themeFill="accent4" w:themeFillTint="33"/>
            <w:vAlign w:val="center"/>
          </w:tcPr>
          <w:p w14:paraId="3874E8F3" w14:textId="62911EAB" w:rsidR="00FE09B2" w:rsidRPr="00FE09B2" w:rsidRDefault="00FE09B2" w:rsidP="00FE09B2">
            <w:pPr>
              <w:jc w:val="center"/>
              <w:rPr>
                <w:b/>
                <w:bCs/>
              </w:rPr>
            </w:pPr>
            <w:r w:rsidRPr="00FE09B2">
              <w:rPr>
                <w:b/>
                <w:bCs/>
              </w:rPr>
              <w:t>Due Date</w:t>
            </w:r>
          </w:p>
        </w:tc>
        <w:tc>
          <w:tcPr>
            <w:tcW w:w="1705" w:type="dxa"/>
            <w:shd w:val="clear" w:color="auto" w:fill="CAEDFB" w:themeFill="accent4" w:themeFillTint="33"/>
            <w:vAlign w:val="center"/>
          </w:tcPr>
          <w:p w14:paraId="78197410" w14:textId="0F5E6825" w:rsidR="00FE09B2" w:rsidRPr="00FE09B2" w:rsidRDefault="00FE09B2" w:rsidP="00FE09B2">
            <w:pPr>
              <w:jc w:val="center"/>
              <w:rPr>
                <w:b/>
                <w:bCs/>
              </w:rPr>
            </w:pPr>
            <w:r w:rsidRPr="00FE09B2">
              <w:rPr>
                <w:b/>
                <w:bCs/>
              </w:rPr>
              <w:t xml:space="preserve">Milestone Type </w:t>
            </w:r>
            <w:r w:rsidRPr="00FE09B2">
              <w:rPr>
                <w:b/>
                <w:bCs/>
              </w:rPr>
              <w:br/>
              <w:t>(</w:t>
            </w:r>
            <w:r w:rsidRPr="00FE09B2">
              <w:rPr>
                <w:b/>
                <w:bCs/>
                <w:i/>
                <w:iCs/>
              </w:rPr>
              <w:t>Quarterly, Annual</w:t>
            </w:r>
            <w:r w:rsidRPr="00FE09B2">
              <w:rPr>
                <w:b/>
                <w:bCs/>
              </w:rPr>
              <w:t>)</w:t>
            </w:r>
          </w:p>
        </w:tc>
      </w:tr>
      <w:tr w:rsidR="00FE09B2" w14:paraId="0AB93CB8" w14:textId="77777777" w:rsidTr="00FE09B2">
        <w:tc>
          <w:tcPr>
            <w:tcW w:w="3955" w:type="dxa"/>
          </w:tcPr>
          <w:p w14:paraId="0EC1151C" w14:textId="5D14CB94" w:rsidR="00FE09B2" w:rsidRDefault="00FE09B2" w:rsidP="00FE09B2">
            <w:r>
              <w:t>Data provided to ORNL/UTK for their modeling and analysis (within the limit of the NREL license)</w:t>
            </w:r>
          </w:p>
        </w:tc>
        <w:tc>
          <w:tcPr>
            <w:tcW w:w="2340" w:type="dxa"/>
          </w:tcPr>
          <w:p w14:paraId="20539E41" w14:textId="77777777" w:rsidR="00FE09B2" w:rsidRDefault="00FE09B2" w:rsidP="00FE09B2"/>
        </w:tc>
        <w:tc>
          <w:tcPr>
            <w:tcW w:w="1350" w:type="dxa"/>
          </w:tcPr>
          <w:p w14:paraId="42EAD73D" w14:textId="77777777" w:rsidR="00FE09B2" w:rsidRDefault="00FE09B2" w:rsidP="00FE09B2"/>
        </w:tc>
        <w:tc>
          <w:tcPr>
            <w:tcW w:w="1705" w:type="dxa"/>
          </w:tcPr>
          <w:p w14:paraId="46501EC5" w14:textId="77777777" w:rsidR="00FE09B2" w:rsidRDefault="00FE09B2" w:rsidP="00FE09B2"/>
        </w:tc>
      </w:tr>
      <w:tr w:rsidR="00FE09B2" w14:paraId="4DD100D2" w14:textId="77777777" w:rsidTr="00FE09B2">
        <w:tc>
          <w:tcPr>
            <w:tcW w:w="3955" w:type="dxa"/>
          </w:tcPr>
          <w:p w14:paraId="4998392F" w14:textId="2F6CFE41" w:rsidR="00FE09B2" w:rsidRDefault="00FE09B2" w:rsidP="00FE09B2">
            <w:pPr>
              <w:tabs>
                <w:tab w:val="left" w:pos="1395"/>
              </w:tabs>
            </w:pPr>
            <w:r>
              <w:lastRenderedPageBreak/>
              <w:t>Contributions to research products (e.g., paper/report) that ORNL/UTK is producing using NREL data and expertise</w:t>
            </w:r>
          </w:p>
        </w:tc>
        <w:tc>
          <w:tcPr>
            <w:tcW w:w="2340" w:type="dxa"/>
          </w:tcPr>
          <w:p w14:paraId="6FD6AD18" w14:textId="77777777" w:rsidR="00FE09B2" w:rsidRDefault="00FE09B2" w:rsidP="00FE09B2"/>
        </w:tc>
        <w:tc>
          <w:tcPr>
            <w:tcW w:w="1350" w:type="dxa"/>
          </w:tcPr>
          <w:p w14:paraId="19BB5693" w14:textId="77777777" w:rsidR="00FE09B2" w:rsidRDefault="00FE09B2" w:rsidP="00FE09B2"/>
        </w:tc>
        <w:tc>
          <w:tcPr>
            <w:tcW w:w="1705" w:type="dxa"/>
          </w:tcPr>
          <w:p w14:paraId="42F50BC3" w14:textId="77777777" w:rsidR="00FE09B2" w:rsidRDefault="00FE09B2" w:rsidP="00FE09B2"/>
        </w:tc>
      </w:tr>
      <w:tr w:rsidR="00FE09B2" w14:paraId="3AE50265" w14:textId="77777777" w:rsidTr="00FE09B2">
        <w:tc>
          <w:tcPr>
            <w:tcW w:w="3955" w:type="dxa"/>
          </w:tcPr>
          <w:p w14:paraId="0157408B" w14:textId="5186F38D" w:rsidR="00FE09B2" w:rsidRDefault="00FE09B2" w:rsidP="00FE09B2">
            <w:pPr>
              <w:tabs>
                <w:tab w:val="left" w:pos="1395"/>
              </w:tabs>
            </w:pPr>
            <w:r>
              <w:t>Slide deck summarizing implications of using regional LDV survival curves in TEMPO to represent the used vehicle market</w:t>
            </w:r>
          </w:p>
        </w:tc>
        <w:tc>
          <w:tcPr>
            <w:tcW w:w="2340" w:type="dxa"/>
          </w:tcPr>
          <w:p w14:paraId="0B53D7C9" w14:textId="77777777" w:rsidR="00FE09B2" w:rsidRDefault="00FE09B2" w:rsidP="00FE09B2"/>
        </w:tc>
        <w:tc>
          <w:tcPr>
            <w:tcW w:w="1350" w:type="dxa"/>
          </w:tcPr>
          <w:p w14:paraId="2A89F1D8" w14:textId="77777777" w:rsidR="00FE09B2" w:rsidRDefault="00FE09B2" w:rsidP="00FE09B2"/>
        </w:tc>
        <w:tc>
          <w:tcPr>
            <w:tcW w:w="1705" w:type="dxa"/>
          </w:tcPr>
          <w:p w14:paraId="090FB6D0" w14:textId="77777777" w:rsidR="00FE09B2" w:rsidRDefault="00FE09B2" w:rsidP="00FE09B2"/>
        </w:tc>
      </w:tr>
    </w:tbl>
    <w:p w14:paraId="528E436B" w14:textId="510A7C9E" w:rsidR="00FA46B1" w:rsidRDefault="00FA46B1" w:rsidP="00726EB0">
      <w:pPr>
        <w:spacing w:after="0"/>
      </w:pPr>
    </w:p>
    <w:p w14:paraId="5AF6518C" w14:textId="72499FC5" w:rsidR="00FE09B2" w:rsidRPr="00FA46B1" w:rsidRDefault="00FE09B2" w:rsidP="00FE09B2">
      <w:pPr>
        <w:pBdr>
          <w:bottom w:val="single" w:sz="6" w:space="1" w:color="auto"/>
        </w:pBdr>
        <w:spacing w:after="120"/>
        <w:rPr>
          <w:b/>
          <w:bCs/>
          <w:color w:val="156082" w:themeColor="accent1"/>
          <w:sz w:val="24"/>
          <w:szCs w:val="24"/>
        </w:rPr>
      </w:pPr>
      <w:r>
        <w:rPr>
          <w:b/>
          <w:bCs/>
          <w:color w:val="156082" w:themeColor="accent1"/>
          <w:sz w:val="24"/>
          <w:szCs w:val="24"/>
        </w:rPr>
        <w:t>Budget Request</w:t>
      </w:r>
    </w:p>
    <w:p w14:paraId="758354C5" w14:textId="01CB3BDC" w:rsidR="00FE09B2" w:rsidRDefault="00FE09B2" w:rsidP="00FE09B2">
      <w:pPr>
        <w:spacing w:after="0"/>
        <w:rPr>
          <w:bdr w:val="none" w:sz="0" w:space="0" w:color="auto" w:frame="1"/>
        </w:rPr>
      </w:pPr>
      <w:r>
        <w:rPr>
          <w:bdr w:val="none" w:sz="0" w:space="0" w:color="auto" w:frame="1"/>
        </w:rPr>
        <w:t xml:space="preserve">$75,000 </w:t>
      </w:r>
    </w:p>
    <w:p w14:paraId="1A771611" w14:textId="77777777" w:rsidR="00FE09B2" w:rsidRDefault="00FE09B2" w:rsidP="00FE09B2">
      <w:pPr>
        <w:spacing w:after="0"/>
        <w:rPr>
          <w:bdr w:val="none" w:sz="0" w:space="0" w:color="auto" w:frame="1"/>
        </w:rPr>
      </w:pPr>
    </w:p>
    <w:p w14:paraId="3E920119" w14:textId="2E6154A4" w:rsidR="00FE09B2" w:rsidRPr="00FA46B1" w:rsidRDefault="00FE09B2" w:rsidP="00FE09B2">
      <w:pPr>
        <w:pBdr>
          <w:bottom w:val="single" w:sz="6" w:space="1" w:color="auto"/>
        </w:pBdr>
        <w:spacing w:after="120"/>
        <w:rPr>
          <w:b/>
          <w:bCs/>
          <w:color w:val="156082" w:themeColor="accent1"/>
          <w:sz w:val="24"/>
          <w:szCs w:val="24"/>
        </w:rPr>
      </w:pPr>
      <w:r>
        <w:rPr>
          <w:b/>
          <w:bCs/>
          <w:color w:val="156082" w:themeColor="accent1"/>
          <w:sz w:val="24"/>
          <w:szCs w:val="24"/>
        </w:rPr>
        <w:t>Concurrent Work</w:t>
      </w:r>
    </w:p>
    <w:p w14:paraId="528B2186" w14:textId="36BEA08F" w:rsidR="00FE09B2" w:rsidRPr="00726EB0" w:rsidRDefault="00FE09B2" w:rsidP="00FE09B2">
      <w:pPr>
        <w:spacing w:after="0"/>
      </w:pPr>
      <w:r>
        <w:rPr>
          <w:bdr w:val="none" w:sz="0" w:space="0" w:color="auto" w:frame="1"/>
        </w:rPr>
        <w:t xml:space="preserve">Integration of above analysis and ORNL/UTK findings into TEMPO, building on TEMPO’s LDV household and fleet vehicle modeling, in conjunction with TEMPO core activities. </w:t>
      </w:r>
    </w:p>
    <w:sectPr w:rsidR="00FE09B2" w:rsidRPr="00726E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514"/>
    <w:rsid w:val="000D1E21"/>
    <w:rsid w:val="00131DC5"/>
    <w:rsid w:val="0026587C"/>
    <w:rsid w:val="00332514"/>
    <w:rsid w:val="00373847"/>
    <w:rsid w:val="003A2C42"/>
    <w:rsid w:val="004462B8"/>
    <w:rsid w:val="0061432C"/>
    <w:rsid w:val="006475BF"/>
    <w:rsid w:val="00726EB0"/>
    <w:rsid w:val="007770B5"/>
    <w:rsid w:val="00855A59"/>
    <w:rsid w:val="008A3BA0"/>
    <w:rsid w:val="009B5F49"/>
    <w:rsid w:val="00A54DDB"/>
    <w:rsid w:val="00B078E2"/>
    <w:rsid w:val="00B93F5B"/>
    <w:rsid w:val="00BB4DCB"/>
    <w:rsid w:val="00DA569B"/>
    <w:rsid w:val="00E07DAB"/>
    <w:rsid w:val="00F10BD7"/>
    <w:rsid w:val="00FA46B1"/>
    <w:rsid w:val="00FE0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9CA"/>
  <w15:chartTrackingRefBased/>
  <w15:docId w15:val="{358AC38A-9AE4-43E7-9D62-00FE39C69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2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251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251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3251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325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25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25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25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2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251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251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3251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325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325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325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325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32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5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5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32514"/>
    <w:pPr>
      <w:spacing w:before="160"/>
      <w:jc w:val="center"/>
    </w:pPr>
    <w:rPr>
      <w:i/>
      <w:iCs/>
      <w:color w:val="404040" w:themeColor="text1" w:themeTint="BF"/>
    </w:rPr>
  </w:style>
  <w:style w:type="character" w:customStyle="1" w:styleId="QuoteChar">
    <w:name w:val="Quote Char"/>
    <w:basedOn w:val="DefaultParagraphFont"/>
    <w:link w:val="Quote"/>
    <w:uiPriority w:val="29"/>
    <w:rsid w:val="00332514"/>
    <w:rPr>
      <w:i/>
      <w:iCs/>
      <w:color w:val="404040" w:themeColor="text1" w:themeTint="BF"/>
    </w:rPr>
  </w:style>
  <w:style w:type="paragraph" w:styleId="ListParagraph">
    <w:name w:val="List Paragraph"/>
    <w:basedOn w:val="Normal"/>
    <w:uiPriority w:val="34"/>
    <w:qFormat/>
    <w:rsid w:val="00332514"/>
    <w:pPr>
      <w:ind w:left="720"/>
      <w:contextualSpacing/>
    </w:pPr>
  </w:style>
  <w:style w:type="character" w:styleId="IntenseEmphasis">
    <w:name w:val="Intense Emphasis"/>
    <w:basedOn w:val="DefaultParagraphFont"/>
    <w:uiPriority w:val="21"/>
    <w:qFormat/>
    <w:rsid w:val="00332514"/>
    <w:rPr>
      <w:i/>
      <w:iCs/>
      <w:color w:val="0F4761" w:themeColor="accent1" w:themeShade="BF"/>
    </w:rPr>
  </w:style>
  <w:style w:type="paragraph" w:styleId="IntenseQuote">
    <w:name w:val="Intense Quote"/>
    <w:basedOn w:val="Normal"/>
    <w:next w:val="Normal"/>
    <w:link w:val="IntenseQuoteChar"/>
    <w:uiPriority w:val="30"/>
    <w:qFormat/>
    <w:rsid w:val="00332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514"/>
    <w:rPr>
      <w:i/>
      <w:iCs/>
      <w:color w:val="0F4761" w:themeColor="accent1" w:themeShade="BF"/>
    </w:rPr>
  </w:style>
  <w:style w:type="character" w:styleId="IntenseReference">
    <w:name w:val="Intense Reference"/>
    <w:basedOn w:val="DefaultParagraphFont"/>
    <w:uiPriority w:val="32"/>
    <w:qFormat/>
    <w:rsid w:val="00332514"/>
    <w:rPr>
      <w:b/>
      <w:bCs/>
      <w:smallCaps/>
      <w:color w:val="0F4761" w:themeColor="accent1" w:themeShade="BF"/>
      <w:spacing w:val="5"/>
    </w:rPr>
  </w:style>
  <w:style w:type="table" w:styleId="TableGrid">
    <w:name w:val="Table Grid"/>
    <w:basedOn w:val="TableNormal"/>
    <w:uiPriority w:val="39"/>
    <w:rsid w:val="00BB4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A6ABB-1FED-48EF-8CDB-93875A08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2</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Rotar, Mari</dc:creator>
  <cp:keywords/>
  <dc:description/>
  <cp:lastModifiedBy>Yip, Arthur</cp:lastModifiedBy>
  <cp:revision>2</cp:revision>
  <dcterms:created xsi:type="dcterms:W3CDTF">2024-05-06T13:30:00Z</dcterms:created>
  <dcterms:modified xsi:type="dcterms:W3CDTF">2024-05-07T16:36:00Z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5965d95-ecc0-4720-b759-1f33c42ed7da_Enabled">
    <vt:lpwstr>true</vt:lpwstr>
  </property>
  <property fmtid="{D5CDD505-2E9C-101B-9397-08002B2CF9AE}" pid="3" name="MSIP_Label_95965d95-ecc0-4720-b759-1f33c42ed7da_SetDate">
    <vt:lpwstr>2024-05-06T21:25:41Z</vt:lpwstr>
  </property>
  <property fmtid="{D5CDD505-2E9C-101B-9397-08002B2CF9AE}" pid="4" name="MSIP_Label_95965d95-ecc0-4720-b759-1f33c42ed7da_Method">
    <vt:lpwstr>Standard</vt:lpwstr>
  </property>
  <property fmtid="{D5CDD505-2E9C-101B-9397-08002B2CF9AE}" pid="5" name="MSIP_Label_95965d95-ecc0-4720-b759-1f33c42ed7da_Name">
    <vt:lpwstr>General</vt:lpwstr>
  </property>
  <property fmtid="{D5CDD505-2E9C-101B-9397-08002B2CF9AE}" pid="6" name="MSIP_Label_95965d95-ecc0-4720-b759-1f33c42ed7da_SiteId">
    <vt:lpwstr>a0f29d7e-28cd-4f54-8442-7885aee7c080</vt:lpwstr>
  </property>
  <property fmtid="{D5CDD505-2E9C-101B-9397-08002B2CF9AE}" pid="7" name="MSIP_Label_95965d95-ecc0-4720-b759-1f33c42ed7da_ActionId">
    <vt:lpwstr>fb71ea99-6110-4fad-b89e-7bb859393d96</vt:lpwstr>
  </property>
  <property fmtid="{D5CDD505-2E9C-101B-9397-08002B2CF9AE}" pid="8" name="MSIP_Label_95965d95-ecc0-4720-b759-1f33c42ed7da_ContentBits">
    <vt:lpwstr>0</vt:lpwstr>
  </property>
</Properties>
</file>