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4"/>
        </w:rPr>
        <w:t>NetOsis Hybrid Cyber Deception System</w:t>
        <w:br/>
        <w:t>Complete Proxmox SDN, OPNsense &amp; Kea DHCP Setup Guide</w:t>
      </w:r>
    </w:p>
    <w:p>
      <w:pPr>
        <w:jc w:val="center"/>
      </w:pPr>
      <w:r>
        <w:rPr>
          <w:rFonts w:ascii="Calibri" w:hAnsi="Calibri"/>
          <w:i/>
          <w:color w:val="555555"/>
          <w:sz w:val="22"/>
        </w:rPr>
        <w:t>Comprehensive Step-by-Step Setup, In/Out Traffic Flows &amp; Empirical Screenshot Evidence</w:t>
        <w:br/>
        <w:t>Date: September 2026 | NetOsis FYP Architecture</w:t>
      </w:r>
    </w:p>
    <w:p/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1. Executive Summary &amp; Core Concept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This document serves as the master setup and deployment guide for the NetOsis Cyber Deception Platform. It outlines the complete network architecture, Proxmox Software-Defined Networking (SDN) configuration, OPNsense interface assignments, Kea DHCPv4 service setup, in-and-out traffic flows, and empirical screenshot evidence recorded during lab configuration.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2. Proxmox VE SDN &amp; Network Bridges Architecture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Proxmox VE Software-Defined Networking (SDN) abstracts physical and virtual network layer 2/3 topologies into manageable objects: Zones, VNets, and Subnets.</w:t>
      </w:r>
    </w:p>
    <w:p>
      <w:pPr>
        <w:spacing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333333"/>
          <w:sz w:val="22"/>
        </w:rPr>
        <w:t>Zone: fypzone is a VLAN-type Zone (IPAM: pve) defined across node vhos. It enforces 802.1Q VLAN encapsulation over the internal bridge vmbr1.</w:t>
      </w:r>
    </w:p>
    <w:p>
      <w:pPr>
        <w:spacing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333333"/>
          <w:sz w:val="22"/>
        </w:rPr>
        <w:t>VNets: Virtual networks FIN (VLAN Tag 10), OPS (VLAN Tag 20), ENT (VLAN Tag 30), and SOC (VLAN Tag 40).</w:t>
      </w:r>
    </w:p>
    <w:p>
      <w:pPr>
        <w:spacing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333333"/>
          <w:sz w:val="22"/>
        </w:rPr>
        <w:t>Bridges: vmbr0 (Management &amp; External WAN: 172.30.226.0/24, Non-VLAN-aware) and vmbr1 (Internal 802.1Q Trunk Bridge, VLAN-aware: Yes).</w:t>
      </w:r>
    </w:p>
    <w:p>
      <w:pPr>
        <w:spacing w:before="160" w:after="40"/>
      </w:pPr>
      <w:r>
        <w:rPr>
          <w:rFonts w:ascii="Calibri" w:hAnsi="Calibri"/>
          <w:b/>
          <w:color w:val="006699"/>
          <w:sz w:val="22"/>
        </w:rPr>
        <w:t>Figure 1: Proxmox Datacenter SDN Zone (fypzone)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1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5_17905071144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Displays Datacenter &gt; SDN &gt; Zones in Proxmox VE, illustrating fypzone configured as a VLAN-type Zone (IPAM: pve) attached to node vhos.</w:t>
      </w:r>
    </w:p>
    <w:p/>
    <w:p>
      <w:pPr>
        <w:spacing w:before="160" w:after="40"/>
      </w:pPr>
      <w:r>
        <w:rPr>
          <w:rFonts w:ascii="Calibri" w:hAnsi="Calibri"/>
          <w:b/>
          <w:color w:val="006699"/>
          <w:sz w:val="22"/>
        </w:rPr>
        <w:t>Figure 2: Proxmox Datacenter SDN VNets (ENT, FIN, OPS, SOC)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1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4_17905071144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Displays Datacenter &gt; SDN &gt; VNets in Proxmox VE, showing Virtual Networks ENT (Tag 30), FIN (Tag 10), OPS (Tag 20), and SOC (Tag 40) bound under fypzone.</w:t>
      </w:r>
    </w:p>
    <w:p/>
    <w:p>
      <w:pPr>
        <w:spacing w:before="160" w:after="40"/>
      </w:pPr>
      <w:r>
        <w:rPr>
          <w:rFonts w:ascii="Calibri" w:hAnsi="Calibri"/>
          <w:b/>
          <w:color w:val="006699"/>
          <w:sz w:val="22"/>
        </w:rPr>
        <w:t>Figure 3: Proxmox Node fypzone Virtual Bridges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19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3_17905071144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Shows node vhos under SDN zone fypzone, depicting virtual bridge endpoints SOC, FIN, ENT, and OPS with VLAN-aware status enabled.</w:t>
      </w:r>
    </w:p>
    <w:p/>
    <w:p>
      <w:pPr>
        <w:spacing w:before="160" w:after="40"/>
      </w:pPr>
      <w:r>
        <w:rPr>
          <w:rFonts w:ascii="Calibri" w:hAnsi="Calibri"/>
          <w:b/>
          <w:color w:val="006699"/>
          <w:sz w:val="22"/>
        </w:rPr>
        <w:t>Figure 4: Proxmox Node localnetwork Linux Bridges (vmbr0, vmbr1)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19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2_17905071144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Shows node vhos Linux bridges under zone localnetwork: vmbr0 (Management/WAN, non-VLAN-aware) and vmbr1 (Internal trunk bridge, VLAN-aware: Yes).</w:t>
      </w:r>
    </w:p>
    <w:p/>
    <w:p>
      <w:pPr>
        <w:spacing w:before="160" w:after="40"/>
      </w:pPr>
      <w:r>
        <w:rPr>
          <w:rFonts w:ascii="Calibri" w:hAnsi="Calibri"/>
          <w:b/>
          <w:color w:val="006699"/>
          <w:sz w:val="22"/>
        </w:rPr>
        <w:t>Figure 5: VM 102 Hardware Network Device Configuration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19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17903323281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Displays VM 102 hardware configuration attached to bridge vmbr1 with firewall enabled (firewall=1).</w:t>
      </w:r>
    </w:p>
    <w:p/>
    <w:p>
      <w:pPr>
        <w:spacing w:before="160" w:after="40"/>
      </w:pPr>
      <w:r>
        <w:rPr>
          <w:rFonts w:ascii="Calibri" w:hAnsi="Calibri"/>
          <w:b/>
          <w:color w:val="006699"/>
          <w:sz w:val="22"/>
        </w:rPr>
        <w:t>Figure 6: Proxmox VE GUI Status Daemon Connection View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19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179033856923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Illustrates Proxmox VE GUI displaying status daemon state across VMs and storage pools.</w:t>
      </w:r>
    </w:p>
    <w:p/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3. OPNsense Firewall Interface Assignments &amp; Gateways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OPNsense acts as the core Layer 3 router, firewall, and NAT gateway between internal VLANs and the external network.</w:t>
      </w:r>
    </w:p>
    <w:p>
      <w:pPr>
        <w:spacing w:before="160" w:after="40"/>
      </w:pPr>
      <w:r>
        <w:rPr>
          <w:rFonts w:ascii="Calibri" w:hAnsi="Calibri"/>
          <w:b/>
          <w:color w:val="006699"/>
          <w:sz w:val="22"/>
        </w:rPr>
        <w:t>Figure 7: OPNsense Interface Assignments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19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1_179050711445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Shows OPNsense hardware interfaces vtnet1 (WAN) and vtnet0 (LAN parent), along with assigned 802.1Q VLAN subinterfaces: vlan0.10 (FINANCE_VLAN10), vlan0.20 (OPERATIONS_VLAN20), vlan0.30 (ENTERPRISE_VLAN30), vlan0.40 (SOC_VLAN40), and vlan0.250 (Servers_VLAN250).</w:t>
      </w:r>
    </w:p>
    <w:p/>
    <w:p>
      <w:pPr>
        <w:spacing w:before="160" w:after="40"/>
      </w:pPr>
      <w:r>
        <w:rPr>
          <w:rFonts w:ascii="Calibri" w:hAnsi="Calibri"/>
          <w:b/>
          <w:color w:val="006699"/>
          <w:sz w:val="22"/>
        </w:rPr>
        <w:t>Figure 8: OPNsense System Gateways Configuration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19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0_179050711445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Displays the System &gt; Gateways &gt; Configuration page in OPNsense, confirming the active WAN IPv6/IPv4 default gateway route for upstream internet connectivity.</w:t>
      </w:r>
    </w:p>
    <w:p/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4. Modern Kea DHCPv4 Configuration &amp; Subnet Setup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In OPNsense 24.x, the legacy DHCPv4 server is replaced by modern Kea DHCP. Kea DHCP is accessed via Services &gt; Kea DHCP &gt; Kea DHCPv4.</w:t>
      </w:r>
    </w:p>
    <w:p>
      <w:pPr>
        <w:spacing w:before="160" w:after="40"/>
      </w:pPr>
      <w:r>
        <w:rPr>
          <w:rFonts w:ascii="Calibri" w:hAnsi="Calibri"/>
          <w:b/>
          <w:color w:val="006699"/>
          <w:sz w:val="22"/>
        </w:rPr>
        <w:t>Figure 9: OPNsense Services Menu Showing Kea DHCP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19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179050808534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Demonstrates the location of Kea DHCP under Services &gt; Kea DHCP in OPNsense 24.x left navigation sidebar.</w:t>
      </w:r>
    </w:p>
    <w:p/>
    <w:p>
      <w:pPr>
        <w:spacing w:before="160" w:after="40"/>
      </w:pPr>
      <w:r>
        <w:rPr>
          <w:rFonts w:ascii="Calibri" w:hAnsi="Calibri"/>
          <w:b/>
          <w:color w:val="006699"/>
          <w:sz w:val="22"/>
        </w:rPr>
        <w:t>Figure 10: Kea DHCPv4 Subnets Initial View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19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179050973538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Shows the Kea DHCPv4 Subnets tab prior to configuring FYP VLAN subnets.</w:t>
      </w:r>
    </w:p>
    <w:p/>
    <w:p>
      <w:pPr>
        <w:spacing w:before="160" w:after="40"/>
      </w:pPr>
      <w:r>
        <w:rPr>
          <w:rFonts w:ascii="Calibri" w:hAnsi="Calibri"/>
          <w:b/>
          <w:color w:val="006699"/>
          <w:sz w:val="22"/>
        </w:rPr>
        <w:t>Figure 11: Kea DHCP Edit Subnet Modal (FINANCE_VLAN10)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19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1_179051006803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Displays the Edit Subnet modal dialog for FINANCE_VLAN10 (Subnet: 192.168.10.0/24, Pool: 192.168.10.100-192.168.10.200, Auto collect option data: checked).</w:t>
      </w:r>
    </w:p>
    <w:p/>
    <w:p>
      <w:pPr>
        <w:spacing w:before="160" w:after="40"/>
      </w:pPr>
      <w:r>
        <w:rPr>
          <w:rFonts w:ascii="Calibri" w:hAnsi="Calibri"/>
          <w:b/>
          <w:color w:val="006699"/>
          <w:sz w:val="22"/>
        </w:rPr>
        <w:t>Figure 12: Kea DHCP Options Configuration View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19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0_179051006803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Shows the bottom options section of the Kea DHCP Subnet editor.</w:t>
      </w:r>
    </w:p>
    <w:p/>
    <w:p>
      <w:pPr>
        <w:spacing w:before="160" w:after="40"/>
      </w:pPr>
      <w:r>
        <w:rPr>
          <w:rFonts w:ascii="Calibri" w:hAnsi="Calibri"/>
          <w:b/>
          <w:color w:val="006699"/>
          <w:sz w:val="22"/>
        </w:rPr>
        <w:t>Figure 13: Kea DHCPv4 Completed Subnets Table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19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17905110395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Displays the finalized Kea DHCPv4 Subnets table showing all 5 active subnets: FINANCE (192.168.10.0/24), OPERATIONS (192.168.20.0/24), ENTERPRISE (192.168.30.0/24), SOC (192.168.40.0/24), and Server_VLAN250 (192.168.250.0/24).</w:t>
      </w:r>
    </w:p>
    <w:p/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5. In-and-Out Traffic Flows &amp; Microsegmentation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1. Outbound Internet Access (VM 102 / Employees -&gt; Internet):</w:t>
        <w:br/>
        <w:t>VM 102 (192.168.10.102) sends packet -&gt; VNet FIN / vmbr1 (Tag 10) -&gt; OPNsense vtnet0 / vlan0.10 -&gt; Firewall Pass Rule -&gt; Outbound NAT to WAN IP -&gt; vtnet1 / vmbr0 -&gt; Upstream Gateway (172.30.226.254) -&gt; Internet.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2. Inbound Recon &amp; Attack (Kali -&gt; Honeypot):</w:t>
        <w:br/>
        <w:t>Kali on vmbr0 (172.30.226.50) targets OPNsense WAN IP -&gt; NAT Port Forwarding rule -&gt; Rewrites destination to Honeypot IP 192.168.30.10 (VLAN 30) -&gt; Routed out vlan0.30 over vmbr1 (Tag 30) -&gt; Honeypot LXC container.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3. IP Allocation &amp; Microsegmentation:</w:t>
        <w:br/>
        <w:t>IPs .1-.30 are reserved for Honeypots (HHPs); IPs .31-.253 are reserved for Real VMs. OPNsense rules and Proxmox Hypervisor Firewall (firewall=1) drop any outbound traffic initiated from Honeypots toward real employee subnets.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6. Master Sequence of Setup Steps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Step 1: Verify Proxmox SDN &amp; Bridges (vmbr0, vmbr1 VLAN-aware, fypzone, VNets FIN, OPS, ENT, SOC).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Step 2: Assign OPNsense Interfaces (vtnet1 WAN, vtnet0 LAN parent, subinterfaces vlan0.10 to vlan0.40) and set static gateway IPs .254/24.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Step 3: Enable Kea DHCP on OPNsense under Services &gt; Kea DHCP &gt; Kea DHCPv4 &gt; Subnets for subnets 10, 20, 30, and 40 (Pools: .100-.200).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Step 4: Enable Hybrid Outbound NAT on WAN for 192.168.0.0/16 and create firewall Pass rules per VLAN interface.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Step 5: Attach VM 102 to VNet FIN (Tag 10), verify DHCP IP assignment or set static IP, and test ping to gateway 192.168.10.254, 8.8.8.8, and google.com.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