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Contract: Ahel &amp; RIA</w:t>
      </w:r>
    </w:p>
    <w:p>
      <w:r>
        <w:t xml:space="preserve">Notice period is </w:t>
      </w:r>
      <w:r>
        <w:rPr>
          <w:b/>
        </w:rPr>
        <w:t>30 days</w:t>
      </w:r>
      <w:r>
        <w:t>.</w:t>
      </w:r>
    </w:p>
    <w:tbl>
      <w:tr>
        <w:tc>
          <w:p>
            <w:r>
              <w:t>Party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Kaarna</w:t>
            </w:r>
          </w:p>
        </w:tc>
        <w:tc>
          <w:p>
            <w:r>
              <w:t>Signer</w:t>
            </w:r>
          </w:p>
        </w:tc>
      </w:tr>
    </w:tbl>
    <w:sectPr/>
  </w:body>
</w:document>
</file>