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3DFA2" w14:textId="1D514DAF" w:rsidR="002647FB" w:rsidRPr="00646627" w:rsidRDefault="002647FB" w:rsidP="002647FB">
      <w:pPr>
        <w:jc w:val="center"/>
        <w:rPr>
          <w:sz w:val="48"/>
          <w:szCs w:val="48"/>
          <w:lang w:val="en-US"/>
        </w:rPr>
      </w:pPr>
      <w:r w:rsidRPr="00646627">
        <w:rPr>
          <w:sz w:val="48"/>
          <w:szCs w:val="48"/>
          <w:lang w:val="en-US"/>
        </w:rPr>
        <w:t>SHG at the DBE</w:t>
      </w:r>
    </w:p>
    <w:p w14:paraId="40035062" w14:textId="269408C5" w:rsidR="002647FB" w:rsidRPr="00646627" w:rsidRDefault="00631BD8" w:rsidP="002647FB">
      <w:pPr>
        <w:jc w:val="center"/>
        <w:rPr>
          <w:i/>
          <w:iCs/>
          <w:lang w:val="en-US"/>
        </w:rPr>
      </w:pPr>
      <w:r>
        <w:rPr>
          <w:i/>
          <w:iCs/>
          <w:lang w:val="en-US"/>
        </w:rPr>
        <w:t>Results of simulations and some o</w:t>
      </w:r>
      <w:r w:rsidR="002647FB" w:rsidRPr="00646627">
        <w:rPr>
          <w:i/>
          <w:iCs/>
          <w:lang w:val="en-US"/>
        </w:rPr>
        <w:t>bservations</w:t>
      </w:r>
    </w:p>
    <w:p w14:paraId="36C2A491" w14:textId="1924350C" w:rsidR="007B2FA9" w:rsidRDefault="007B2FA9">
      <w:pPr>
        <w:rPr>
          <w:lang w:val="en-US"/>
        </w:rPr>
      </w:pPr>
      <w:r w:rsidRPr="007B2FA9">
        <w:rPr>
          <w:lang w:val="en-US"/>
        </w:rPr>
        <w:t xml:space="preserve">Under the undepleted pump approximation, </w:t>
      </w:r>
      <w:r>
        <w:rPr>
          <w:lang w:val="en-US"/>
        </w:rPr>
        <w:t xml:space="preserve">the conversion efficiency for second harmonic generation in a </w:t>
      </w:r>
      <w:r w:rsidR="00C7020E">
        <w:rPr>
          <w:lang w:val="en-US"/>
        </w:rPr>
        <w:t>system that is homogeneous in the propagation (longitudinal) direction, such as a bulk material or a waveguide,</w:t>
      </w:r>
      <w:r>
        <w:rPr>
          <w:lang w:val="en-US"/>
        </w:rPr>
        <w:t xml:space="preserve"> may be conveniently defined as follows:</w:t>
      </w:r>
    </w:p>
    <w:p w14:paraId="244D5B9F" w14:textId="6E56F6B6" w:rsidR="007B2FA9" w:rsidRPr="007B2FA9" w:rsidRDefault="00C93FAD">
      <w:pPr>
        <w:rPr>
          <w:rFonts w:eastAsiaTheme="minorEastAsia"/>
          <w:lang w:val="en-US"/>
        </w:rPr>
      </w:pPr>
      <m:oMathPara>
        <m:oMath>
          <m:r>
            <w:rPr>
              <w:rFonts w:ascii="Cambria Math" w:hAnsi="Cambria Math"/>
              <w:lang w:val="en-US"/>
            </w:rPr>
            <m:t>η</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2ω</m:t>
                  </m:r>
                </m:sub>
              </m:sSub>
            </m:num>
            <m:den>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ω</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den>
          </m:f>
        </m:oMath>
      </m:oMathPara>
    </w:p>
    <w:p w14:paraId="00041A10" w14:textId="5E1F2254" w:rsidR="007B2FA9" w:rsidRDefault="007B2FA9" w:rsidP="007B2FA9">
      <w:pPr>
        <w:rPr>
          <w:rFonts w:eastAsiaTheme="minorEastAsia"/>
          <w:lang w:val="en-US"/>
        </w:rPr>
      </w:pPr>
      <w:r>
        <w:rPr>
          <w:lang w:val="en-US"/>
        </w:rPr>
        <w:t xml:space="preserve">Where </w:t>
      </w:r>
      <m:oMath>
        <m:r>
          <w:rPr>
            <w:rFonts w:ascii="Cambria Math" w:hAnsi="Cambria Math"/>
            <w:lang w:val="en-US"/>
          </w:rPr>
          <m:t>L</m:t>
        </m:r>
      </m:oMath>
      <w:r>
        <w:rPr>
          <w:lang w:val="en-US"/>
        </w:rPr>
        <w:t xml:space="preserve"> is the </w:t>
      </w:r>
      <w:r w:rsidR="00C7020E">
        <w:rPr>
          <w:lang w:val="en-US"/>
        </w:rPr>
        <w:t>interaction</w:t>
      </w:r>
      <w:r>
        <w:rPr>
          <w:lang w:val="en-US"/>
        </w:rPr>
        <w:t xml:space="preserve"> length in the propagation direction (nonlinear interaction length),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ω</m:t>
            </m:r>
          </m:sub>
        </m:sSub>
      </m:oMath>
      <w:r>
        <w:rPr>
          <w:rFonts w:eastAsiaTheme="minorEastAsia"/>
          <w:lang w:val="en-US"/>
        </w:rPr>
        <w:t xml:space="preserve"> is the pump power at the input of the waveguide and </w:t>
      </w:r>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r>
              <w:rPr>
                <w:rFonts w:ascii="Cambria Math" w:hAnsi="Cambria Math"/>
                <w:lang w:val="en-US"/>
              </w:rPr>
              <m:t>ω</m:t>
            </m:r>
          </m:sub>
        </m:sSub>
      </m:oMath>
      <w:r>
        <w:rPr>
          <w:rFonts w:eastAsiaTheme="minorEastAsia"/>
          <w:lang w:val="en-US"/>
        </w:rPr>
        <w:t xml:space="preserve"> is the </w:t>
      </w:r>
      <w:r>
        <w:rPr>
          <w:rFonts w:eastAsiaTheme="minorEastAsia"/>
          <w:lang w:val="en-US"/>
        </w:rPr>
        <w:t>second-harmonic</w:t>
      </w:r>
      <w:r>
        <w:rPr>
          <w:rFonts w:eastAsiaTheme="minorEastAsia"/>
          <w:lang w:val="en-US"/>
        </w:rPr>
        <w:t xml:space="preserve"> power at the</w:t>
      </w:r>
      <w:r>
        <w:rPr>
          <w:rFonts w:eastAsiaTheme="minorEastAsia"/>
          <w:lang w:val="en-US"/>
        </w:rPr>
        <w:t xml:space="preserve"> output</w:t>
      </w:r>
      <w:r>
        <w:rPr>
          <w:rFonts w:eastAsiaTheme="minorEastAsia"/>
          <w:lang w:val="en-US"/>
        </w:rPr>
        <w:t xml:space="preserve"> of the waveguide</w:t>
      </w:r>
      <w:r>
        <w:rPr>
          <w:rFonts w:eastAsiaTheme="minorEastAsia"/>
          <w:lang w:val="en-US"/>
        </w:rPr>
        <w:t>.</w:t>
      </w:r>
      <w:r>
        <w:rPr>
          <w:rFonts w:eastAsiaTheme="minorEastAsia"/>
          <w:lang w:val="en-US"/>
        </w:rPr>
        <w:t xml:space="preserve"> </w:t>
      </w:r>
      <w:r>
        <w:rPr>
          <w:rFonts w:eastAsiaTheme="minorEastAsia"/>
          <w:lang w:val="en-US"/>
        </w:rPr>
        <w:t xml:space="preserve">This definition of efficiency depends mainly on the following parameters: material nonlinearity, </w:t>
      </w:r>
      <m:oMath>
        <m:sSup>
          <m:sSupPr>
            <m:ctrlPr>
              <w:rPr>
                <w:rFonts w:ascii="Cambria Math" w:eastAsiaTheme="minorEastAsia" w:hAnsi="Cambria Math"/>
                <w:i/>
                <w:lang w:val="en-US"/>
              </w:rPr>
            </m:ctrlPr>
          </m:sSupPr>
          <m:e>
            <m:r>
              <w:rPr>
                <w:rFonts w:ascii="Cambria Math" w:eastAsiaTheme="minorEastAsia" w:hAnsi="Cambria Math"/>
                <w:lang w:val="en-US"/>
              </w:rPr>
              <m:t>χ</m:t>
            </m:r>
          </m:e>
          <m:sup>
            <m:d>
              <m:dPr>
                <m:ctrlPr>
                  <w:rPr>
                    <w:rFonts w:ascii="Cambria Math" w:eastAsiaTheme="minorEastAsia" w:hAnsi="Cambria Math"/>
                    <w:i/>
                    <w:lang w:val="en-US"/>
                  </w:rPr>
                </m:ctrlPr>
              </m:dPr>
              <m:e>
                <m:r>
                  <w:rPr>
                    <w:rFonts w:ascii="Cambria Math" w:eastAsiaTheme="minorEastAsia" w:hAnsi="Cambria Math"/>
                    <w:lang w:val="en-US"/>
                  </w:rPr>
                  <m:t>2</m:t>
                </m:r>
              </m:e>
            </m:d>
          </m:sup>
        </m:sSup>
      </m:oMath>
      <w:r>
        <w:rPr>
          <w:rFonts w:eastAsiaTheme="minorEastAsia"/>
          <w:lang w:val="en-US"/>
        </w:rPr>
        <w:t>, overlap integral between fundamental and second-harmonic field, and phase-matching.  Instead, the dependency on the input pump power and the interaction length is removed</w:t>
      </w:r>
      <w:r w:rsidR="00C7020E">
        <w:rPr>
          <w:rFonts w:eastAsiaTheme="minorEastAsia"/>
          <w:lang w:val="en-US"/>
        </w:rPr>
        <w:t xml:space="preserve"> from this definition of efficiency</w:t>
      </w:r>
      <w:r>
        <w:rPr>
          <w:rFonts w:eastAsiaTheme="minorEastAsia"/>
          <w:lang w:val="en-US"/>
        </w:rPr>
        <w:t xml:space="preserve">, at least in the undepleted pump approximation. </w:t>
      </w:r>
      <w:r w:rsidR="004A324B">
        <w:rPr>
          <w:rFonts w:eastAsiaTheme="minorEastAsia"/>
          <w:lang w:val="en-US"/>
        </w:rPr>
        <w:t xml:space="preserve">The units of </w:t>
      </w:r>
      <m:oMath>
        <m:r>
          <w:rPr>
            <w:rFonts w:ascii="Cambria Math" w:hAnsi="Cambria Math"/>
            <w:lang w:val="en-US"/>
          </w:rPr>
          <m:t>η</m:t>
        </m:r>
      </m:oMath>
      <w:r w:rsidR="004A324B">
        <w:rPr>
          <w:rFonts w:eastAsiaTheme="minorEastAsia"/>
          <w:lang w:val="en-US"/>
        </w:rPr>
        <w:t xml:space="preserve">, in the case of a 1D-confined waveguide are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-1</m:t>
            </m:r>
          </m:sup>
        </m:sSup>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-1</m:t>
            </m:r>
          </m:sup>
        </m:sSup>
        <m:r>
          <w:rPr>
            <w:rFonts w:ascii="Cambria Math" w:eastAsiaTheme="minorEastAsia" w:hAnsi="Cambria Math"/>
            <w:lang w:val="en-US"/>
          </w:rPr>
          <m:t>]</m:t>
        </m:r>
      </m:oMath>
      <w:r w:rsidR="004A324B">
        <w:rPr>
          <w:rFonts w:eastAsiaTheme="minorEastAsia"/>
          <w:lang w:val="en-US"/>
        </w:rPr>
        <w:t xml:space="preserve">, since the power units are </w:t>
      </w:r>
      <m:oMath>
        <m:r>
          <w:rPr>
            <w:rFonts w:ascii="Cambria Math" w:eastAsiaTheme="minorEastAsia" w:hAnsi="Cambria Math"/>
            <w:lang w:val="en-US"/>
          </w:rPr>
          <m:t>[W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-1</m:t>
            </m:r>
          </m:sup>
        </m:sSup>
        <m:r>
          <w:rPr>
            <w:rFonts w:ascii="Cambria Math" w:eastAsiaTheme="minorEastAsia" w:hAnsi="Cambria Math"/>
            <w:lang w:val="en-US"/>
          </w:rPr>
          <m:t>]</m:t>
        </m:r>
      </m:oMath>
      <w:r w:rsidR="004A324B">
        <w:rPr>
          <w:rFonts w:eastAsiaTheme="minorEastAsia"/>
          <w:lang w:val="en-US"/>
        </w:rPr>
        <w:t>.</w:t>
      </w:r>
    </w:p>
    <w:p w14:paraId="5E9CB3A0" w14:textId="35F8C348" w:rsidR="007B2FA9" w:rsidRPr="004A324B" w:rsidRDefault="007B2FA9" w:rsidP="007B2FA9">
      <w:pPr>
        <w:rPr>
          <w:rFonts w:eastAsiaTheme="minorEastAsia"/>
          <w:lang w:val="en-US"/>
        </w:rPr>
      </w:pPr>
      <w:r>
        <w:rPr>
          <w:rFonts w:eastAsiaTheme="minorEastAsia"/>
          <w:lang w:val="en-US"/>
        </w:rPr>
        <w:t>A</w:t>
      </w:r>
      <w:r w:rsidR="004A324B">
        <w:rPr>
          <w:rFonts w:eastAsiaTheme="minorEastAsia"/>
          <w:lang w:val="en-US"/>
        </w:rPr>
        <w:t xml:space="preserve">n approximated </w:t>
      </w:r>
      <w:r>
        <w:rPr>
          <w:rFonts w:eastAsiaTheme="minorEastAsia"/>
          <w:lang w:val="en-US"/>
        </w:rPr>
        <w:t xml:space="preserve">expression of the efficiency </w:t>
      </w:r>
      <m:oMath>
        <m:r>
          <w:rPr>
            <w:rFonts w:ascii="Cambria Math" w:hAnsi="Cambria Math"/>
            <w:lang w:val="en-US"/>
          </w:rPr>
          <m:t>η</m:t>
        </m:r>
      </m:oMath>
      <w:r>
        <w:rPr>
          <w:rFonts w:eastAsiaTheme="minorEastAsia"/>
          <w:lang w:val="en-US"/>
        </w:rPr>
        <w:t xml:space="preserve"> can be writte</w:t>
      </w:r>
      <w:r w:rsidR="00651316">
        <w:rPr>
          <w:rFonts w:eastAsiaTheme="minorEastAsia"/>
          <w:lang w:val="en-US"/>
        </w:rPr>
        <w:t>n for the waveguide under investigation</w:t>
      </w:r>
      <w:r w:rsidR="004A324B">
        <w:rPr>
          <w:rFonts w:eastAsiaTheme="minorEastAsia"/>
          <w:lang w:val="en-US"/>
        </w:rPr>
        <w:t>:</w:t>
      </w:r>
    </w:p>
    <w:p w14:paraId="36B478BA" w14:textId="65A09B46" w:rsidR="007B2FA9" w:rsidRPr="004A324B" w:rsidRDefault="004A324B">
      <w:pPr>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8</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ξ</m:t>
                  </m:r>
                  <m:r>
                    <w:rPr>
                      <w:rFonts w:ascii="Cambria Math" w:hAnsi="Cambria Math"/>
                      <w:lang w:val="en-US"/>
                    </w:rPr>
                    <m:t>|</m:t>
                  </m:r>
                </m:e>
                <m:sup>
                  <m:r>
                    <w:rPr>
                      <w:rFonts w:ascii="Cambria Math" w:hAnsi="Cambria Math"/>
                      <w:lang w:val="en-US"/>
                    </w:rPr>
                    <m:t>2</m:t>
                  </m:r>
                </m:sup>
              </m:sSup>
            </m:num>
            <m:den>
              <m:r>
                <w:rPr>
                  <w:rFonts w:ascii="Cambria Math" w:hAnsi="Cambria Math"/>
                  <w:lang w:val="en-US"/>
                </w:rPr>
                <m:t>c</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2</m:t>
                  </m:r>
                </m:sup>
              </m:sSup>
            </m:den>
          </m:f>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Δ</m:t>
                                  </m:r>
                                  <m:r>
                                    <w:rPr>
                                      <w:rFonts w:ascii="Cambria Math" w:hAnsi="Cambria Math"/>
                                      <w:lang w:val="en-US"/>
                                    </w:rPr>
                                    <m:t>kL</m:t>
                                  </m:r>
                                </m:num>
                                <m:den>
                                  <m:r>
                                    <w:rPr>
                                      <w:rFonts w:ascii="Cambria Math" w:hAnsi="Cambria Math"/>
                                      <w:lang w:val="en-US"/>
                                    </w:rPr>
                                    <m:t>2</m:t>
                                  </m:r>
                                </m:den>
                              </m:f>
                            </m:e>
                          </m:d>
                        </m:e>
                      </m:func>
                    </m:num>
                    <m:den>
                      <m:f>
                        <m:fPr>
                          <m:ctrlPr>
                            <w:rPr>
                              <w:rFonts w:ascii="Cambria Math" w:hAnsi="Cambria Math"/>
                              <w:i/>
                              <w:lang w:val="en-US"/>
                            </w:rPr>
                          </m:ctrlPr>
                        </m:fPr>
                        <m:num>
                          <m:r>
                            <m:rPr>
                              <m:sty m:val="p"/>
                            </m:rPr>
                            <w:rPr>
                              <w:rFonts w:ascii="Cambria Math" w:hAnsi="Cambria Math"/>
                              <w:lang w:val="en-US"/>
                            </w:rPr>
                            <m:t>Δ</m:t>
                          </m:r>
                          <m:r>
                            <w:rPr>
                              <w:rFonts w:ascii="Cambria Math" w:hAnsi="Cambria Math"/>
                              <w:lang w:val="en-US"/>
                            </w:rPr>
                            <m:t>kL</m:t>
                          </m:r>
                        </m:num>
                        <m:den>
                          <m:r>
                            <w:rPr>
                              <w:rFonts w:ascii="Cambria Math" w:hAnsi="Cambria Math"/>
                              <w:lang w:val="en-US"/>
                            </w:rPr>
                            <m:t>2</m:t>
                          </m:r>
                        </m:den>
                      </m:f>
                    </m:den>
                  </m:f>
                </m:e>
              </m:d>
            </m:e>
            <m:sup>
              <m:r>
                <w:rPr>
                  <w:rFonts w:ascii="Cambria Math" w:hAnsi="Cambria Math"/>
                  <w:lang w:val="en-US"/>
                </w:rPr>
                <m:t>2</m:t>
              </m:r>
            </m:sup>
          </m:sSup>
        </m:oMath>
      </m:oMathPara>
    </w:p>
    <w:p w14:paraId="1ED9FB24" w14:textId="088B45E5" w:rsidR="004A324B" w:rsidRDefault="004A324B">
      <w:pPr>
        <w:rPr>
          <w:rFonts w:eastAsiaTheme="minorEastAsia"/>
          <w:lang w:val="en-US"/>
        </w:rPr>
      </w:pPr>
      <w:r>
        <w:rPr>
          <w:rFonts w:eastAsiaTheme="minorEastAsia"/>
          <w:lang w:val="en-US"/>
        </w:rPr>
        <w:t xml:space="preserve">In this expression, </w:t>
      </w:r>
      <m:oMath>
        <m:r>
          <m:rPr>
            <m:sty m:val="p"/>
          </m:rPr>
          <w:rPr>
            <w:rFonts w:ascii="Cambria Math" w:hAnsi="Cambria Math"/>
            <w:lang w:val="en-US"/>
          </w:rPr>
          <m:t>Δ</m:t>
        </m:r>
        <m:r>
          <w:rPr>
            <w:rFonts w:ascii="Cambria Math" w:hAnsi="Cambria Math"/>
            <w:lang w:val="en-US"/>
          </w:rPr>
          <m:t>k</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r>
              <w:rPr>
                <w:rFonts w:ascii="Cambria Math" w:hAnsi="Cambria Math"/>
                <w:lang w:val="en-US"/>
              </w:rPr>
              <m:t>ω</m:t>
            </m:r>
          </m:num>
          <m:den>
            <m:r>
              <w:rPr>
                <w:rFonts w:ascii="Cambria Math" w:hAnsi="Cambria Math"/>
                <w:lang w:val="en-US"/>
              </w:rPr>
              <m:t>c</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ω</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2ω</m:t>
            </m:r>
          </m:sub>
        </m:sSub>
        <m:r>
          <w:rPr>
            <w:rFonts w:ascii="Cambria Math" w:hAnsi="Cambria Math"/>
            <w:lang w:val="en-US"/>
          </w:rPr>
          <m:t>)</m:t>
        </m:r>
      </m:oMath>
      <w:r>
        <w:rPr>
          <w:rFonts w:eastAsiaTheme="minorEastAsia"/>
          <w:lang w:val="en-US"/>
        </w:rPr>
        <w:t xml:space="preserve"> is the wavevector mismatch between the fundamental and the second-harmonic field, </w:t>
      </w:r>
      <m:oMath>
        <m:r>
          <w:rPr>
            <w:rFonts w:ascii="Cambria Math" w:hAnsi="Cambria Math"/>
            <w:lang w:val="en-US"/>
          </w:rPr>
          <m:t>λ</m:t>
        </m:r>
        <m:r>
          <w:rPr>
            <w:rFonts w:ascii="Cambria Math" w:hAnsi="Cambria Math"/>
            <w:lang w:val="en-US"/>
          </w:rPr>
          <m:t>=2πc/ω</m:t>
        </m:r>
      </m:oMath>
      <w:r>
        <w:rPr>
          <w:rFonts w:eastAsiaTheme="minorEastAsia"/>
          <w:lang w:val="en-US"/>
        </w:rPr>
        <w:t xml:space="preserve"> is the fundamental-frequency wavelength,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ω</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r>
              <w:rPr>
                <w:rFonts w:ascii="Cambria Math" w:hAnsi="Cambria Math"/>
                <w:lang w:val="en-US"/>
              </w:rPr>
              <m:t>ω</m:t>
            </m:r>
          </m:sub>
        </m:sSub>
      </m:oMath>
      <w:r>
        <w:rPr>
          <w:rFonts w:eastAsiaTheme="minorEastAsia"/>
          <w:lang w:val="en-US"/>
        </w:rPr>
        <w:t xml:space="preserve"> are the effective indices of the waveguide modes carrying the fundamental and the second-harmonic signals, respectively, and </w:t>
      </w:r>
      <w:r w:rsidR="003E5251">
        <w:rPr>
          <w:rFonts w:eastAsiaTheme="minorEastAsia"/>
          <w:lang w:val="en-US"/>
        </w:rPr>
        <w:t xml:space="preserve">the nonlinear </w:t>
      </w:r>
      <w:r>
        <w:rPr>
          <w:rFonts w:eastAsiaTheme="minorEastAsia"/>
          <w:lang w:val="en-US"/>
        </w:rPr>
        <w:t>overlap integral</w:t>
      </w:r>
      <w:r w:rsidR="003E5251">
        <w:rPr>
          <w:rFonts w:eastAsiaTheme="minorEastAsia"/>
          <w:lang w:val="en-US"/>
        </w:rPr>
        <w:t xml:space="preserve"> quantifies the effective nonlinear susceptibility of the system</w:t>
      </w:r>
      <w:r>
        <w:rPr>
          <w:rFonts w:eastAsiaTheme="minorEastAsia"/>
          <w:lang w:val="en-US"/>
        </w:rPr>
        <w:t>:</w:t>
      </w:r>
    </w:p>
    <w:p w14:paraId="45B7C206" w14:textId="05A7561D" w:rsidR="004A324B" w:rsidRPr="003E5251" w:rsidRDefault="003E5251">
      <w:pPr>
        <w:rPr>
          <w:rFonts w:eastAsiaTheme="minorEastAsia"/>
          <w:lang w:val="en-US"/>
        </w:rPr>
      </w:pPr>
      <m:oMathPara>
        <m:oMath>
          <m:r>
            <w:rPr>
              <w:rFonts w:ascii="Cambria Math" w:eastAsiaTheme="minorEastAsia" w:hAnsi="Cambria Math"/>
              <w:lang w:val="en-US"/>
            </w:rPr>
            <m:t>ξ</m:t>
          </m:r>
          <m:r>
            <w:rPr>
              <w:rFonts w:ascii="Cambria Math" w:eastAsiaTheme="minorEastAsia" w:hAnsi="Cambria Math"/>
              <w:lang w:val="en-US"/>
            </w:rPr>
            <m:t>=</m:t>
          </m:r>
          <m:f>
            <m:fPr>
              <m:ctrlPr>
                <w:rPr>
                  <w:rFonts w:ascii="Cambria Math" w:eastAsiaTheme="minorEastAsia" w:hAnsi="Cambria Math"/>
                  <w:i/>
                  <w:lang w:val="en-US"/>
                </w:rPr>
              </m:ctrlPr>
            </m:fPr>
            <m:num>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χ</m:t>
                      </m:r>
                    </m:e>
                    <m:sup>
                      <m:d>
                        <m:dPr>
                          <m:ctrlPr>
                            <w:rPr>
                              <w:rFonts w:ascii="Cambria Math" w:eastAsiaTheme="minorEastAsia" w:hAnsi="Cambria Math"/>
                              <w:i/>
                              <w:lang w:val="en-US"/>
                            </w:rPr>
                          </m:ctrlPr>
                        </m:dPr>
                        <m:e>
                          <m:r>
                            <w:rPr>
                              <w:rFonts w:ascii="Cambria Math" w:eastAsiaTheme="minorEastAsia" w:hAnsi="Cambria Math"/>
                              <w:lang w:val="en-US"/>
                            </w:rPr>
                            <m:t>2</m:t>
                          </m:r>
                        </m:e>
                      </m:d>
                    </m:sup>
                  </m:sSup>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ω</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2ω</m:t>
                      </m:r>
                    </m:sub>
                    <m:sup>
                      <m:r>
                        <w:rPr>
                          <w:rFonts w:ascii="Cambria Math" w:eastAsiaTheme="minorEastAsia" w:hAnsi="Cambria Math"/>
                          <w:lang w:val="en-US"/>
                        </w:rPr>
                        <m:t>*</m:t>
                      </m:r>
                    </m:sup>
                  </m:sSubSup>
                  <m:r>
                    <w:rPr>
                      <w:rFonts w:ascii="Cambria Math" w:eastAsiaTheme="minorEastAsia" w:hAnsi="Cambria Math"/>
                      <w:lang w:val="en-US"/>
                    </w:rPr>
                    <m:t>dx</m:t>
                  </m:r>
                </m:e>
              </m:nary>
              <m:ctrlPr>
                <w:rPr>
                  <w:rFonts w:ascii="Cambria Math" w:hAnsi="Cambria Math"/>
                  <w:i/>
                  <w:lang w:val="en-US"/>
                </w:rPr>
              </m:ctrlPr>
            </m:num>
            <m:den>
              <m:nary>
                <m:naryPr>
                  <m:limLoc m:val="undOvr"/>
                  <m:subHide m:val="1"/>
                  <m:supHide m:val="1"/>
                  <m:ctrlPr>
                    <w:rPr>
                      <w:rFonts w:ascii="Cambria Math" w:eastAsiaTheme="minorEastAsia" w:hAnsi="Cambria Math"/>
                      <w:i/>
                      <w:lang w:val="en-US"/>
                    </w:rPr>
                  </m:ctrlPr>
                </m:naryPr>
                <m:sub/>
                <m:sup/>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ω</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ω</m:t>
                              </m:r>
                            </m:sub>
                          </m:sSub>
                        </m:e>
                      </m:d>
                    </m:e>
                    <m:sup>
                      <m:r>
                        <w:rPr>
                          <w:rFonts w:ascii="Cambria Math" w:eastAsiaTheme="minorEastAsia" w:hAnsi="Cambria Math"/>
                          <w:lang w:val="en-US"/>
                        </w:rPr>
                        <m:t>2</m:t>
                      </m:r>
                    </m:sup>
                  </m:sSup>
                  <m:r>
                    <w:rPr>
                      <w:rFonts w:ascii="Cambria Math" w:eastAsiaTheme="minorEastAsia" w:hAnsi="Cambria Math"/>
                      <w:lang w:val="en-US"/>
                    </w:rPr>
                    <m:t>dx</m:t>
                  </m:r>
                </m:e>
              </m:nary>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nary>
                        <m:naryPr>
                          <m:limLoc m:val="undOvr"/>
                          <m:subHide m:val="1"/>
                          <m:supHide m:val="1"/>
                          <m:ctrlPr>
                            <w:rPr>
                              <w:rFonts w:ascii="Cambria Math" w:eastAsiaTheme="minorEastAsia" w:hAnsi="Cambria Math"/>
                              <w:i/>
                              <w:lang w:val="en-US"/>
                            </w:rPr>
                          </m:ctrlPr>
                        </m:naryPr>
                        <m:sub/>
                        <m:sup/>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2</m:t>
                              </m:r>
                              <m:r>
                                <w:rPr>
                                  <w:rFonts w:ascii="Cambria Math" w:eastAsiaTheme="minorEastAsia" w:hAnsi="Cambria Math"/>
                                  <w:lang w:val="en-US"/>
                                </w:rPr>
                                <m:t>ω</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2ω</m:t>
                                      </m:r>
                                    </m:sub>
                                  </m:sSub>
                                </m:e>
                              </m:d>
                            </m:e>
                            <m:sup>
                              <m:r>
                                <w:rPr>
                                  <w:rFonts w:ascii="Cambria Math" w:eastAsiaTheme="minorEastAsia" w:hAnsi="Cambria Math"/>
                                  <w:lang w:val="en-US"/>
                                </w:rPr>
                                <m:t>2</m:t>
                              </m:r>
                            </m:sup>
                          </m:sSup>
                          <m:r>
                            <w:rPr>
                              <w:rFonts w:ascii="Cambria Math" w:eastAsiaTheme="minorEastAsia" w:hAnsi="Cambria Math"/>
                              <w:lang w:val="en-US"/>
                            </w:rPr>
                            <m:t>dx</m:t>
                          </m:r>
                        </m:e>
                      </m:nary>
                    </m:e>
                  </m:d>
                </m:e>
                <m: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p>
              </m:sSup>
              <m:r>
                <w:rPr>
                  <w:rFonts w:ascii="Cambria Math" w:eastAsiaTheme="minorEastAsia" w:hAnsi="Cambria Math"/>
                  <w:lang w:val="en-US"/>
                </w:rPr>
                <m:t xml:space="preserve"> </m:t>
              </m:r>
            </m:den>
          </m:f>
        </m:oMath>
      </m:oMathPara>
    </w:p>
    <w:p w14:paraId="68794258" w14:textId="7EBD9682" w:rsidR="003E5251" w:rsidRDefault="003E5251">
      <w:pPr>
        <w:rPr>
          <w:rFonts w:eastAsiaTheme="minorEastAsia"/>
          <w:lang w:val="en-US"/>
        </w:rPr>
      </w:pPr>
      <w:r>
        <w:rPr>
          <w:rFonts w:eastAsiaTheme="minorEastAsia"/>
          <w:lang w:val="en-US"/>
        </w:rPr>
        <w:t>We now proceed with the calculation of an estimated value of the efficiency, using the following assumptions:</w:t>
      </w:r>
      <w:r w:rsidR="00651316">
        <w:rPr>
          <w:rFonts w:eastAsiaTheme="minorEastAsia"/>
          <w:lang w:val="en-US"/>
        </w:rPr>
        <w:t xml:space="preserve"> modal phase-matching between the interacting modes, i.e.,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ω</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2ω</m:t>
            </m:r>
          </m:sub>
        </m:sSub>
      </m:oMath>
      <w:r w:rsidR="00651316">
        <w:rPr>
          <w:rFonts w:eastAsiaTheme="minorEastAsia"/>
          <w:lang w:val="en-US"/>
        </w:rPr>
        <w:t xml:space="preserve">, optimized overlap integral, i.e.,  </w:t>
      </w:r>
      <m:oMath>
        <m:r>
          <w:rPr>
            <w:rFonts w:ascii="Cambria Math" w:eastAsiaTheme="minorEastAsia" w:hAnsi="Cambria Math"/>
            <w:lang w:val="en-US"/>
          </w:rPr>
          <m:t>ξ</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χ</m:t>
            </m:r>
          </m:e>
          <m:sup>
            <m:d>
              <m:dPr>
                <m:ctrlPr>
                  <w:rPr>
                    <w:rFonts w:ascii="Cambria Math" w:eastAsiaTheme="minorEastAsia" w:hAnsi="Cambria Math"/>
                    <w:i/>
                    <w:lang w:val="en-US"/>
                  </w:rPr>
                </m:ctrlPr>
              </m:dPr>
              <m:e>
                <m:r>
                  <w:rPr>
                    <w:rFonts w:ascii="Cambria Math" w:eastAsiaTheme="minorEastAsia" w:hAnsi="Cambria Math"/>
                    <w:lang w:val="en-US"/>
                  </w:rPr>
                  <m:t>2</m:t>
                </m:r>
              </m:e>
            </m:d>
          </m:sup>
        </m:sSup>
        <m:r>
          <w:rPr>
            <w:rFonts w:ascii="Cambria Math" w:eastAsiaTheme="minorEastAsia" w:hAnsi="Cambria Math"/>
            <w:lang w:val="en-US"/>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m:t>
                </m:r>
              </m:sub>
            </m:sSub>
          </m:e>
        </m:rad>
      </m:oMath>
      <w:r w:rsidR="00651316">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m:t>
            </m:r>
          </m:sub>
        </m:sSub>
      </m:oMath>
      <w:r w:rsidR="00651316">
        <w:rPr>
          <w:rFonts w:eastAsiaTheme="minorEastAsia"/>
          <w:lang w:val="en-US"/>
        </w:rPr>
        <w:t xml:space="preserve"> is the geometrical cross-section of the waveguide.</w:t>
      </w:r>
      <w:r w:rsidR="00474805">
        <w:rPr>
          <w:rFonts w:eastAsiaTheme="minorEastAsia"/>
          <w:lang w:val="en-US"/>
        </w:rPr>
        <w:t xml:space="preserve"> For an AlGaAs waveguide with core cross-section of </w:t>
      </w:r>
      <w:r w:rsidR="0040354D">
        <w:rPr>
          <w:rFonts w:eastAsiaTheme="minorEastAsia"/>
          <w:lang w:val="en-US"/>
        </w:rPr>
        <w:t>a few hundred nanometers</w:t>
      </w:r>
      <w:r w:rsidR="00474805">
        <w:rPr>
          <w:rFonts w:eastAsiaTheme="minorEastAsia"/>
          <w:lang w:val="en-US"/>
        </w:rPr>
        <w:t xml:space="preserve">, it is reasonable to assume effective indices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ω</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r>
              <w:rPr>
                <w:rFonts w:ascii="Cambria Math" w:hAnsi="Cambria Math"/>
                <w:lang w:val="en-US"/>
              </w:rPr>
              <m:t>ω</m:t>
            </m:r>
          </m:sub>
        </m:sSub>
        <m:r>
          <w:rPr>
            <w:rFonts w:ascii="Cambria Math" w:eastAsiaTheme="minorEastAsia" w:hAnsi="Cambria Math"/>
            <w:lang w:val="en-US"/>
          </w:rPr>
          <m:t>~</m:t>
        </m:r>
        <m:r>
          <w:rPr>
            <w:rFonts w:ascii="Cambria Math" w:eastAsiaTheme="minorEastAsia" w:hAnsi="Cambria Math"/>
            <w:lang w:val="en-US"/>
          </w:rPr>
          <m:t>3</m:t>
        </m:r>
      </m:oMath>
      <w:r w:rsidR="00474805">
        <w:rPr>
          <w:rFonts w:eastAsiaTheme="minorEastAsia"/>
          <w:lang w:val="en-US"/>
        </w:rPr>
        <w:t xml:space="preserve">, and therefore the efficiency is  </w:t>
      </w:r>
      <m:oMath>
        <m:r>
          <w:rPr>
            <w:rFonts w:ascii="Cambria Math" w:hAnsi="Cambria Math"/>
            <w:lang w:val="en-US"/>
          </w:rPr>
          <m:t>η</m:t>
        </m:r>
        <m:r>
          <w:rPr>
            <w:rFonts w:ascii="Cambria Math" w:hAnsi="Cambria Math"/>
            <w:lang w:val="en-US"/>
          </w:rPr>
          <m:t>~1</m:t>
        </m:r>
      </m:oMath>
      <w:r w:rsidR="00474805">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-1</m:t>
            </m:r>
          </m:sup>
        </m:sSup>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-1</m:t>
            </m:r>
          </m:sup>
        </m:sSup>
      </m:oMath>
      <w:r w:rsidR="00474805">
        <w:rPr>
          <w:rFonts w:eastAsiaTheme="minorEastAsia"/>
          <w:lang w:val="en-US"/>
        </w:rPr>
        <w:t>.</w:t>
      </w:r>
    </w:p>
    <w:p w14:paraId="6716EF23" w14:textId="30D13763" w:rsidR="00474805" w:rsidRDefault="0040354D">
      <w:pPr>
        <w:rPr>
          <w:rFonts w:eastAsiaTheme="minorEastAsia"/>
          <w:lang w:val="en-US"/>
        </w:rPr>
      </w:pPr>
      <w:r>
        <w:rPr>
          <w:rFonts w:eastAsiaTheme="minorEastAsia"/>
          <w:lang w:val="en-US"/>
        </w:rPr>
        <w:t>We performe</w:t>
      </w:r>
      <w:r w:rsidR="00C7020E">
        <w:rPr>
          <w:rFonts w:eastAsiaTheme="minorEastAsia"/>
          <w:lang w:val="en-US"/>
        </w:rPr>
        <w:t>d</w:t>
      </w:r>
      <w:r>
        <w:rPr>
          <w:rFonts w:eastAsiaTheme="minorEastAsia"/>
          <w:lang w:val="en-US"/>
        </w:rPr>
        <w:t xml:space="preserve"> </w:t>
      </w:r>
      <w:r w:rsidR="00474805">
        <w:rPr>
          <w:rFonts w:eastAsiaTheme="minorEastAsia"/>
          <w:lang w:val="en-US"/>
        </w:rPr>
        <w:t>numerical simulation</w:t>
      </w:r>
      <w:r>
        <w:rPr>
          <w:rFonts w:eastAsiaTheme="minorEastAsia"/>
          <w:lang w:val="en-US"/>
        </w:rPr>
        <w:t>s of second-harmonic generation in a phase-matched AlGaAs waveguide and indeed the efficiency value that we found is very close to t</w:t>
      </w:r>
      <w:r w:rsidR="00C7020E">
        <w:rPr>
          <w:rFonts w:eastAsiaTheme="minorEastAsia"/>
          <w:lang w:val="en-US"/>
        </w:rPr>
        <w:t>he predicted</w:t>
      </w:r>
      <w:r>
        <w:rPr>
          <w:rFonts w:eastAsiaTheme="minorEastAsia"/>
          <w:lang w:val="en-US"/>
        </w:rPr>
        <w:t xml:space="preserve"> one.</w:t>
      </w:r>
    </w:p>
    <w:p w14:paraId="1058368C" w14:textId="3377052F" w:rsidR="005D4AF2" w:rsidRDefault="00070A3A">
      <w:pPr>
        <w:rPr>
          <w:rFonts w:eastAsiaTheme="minorEastAsia"/>
          <w:lang w:val="en-US"/>
        </w:rPr>
      </w:pPr>
      <w:r>
        <w:rPr>
          <w:rFonts w:eastAsiaTheme="minorEastAsia"/>
          <w:lang w:val="en-US"/>
        </w:rPr>
        <w:t xml:space="preserve">As an example, here we report the results for a </w:t>
      </w:r>
      <w:r w:rsidR="005D4AF2">
        <w:rPr>
          <w:rFonts w:eastAsiaTheme="minorEastAsia"/>
          <w:lang w:val="en-US"/>
        </w:rPr>
        <w:t xml:space="preserve">homogeneous </w:t>
      </w:r>
      <w:r>
        <w:rPr>
          <w:rFonts w:eastAsiaTheme="minorEastAsia"/>
          <w:lang w:val="en-US"/>
        </w:rPr>
        <w:t>waveguide</w:t>
      </w:r>
      <w:r w:rsidR="005D4AF2">
        <w:rPr>
          <w:rFonts w:eastAsiaTheme="minorEastAsia"/>
          <w:lang w:val="en-US"/>
        </w:rPr>
        <w:t xml:space="preserve"> system, consisting of two cores of AlGaAs with thickness 200 nm, separated by a gap of 200 nm, embedded in a cladding of oxide. In particular we consider two cases: </w:t>
      </w:r>
      <w:r w:rsidR="000D76F0">
        <w:rPr>
          <w:rFonts w:eastAsiaTheme="minorEastAsia"/>
          <w:lang w:val="en-US"/>
        </w:rPr>
        <w:t xml:space="preserve">the phase-mismatched scenario that can be obtained using the actual data of the AlGaAs refractive indices and a phase-matched scenario obtained when the AlGaAs chromatic dispersion is properly modified in order to reach the condition </w:t>
      </w:r>
      <m:oMath>
        <m:r>
          <m:rPr>
            <m:sty m:val="p"/>
          </m:rPr>
          <w:rPr>
            <w:rFonts w:ascii="Cambria Math" w:hAnsi="Cambria Math"/>
            <w:lang w:val="en-US"/>
          </w:rPr>
          <m:t>Δ</m:t>
        </m:r>
        <m:r>
          <w:rPr>
            <w:rFonts w:ascii="Cambria Math" w:hAnsi="Cambria Math"/>
            <w:lang w:val="en-US"/>
          </w:rPr>
          <m:t>k</m:t>
        </m:r>
        <m:r>
          <w:rPr>
            <w:rFonts w:ascii="Cambria Math" w:hAnsi="Cambria Math"/>
            <w:lang w:val="en-US"/>
          </w:rPr>
          <m:t>=0</m:t>
        </m:r>
      </m:oMath>
      <w:r w:rsidR="000D76F0">
        <w:rPr>
          <w:rFonts w:eastAsiaTheme="minorEastAsia"/>
          <w:lang w:val="en-US"/>
        </w:rPr>
        <w:t xml:space="preserve">. In both cases the efficiency </w:t>
      </w:r>
      <m:oMath>
        <m:r>
          <w:rPr>
            <w:rFonts w:ascii="Cambria Math" w:hAnsi="Cambria Math"/>
            <w:lang w:val="en-US"/>
          </w:rPr>
          <m:t>η</m:t>
        </m:r>
      </m:oMath>
      <w:r w:rsidR="000D76F0">
        <w:rPr>
          <w:rFonts w:eastAsiaTheme="minorEastAsia"/>
          <w:lang w:val="en-US"/>
        </w:rPr>
        <w:t xml:space="preserve"> is of order </w:t>
      </w:r>
      <m:oMath>
        <m:r>
          <w:rPr>
            <w:rFonts w:ascii="Cambria Math" w:eastAsiaTheme="minorEastAsia" w:hAnsi="Cambria Math"/>
            <w:lang w:val="en-US"/>
          </w:rPr>
          <m:t xml:space="preserve">1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-1</m:t>
            </m:r>
          </m:sup>
        </m:sSup>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-1</m:t>
            </m:r>
          </m:sup>
        </m:sSup>
      </m:oMath>
      <w:r w:rsidR="000D76F0">
        <w:rPr>
          <w:rFonts w:eastAsiaTheme="minorEastAsia"/>
          <w:lang w:val="en-US"/>
        </w:rPr>
        <w:t xml:space="preserve"> . In the mis-matched case, it is not useful considering waveguide lengths larger than one coherence length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2π</m:t>
            </m:r>
          </m:num>
          <m:den>
            <m:r>
              <m:rPr>
                <m:sty m:val="p"/>
              </m:rPr>
              <w:rPr>
                <w:rFonts w:ascii="Cambria Math" w:hAnsi="Cambria Math"/>
                <w:lang w:val="en-US"/>
              </w:rPr>
              <m:t>Δ</m:t>
            </m:r>
            <m:r>
              <w:rPr>
                <w:rFonts w:ascii="Cambria Math" w:hAnsi="Cambria Math"/>
                <w:lang w:val="en-US"/>
              </w:rPr>
              <m:t>k</m:t>
            </m:r>
          </m:den>
        </m:f>
        <m:r>
          <w:rPr>
            <w:rFonts w:ascii="Cambria Math" w:eastAsiaTheme="minorEastAsia" w:hAnsi="Cambria Math"/>
            <w:lang w:val="en-US"/>
          </w:rPr>
          <m:t>≈700 nm</m:t>
        </m:r>
      </m:oMath>
      <w:r w:rsidR="000D76F0">
        <w:rPr>
          <w:rFonts w:eastAsiaTheme="minorEastAsia"/>
          <w:lang w:val="en-US"/>
        </w:rPr>
        <w:t xml:space="preserve">), where the first maximum of </w:t>
      </w:r>
      <w:r w:rsidR="000D76F0">
        <w:rPr>
          <w:rFonts w:eastAsiaTheme="minorEastAsia"/>
          <w:lang w:val="en-US"/>
        </w:rPr>
        <w:lastRenderedPageBreak/>
        <w:t xml:space="preserve">conversion efficiency is reached. </w:t>
      </w:r>
      <w:r w:rsidR="00EA0C9C">
        <w:rPr>
          <w:rFonts w:eastAsiaTheme="minorEastAsia"/>
          <w:lang w:val="en-US"/>
        </w:rPr>
        <w:t>Under phase-matching, the SH intensity grows as L^2 as reported in Fig. xxx (d). Although</w:t>
      </w:r>
      <w:r w:rsidR="000D76F0">
        <w:rPr>
          <w:rFonts w:eastAsiaTheme="minorEastAsia"/>
          <w:lang w:val="en-US"/>
        </w:rPr>
        <w:t xml:space="preserve"> here the phase-match</w:t>
      </w:r>
      <w:r w:rsidR="00EA0C9C">
        <w:rPr>
          <w:rFonts w:eastAsiaTheme="minorEastAsia"/>
          <w:lang w:val="en-US"/>
        </w:rPr>
        <w:t>ing</w:t>
      </w:r>
      <w:r w:rsidR="000D76F0">
        <w:rPr>
          <w:rFonts w:eastAsiaTheme="minorEastAsia"/>
          <w:lang w:val="en-US"/>
        </w:rPr>
        <w:t xml:space="preserve"> is reached by modifying the AlGaAs chromatic dispersion</w:t>
      </w:r>
      <w:r w:rsidR="00EA0C9C">
        <w:rPr>
          <w:rFonts w:eastAsiaTheme="minorEastAsia"/>
          <w:lang w:val="en-US"/>
        </w:rPr>
        <w:t xml:space="preserve"> and therefore it is not a realistic scenario</w:t>
      </w:r>
      <w:r w:rsidR="000D76F0">
        <w:rPr>
          <w:rFonts w:eastAsiaTheme="minorEastAsia"/>
          <w:lang w:val="en-US"/>
        </w:rPr>
        <w:t>, there are modal phase matching techniques, based on the engineering of the modal dispersion</w:t>
      </w:r>
      <w:r w:rsidR="00EA0C9C">
        <w:rPr>
          <w:rFonts w:eastAsiaTheme="minorEastAsia"/>
          <w:lang w:val="en-US"/>
        </w:rPr>
        <w:t xml:space="preserve"> by properly designing the waveguide cross section and selecting different modes for the fundamental and SH</w:t>
      </w:r>
      <w:r w:rsidR="000D76F0">
        <w:rPr>
          <w:rFonts w:eastAsiaTheme="minorEastAsia"/>
          <w:lang w:val="en-US"/>
        </w:rPr>
        <w:t xml:space="preserve">, able to provide </w:t>
      </w:r>
      <w:r w:rsidR="00EA0C9C">
        <w:rPr>
          <w:rFonts w:eastAsiaTheme="minorEastAsia"/>
          <w:lang w:val="en-US"/>
        </w:rPr>
        <w:t xml:space="preserve">phase-matching </w:t>
      </w:r>
      <w:r w:rsidR="000D76F0">
        <w:rPr>
          <w:rFonts w:eastAsiaTheme="minorEastAsia"/>
          <w:lang w:val="en-US"/>
        </w:rPr>
        <w:t xml:space="preserve">conditions of SHG similar to those reported in Fig. xxx (c) and (d). </w:t>
      </w:r>
    </w:p>
    <w:p w14:paraId="51FA6817" w14:textId="4DA97AED" w:rsidR="00070A3A" w:rsidRDefault="005D4AF2">
      <w:pPr>
        <w:rPr>
          <w:rFonts w:eastAsiaTheme="minorEastAsia"/>
          <w:lang w:val="en-US"/>
        </w:rPr>
      </w:pPr>
      <w:r>
        <w:rPr>
          <w:rFonts w:eastAsiaTheme="minorEastAsia"/>
          <w:lang w:val="en-US"/>
        </w:rPr>
        <w:t xml:space="preserve"> </w:t>
      </w:r>
      <w:r w:rsidR="00070A3A">
        <w:rPr>
          <w:rFonts w:eastAsiaTheme="minorEastAsia"/>
          <w:lang w:val="en-US"/>
        </w:rPr>
        <w:t xml:space="preserve"> </w:t>
      </w:r>
      <w:r>
        <w:rPr>
          <w:rFonts w:eastAsiaTheme="minorEastAsia"/>
          <w:noProof/>
          <w:lang w:val="en-US"/>
        </w:rPr>
        <w:drawing>
          <wp:inline distT="0" distB="0" distL="0" distR="0" wp14:anchorId="113F6A05" wp14:editId="2B583142">
            <wp:extent cx="5925844" cy="2847975"/>
            <wp:effectExtent l="0" t="0" r="0" b="0"/>
            <wp:docPr id="8305318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653" cy="2852689"/>
                    </a:xfrm>
                    <a:prstGeom prst="rect">
                      <a:avLst/>
                    </a:prstGeom>
                    <a:noFill/>
                  </pic:spPr>
                </pic:pic>
              </a:graphicData>
            </a:graphic>
          </wp:inline>
        </w:drawing>
      </w:r>
    </w:p>
    <w:p w14:paraId="30F85D7F" w14:textId="780EA414" w:rsidR="005D4AF2" w:rsidRPr="00EA0C9C" w:rsidRDefault="005D4AF2">
      <w:pPr>
        <w:rPr>
          <w:rFonts w:eastAsiaTheme="minorEastAsia"/>
          <w:sz w:val="18"/>
          <w:szCs w:val="18"/>
          <w:lang w:val="en-US"/>
        </w:rPr>
      </w:pPr>
      <w:r w:rsidRPr="00EA0C9C">
        <w:rPr>
          <w:rFonts w:eastAsiaTheme="minorEastAsia"/>
          <w:sz w:val="18"/>
          <w:szCs w:val="18"/>
          <w:lang w:val="en-US"/>
        </w:rPr>
        <w:t xml:space="preserve">Fig. xxx. SHG from a homogeneous waveguide with 1d confinement. The cross section of the waveguide is made of two cores of AlGaAs, separated by a gap. In (a) and (b) we report the field intensity at the pump (a) and SH (b) using the actual dispersion data of the AlGaAs index (n=3.2837 at the fundamental wavelength and n=3.5607 at the SH wavelength): The dispersion of AlGaAs result in a phase-mismatched SHG process. </w:t>
      </w:r>
      <w:r w:rsidRPr="00EA0C9C">
        <w:rPr>
          <w:rFonts w:eastAsiaTheme="minorEastAsia"/>
          <w:sz w:val="18"/>
          <w:szCs w:val="18"/>
          <w:lang w:val="en-US"/>
        </w:rPr>
        <w:t>. In (</w:t>
      </w:r>
      <w:r w:rsidRPr="00EA0C9C">
        <w:rPr>
          <w:rFonts w:eastAsiaTheme="minorEastAsia"/>
          <w:sz w:val="18"/>
          <w:szCs w:val="18"/>
          <w:lang w:val="en-US"/>
        </w:rPr>
        <w:t>c</w:t>
      </w:r>
      <w:r w:rsidRPr="00EA0C9C">
        <w:rPr>
          <w:rFonts w:eastAsiaTheme="minorEastAsia"/>
          <w:sz w:val="18"/>
          <w:szCs w:val="18"/>
          <w:lang w:val="en-US"/>
        </w:rPr>
        <w:t>) and (</w:t>
      </w:r>
      <w:r w:rsidRPr="00EA0C9C">
        <w:rPr>
          <w:rFonts w:eastAsiaTheme="minorEastAsia"/>
          <w:sz w:val="18"/>
          <w:szCs w:val="18"/>
          <w:lang w:val="en-US"/>
        </w:rPr>
        <w:t>d</w:t>
      </w:r>
      <w:r w:rsidRPr="00EA0C9C">
        <w:rPr>
          <w:rFonts w:eastAsiaTheme="minorEastAsia"/>
          <w:sz w:val="18"/>
          <w:szCs w:val="18"/>
          <w:lang w:val="en-US"/>
        </w:rPr>
        <w:t xml:space="preserve">) we report the field intensity at the pump (a) and SH (b) using </w:t>
      </w:r>
      <w:r w:rsidRPr="00EA0C9C">
        <w:rPr>
          <w:rFonts w:eastAsiaTheme="minorEastAsia"/>
          <w:sz w:val="18"/>
          <w:szCs w:val="18"/>
          <w:lang w:val="en-US"/>
        </w:rPr>
        <w:t>a hypothetical AlGaAs-like material</w:t>
      </w:r>
      <w:r w:rsidRPr="00EA0C9C">
        <w:rPr>
          <w:rFonts w:eastAsiaTheme="minorEastAsia"/>
          <w:sz w:val="18"/>
          <w:szCs w:val="18"/>
          <w:lang w:val="en-US"/>
        </w:rPr>
        <w:t xml:space="preserve"> (n=3.2837 at the fundamental wavelength and n=</w:t>
      </w:r>
      <w:r w:rsidRPr="00EA0C9C">
        <w:rPr>
          <w:rFonts w:eastAsiaTheme="minorEastAsia"/>
          <w:sz w:val="18"/>
          <w:szCs w:val="18"/>
          <w:lang w:val="en-US"/>
        </w:rPr>
        <w:t>2.975</w:t>
      </w:r>
      <w:r w:rsidRPr="00EA0C9C">
        <w:rPr>
          <w:rFonts w:eastAsiaTheme="minorEastAsia"/>
          <w:sz w:val="18"/>
          <w:szCs w:val="18"/>
          <w:lang w:val="en-US"/>
        </w:rPr>
        <w:t xml:space="preserve"> at the SH wavelength)</w:t>
      </w:r>
      <w:r w:rsidRPr="00EA0C9C">
        <w:rPr>
          <w:rFonts w:eastAsiaTheme="minorEastAsia"/>
          <w:sz w:val="18"/>
          <w:szCs w:val="18"/>
          <w:lang w:val="en-US"/>
        </w:rPr>
        <w:t xml:space="preserve">, which allows phase-matching, i.e., fundamental and SH modes have the same effective index, resulting in </w:t>
      </w:r>
      <w:r w:rsidRPr="00EA0C9C">
        <w:rPr>
          <w:rFonts w:eastAsiaTheme="minorEastAsia"/>
          <w:sz w:val="18"/>
          <w:szCs w:val="18"/>
          <w:lang w:val="en-US"/>
        </w:rPr>
        <w:t xml:space="preserve">a phase-matched SHG process. </w:t>
      </w:r>
    </w:p>
    <w:p w14:paraId="759FD1DB" w14:textId="34BEA57C" w:rsidR="0069265F" w:rsidRDefault="00C7020E">
      <w:pPr>
        <w:rPr>
          <w:rFonts w:eastAsiaTheme="minorEastAsia"/>
          <w:lang w:val="en-US"/>
        </w:rPr>
      </w:pPr>
      <w:r>
        <w:rPr>
          <w:rFonts w:eastAsiaTheme="minorEastAsia"/>
          <w:lang w:val="en-US"/>
        </w:rPr>
        <w:t xml:space="preserve">It is well known that a inhomogeneous structure – a structure in which the optical properties vary in the propagation direct – may show second harmonic </w:t>
      </w:r>
      <w:r w:rsidR="00EA0C9C">
        <w:rPr>
          <w:rFonts w:eastAsiaTheme="minorEastAsia"/>
          <w:lang w:val="en-US"/>
        </w:rPr>
        <w:t>intensity</w:t>
      </w:r>
      <w:r>
        <w:rPr>
          <w:rFonts w:eastAsiaTheme="minorEastAsia"/>
          <w:lang w:val="en-US"/>
        </w:rPr>
        <w:t xml:space="preserve"> that grows faster than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oMath>
      <w:r>
        <w:rPr>
          <w:rFonts w:eastAsiaTheme="minorEastAsia"/>
          <w:lang w:val="en-US"/>
        </w:rPr>
        <w:t xml:space="preserve">. A noteworthy example </w:t>
      </w:r>
      <w:r w:rsidR="009D10CA">
        <w:rPr>
          <w:rFonts w:eastAsiaTheme="minorEastAsia"/>
          <w:lang w:val="en-US"/>
        </w:rPr>
        <w:t>are</w:t>
      </w:r>
      <w:r>
        <w:rPr>
          <w:rFonts w:eastAsiaTheme="minorEastAsia"/>
          <w:lang w:val="en-US"/>
        </w:rPr>
        <w:t xml:space="preserve"> photonic crystals in which both the pump and the harmonic signals </w:t>
      </w:r>
      <w:r w:rsidR="00C93FAD">
        <w:rPr>
          <w:rFonts w:eastAsiaTheme="minorEastAsia"/>
          <w:lang w:val="en-US"/>
        </w:rPr>
        <w:t>may be</w:t>
      </w:r>
      <w:r>
        <w:rPr>
          <w:rFonts w:eastAsiaTheme="minorEastAsia"/>
          <w:lang w:val="en-US"/>
        </w:rPr>
        <w:t xml:space="preserve"> tuned at the edge</w:t>
      </w:r>
      <w:r w:rsidR="00C93FAD">
        <w:rPr>
          <w:rFonts w:eastAsiaTheme="minorEastAsia"/>
          <w:lang w:val="en-US"/>
        </w:rPr>
        <w:t>s of photonic band gaps</w:t>
      </w:r>
      <w:r>
        <w:rPr>
          <w:rFonts w:eastAsiaTheme="minorEastAsia"/>
          <w:lang w:val="en-US"/>
        </w:rPr>
        <w:t xml:space="preserve">. </w:t>
      </w:r>
      <w:r w:rsidR="00C93FAD">
        <w:rPr>
          <w:rFonts w:eastAsiaTheme="minorEastAsia"/>
          <w:lang w:val="en-US"/>
        </w:rPr>
        <w:t>The enhancement in conversion efficiency with respect to homogeneous structures originates from the (longitudinal)</w:t>
      </w:r>
      <w:r w:rsidR="009D10CA">
        <w:rPr>
          <w:rFonts w:eastAsiaTheme="minorEastAsia"/>
          <w:lang w:val="en-US"/>
        </w:rPr>
        <w:t xml:space="preserve"> distributed</w:t>
      </w:r>
      <w:r w:rsidR="00C93FAD">
        <w:rPr>
          <w:rFonts w:eastAsiaTheme="minorEastAsia"/>
          <w:lang w:val="en-US"/>
        </w:rPr>
        <w:t xml:space="preserve"> resonances for the interacting fields</w:t>
      </w:r>
      <w:r w:rsidR="009D10CA">
        <w:rPr>
          <w:rFonts w:eastAsiaTheme="minorEastAsia"/>
          <w:lang w:val="en-US"/>
        </w:rPr>
        <w:t>, which provide a field enhancement effect</w:t>
      </w:r>
      <w:r w:rsidR="00C93FAD">
        <w:rPr>
          <w:rFonts w:eastAsiaTheme="minorEastAsia"/>
          <w:lang w:val="en-US"/>
        </w:rPr>
        <w:t>.</w:t>
      </w:r>
      <w:r w:rsidR="009D10CA">
        <w:rPr>
          <w:rFonts w:eastAsiaTheme="minorEastAsia"/>
          <w:lang w:val="en-US"/>
        </w:rPr>
        <w:t xml:space="preserve"> Under resonance conditions,</w:t>
      </w:r>
      <w:r w:rsidR="00C93FAD">
        <w:rPr>
          <w:rFonts w:eastAsiaTheme="minorEastAsia"/>
          <w:lang w:val="en-US"/>
        </w:rPr>
        <w:t xml:space="preserve"> </w:t>
      </w:r>
      <w:r w:rsidR="009D10CA">
        <w:rPr>
          <w:rFonts w:eastAsiaTheme="minorEastAsia"/>
          <w:lang w:val="en-US"/>
        </w:rPr>
        <w:t xml:space="preserve">a </w:t>
      </w:r>
      <w:r w:rsidR="00C93FAD">
        <w:rPr>
          <w:rFonts w:eastAsiaTheme="minorEastAsia"/>
          <w:lang w:val="en-US"/>
        </w:rPr>
        <w:t xml:space="preserve">correction factor in the expression of the overlap integral </w:t>
      </w:r>
      <w:r w:rsidR="009D10CA">
        <w:rPr>
          <w:rFonts w:eastAsiaTheme="minorEastAsia"/>
          <w:lang w:val="en-US"/>
        </w:rPr>
        <w:t>must be introduced</w:t>
      </w:r>
      <w:r w:rsidR="00C93FAD">
        <w:rPr>
          <w:rFonts w:eastAsiaTheme="minorEastAsia"/>
          <w:lang w:val="en-US"/>
        </w:rPr>
        <w:t xml:space="preserve">, i.e.  </w:t>
      </w:r>
      <m:oMath>
        <m:r>
          <w:rPr>
            <w:rFonts w:ascii="Cambria Math" w:hAnsi="Cambria Math"/>
            <w:lang w:val="en-US"/>
          </w:rPr>
          <m:t>η</m:t>
        </m:r>
        <m:r>
          <w:rPr>
            <w:rFonts w:ascii="Cambria Math" w:hAnsi="Cambria Math"/>
            <w:lang w:val="en-US"/>
          </w:rPr>
          <m:t>→</m:t>
        </m:r>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ω</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2ω</m:t>
            </m:r>
          </m:sub>
        </m:sSub>
      </m:oMath>
      <w:r w:rsidR="009D10CA">
        <w:rPr>
          <w:rFonts w:eastAsiaTheme="minorEastAsia"/>
          <w:lang w:val="en-US"/>
        </w:rPr>
        <w:t>, which accounts for the quality factors of the resonances available at the fundamental and second-harmonic frequencies.</w:t>
      </w:r>
      <w:r w:rsidR="00E357D2">
        <w:rPr>
          <w:rFonts w:eastAsiaTheme="minorEastAsia"/>
          <w:lang w:val="en-US"/>
        </w:rPr>
        <w:t xml:space="preserve"> Since the quality factor may increase with the length </w:t>
      </w:r>
      <m:oMath>
        <m:r>
          <w:rPr>
            <w:rFonts w:ascii="Cambria Math" w:eastAsiaTheme="minorEastAsia" w:hAnsi="Cambria Math"/>
            <w:lang w:val="en-US"/>
          </w:rPr>
          <m:t>L</m:t>
        </m:r>
      </m:oMath>
      <w:r w:rsidR="00E357D2">
        <w:rPr>
          <w:rFonts w:eastAsiaTheme="minorEastAsia"/>
          <w:lang w:val="en-US"/>
        </w:rPr>
        <w:t xml:space="preserve"> of the structure, the second harmonic power may grow more rapidly than </w:t>
      </w:r>
      <m:oMath>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2</m:t>
            </m:r>
          </m:sup>
        </m:sSup>
      </m:oMath>
      <w:r w:rsidR="009D10CA">
        <w:rPr>
          <w:rFonts w:eastAsiaTheme="minorEastAsia"/>
          <w:lang w:val="en-US"/>
        </w:rPr>
        <w:t xml:space="preserve">. </w:t>
      </w:r>
    </w:p>
    <w:p w14:paraId="61F3FF70" w14:textId="0B9D5A83" w:rsidR="00C7020E" w:rsidRDefault="0069265F">
      <w:pPr>
        <w:rPr>
          <w:rFonts w:eastAsiaTheme="minorEastAsia"/>
          <w:lang w:val="en-US"/>
        </w:rPr>
      </w:pPr>
      <w:r>
        <w:rPr>
          <w:rFonts w:eastAsiaTheme="minorEastAsia"/>
          <w:lang w:val="en-US"/>
        </w:rPr>
        <w:t>The two key aspects to consider in the degenerate band edge system are: phase matching between fundamental and second-harmonic signals and quality factors at both the fundamental and second-harmonic frequencies.</w:t>
      </w:r>
    </w:p>
    <w:p w14:paraId="3DFF237C" w14:textId="2CB1C5C7" w:rsidR="00AD02F3" w:rsidRDefault="00AD02F3">
      <w:pPr>
        <w:rPr>
          <w:rFonts w:eastAsiaTheme="minorEastAsia"/>
          <w:lang w:val="en-US"/>
        </w:rPr>
      </w:pPr>
      <w:r>
        <w:rPr>
          <w:rFonts w:eastAsiaTheme="minorEastAsia"/>
          <w:lang w:val="en-US"/>
        </w:rPr>
        <w:t xml:space="preserve">We consider the following structure: waveguide widths 200nm, gap of 200nm, teeth widths of 214nm, periodicity 270nm, teeth shift equal to half the periodicity. The periodic structure shows a degenerate band gap at 191.2 THz, as shown in Fig. xxxx (left). While the Bloch modes at the FF are bound (eigenfrequencies are real), all the Bloch modes at the SH are leaky (complex eigenfrequencies) and therefore they radiate energy into the cladding. This is not an ideal </w:t>
      </w:r>
      <w:r w:rsidR="00044A47">
        <w:rPr>
          <w:rFonts w:eastAsiaTheme="minorEastAsia"/>
          <w:lang w:val="en-US"/>
        </w:rPr>
        <w:t>condition</w:t>
      </w:r>
      <w:r>
        <w:rPr>
          <w:rFonts w:eastAsiaTheme="minorEastAsia"/>
          <w:lang w:val="en-US"/>
        </w:rPr>
        <w:t xml:space="preserve"> for SHG, since, even </w:t>
      </w:r>
      <w:r>
        <w:rPr>
          <w:rFonts w:eastAsiaTheme="minorEastAsia"/>
          <w:lang w:val="en-US"/>
        </w:rPr>
        <w:lastRenderedPageBreak/>
        <w:t xml:space="preserve">though the intensity of the FF signal is boosted due to the band edge effect, </w:t>
      </w:r>
      <w:r w:rsidR="000B6406">
        <w:rPr>
          <w:rFonts w:eastAsiaTheme="minorEastAsia"/>
          <w:lang w:val="en-US"/>
        </w:rPr>
        <w:t>and therefore the SH source</w:t>
      </w:r>
      <w:r w:rsidR="00044A47">
        <w:rPr>
          <w:rFonts w:eastAsiaTheme="minorEastAsia"/>
          <w:lang w:val="en-US"/>
        </w:rPr>
        <w:t>s</w:t>
      </w:r>
      <w:r w:rsidR="000B6406">
        <w:rPr>
          <w:rFonts w:eastAsiaTheme="minorEastAsia"/>
          <w:lang w:val="en-US"/>
        </w:rPr>
        <w:t xml:space="preserve"> are highly intense, the radiation towards the waveguide structure (x direction) </w:t>
      </w:r>
      <w:r w:rsidR="000B6406">
        <w:rPr>
          <w:rFonts w:eastAsiaTheme="minorEastAsia"/>
          <w:lang w:val="en-US"/>
        </w:rPr>
        <w:t>may be not efficient</w:t>
      </w:r>
      <w:r w:rsidR="000B6406">
        <w:rPr>
          <w:rFonts w:eastAsiaTheme="minorEastAsia"/>
          <w:lang w:val="en-US"/>
        </w:rPr>
        <w:t>.</w:t>
      </w:r>
      <w:r>
        <w:rPr>
          <w:rFonts w:eastAsiaTheme="minorEastAsia"/>
          <w:lang w:val="en-US"/>
        </w:rPr>
        <w:t xml:space="preserve"> </w:t>
      </w:r>
    </w:p>
    <w:p w14:paraId="5C6A2305" w14:textId="3F562B4D" w:rsidR="00AD02F3" w:rsidRDefault="00AD02F3" w:rsidP="00AD02F3">
      <w:pPr>
        <w:jc w:val="center"/>
        <w:rPr>
          <w:rFonts w:eastAsiaTheme="minorEastAsia"/>
          <w:lang w:val="en-US"/>
        </w:rPr>
      </w:pPr>
      <w:r>
        <w:rPr>
          <w:rFonts w:eastAsiaTheme="minorEastAsia"/>
          <w:noProof/>
        </w:rPr>
        <w:drawing>
          <wp:inline distT="0" distB="0" distL="0" distR="0" wp14:anchorId="0A552D93" wp14:editId="4E0B6F77">
            <wp:extent cx="5648325" cy="2790476"/>
            <wp:effectExtent l="0" t="0" r="0" b="0"/>
            <wp:docPr id="137004949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5947" cy="2794241"/>
                    </a:xfrm>
                    <a:prstGeom prst="rect">
                      <a:avLst/>
                    </a:prstGeom>
                    <a:noFill/>
                  </pic:spPr>
                </pic:pic>
              </a:graphicData>
            </a:graphic>
          </wp:inline>
        </w:drawing>
      </w:r>
      <w:r w:rsidRPr="00AD02F3">
        <w:rPr>
          <w:rFonts w:eastAsiaTheme="minorEastAsia"/>
          <w:lang w:val="en-US"/>
        </w:rPr>
        <w:t xml:space="preserve"> </w:t>
      </w:r>
    </w:p>
    <w:p w14:paraId="3B0D45E0" w14:textId="18BB7F98" w:rsidR="00AD02F3" w:rsidRDefault="00AD02F3" w:rsidP="00AD02F3">
      <w:pPr>
        <w:jc w:val="center"/>
        <w:rPr>
          <w:rFonts w:eastAsiaTheme="minorEastAsia"/>
          <w:lang w:val="en-US"/>
        </w:rPr>
      </w:pPr>
      <w:r>
        <w:rPr>
          <w:rFonts w:eastAsiaTheme="minorEastAsia"/>
          <w:lang w:val="en-US"/>
        </w:rPr>
        <w:t>Fig. xxxx</w:t>
      </w:r>
      <w:r>
        <w:rPr>
          <w:rFonts w:eastAsiaTheme="minorEastAsia"/>
          <w:lang w:val="en-US"/>
        </w:rPr>
        <w:t xml:space="preserve"> Dispersion diagram of the structure near the FF (left) and near the SH frequency (right). </w:t>
      </w:r>
    </w:p>
    <w:p w14:paraId="0D8CBD6C" w14:textId="193662B6" w:rsidR="000B6406" w:rsidRDefault="000B6406">
      <w:pPr>
        <w:rPr>
          <w:rFonts w:eastAsiaTheme="minorEastAsia"/>
          <w:lang w:val="en-US"/>
        </w:rPr>
      </w:pPr>
      <w:r>
        <w:rPr>
          <w:rFonts w:eastAsiaTheme="minorEastAsia"/>
          <w:lang w:val="en-US"/>
        </w:rPr>
        <w:t>We now consider a finite structure with 120 periods. The pump is coupled to one of the transverse modes of the structure</w:t>
      </w:r>
      <w:r w:rsidR="00044A47">
        <w:rPr>
          <w:rFonts w:eastAsiaTheme="minorEastAsia"/>
          <w:lang w:val="en-US"/>
        </w:rPr>
        <w:t xml:space="preserve"> at the input cross section</w:t>
      </w:r>
      <w:r>
        <w:rPr>
          <w:rFonts w:eastAsiaTheme="minorEastAsia"/>
          <w:lang w:val="en-US"/>
        </w:rPr>
        <w:t xml:space="preserve">, as illustrated in Fig. xxxxx. In particular we consider the mode </w:t>
      </w:r>
      <w:r w:rsidR="00044A47">
        <w:rPr>
          <w:rFonts w:eastAsiaTheme="minorEastAsia"/>
          <w:lang w:val="en-US"/>
        </w:rPr>
        <w:t xml:space="preserve">that is </w:t>
      </w:r>
      <w:r>
        <w:rPr>
          <w:rFonts w:eastAsiaTheme="minorEastAsia"/>
          <w:lang w:val="en-US"/>
        </w:rPr>
        <w:t xml:space="preserve">mostly localized in the bottom waveguide. </w:t>
      </w:r>
    </w:p>
    <w:p w14:paraId="5B0B608B" w14:textId="0854FCE0" w:rsidR="000B6406" w:rsidRDefault="000B6406" w:rsidP="000B6406">
      <w:pPr>
        <w:jc w:val="center"/>
        <w:rPr>
          <w:rFonts w:eastAsiaTheme="minorEastAsia"/>
          <w:lang w:val="en-US"/>
        </w:rPr>
      </w:pPr>
      <w:r>
        <w:rPr>
          <w:rFonts w:eastAsiaTheme="minorEastAsia"/>
          <w:noProof/>
          <w:lang w:val="en-US"/>
        </w:rPr>
        <w:drawing>
          <wp:inline distT="0" distB="0" distL="0" distR="0" wp14:anchorId="0DFBD7FF" wp14:editId="42B84EEA">
            <wp:extent cx="4008755" cy="4056099"/>
            <wp:effectExtent l="0" t="0" r="0" b="0"/>
            <wp:docPr id="15115478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5013" cy="4062431"/>
                    </a:xfrm>
                    <a:prstGeom prst="rect">
                      <a:avLst/>
                    </a:prstGeom>
                    <a:noFill/>
                  </pic:spPr>
                </pic:pic>
              </a:graphicData>
            </a:graphic>
          </wp:inline>
        </w:drawing>
      </w:r>
    </w:p>
    <w:p w14:paraId="69358BC7" w14:textId="4145D7F3" w:rsidR="000B6406" w:rsidRDefault="000B6406" w:rsidP="000B6406">
      <w:pPr>
        <w:jc w:val="center"/>
        <w:rPr>
          <w:rFonts w:eastAsiaTheme="minorEastAsia"/>
          <w:lang w:val="en-US"/>
        </w:rPr>
      </w:pPr>
      <w:r>
        <w:rPr>
          <w:rFonts w:eastAsiaTheme="minorEastAsia"/>
          <w:lang w:val="en-US"/>
        </w:rPr>
        <w:t>Fig. xxxxx</w:t>
      </w:r>
      <w:r>
        <w:rPr>
          <w:rFonts w:eastAsiaTheme="minorEastAsia"/>
          <w:lang w:val="en-US"/>
        </w:rPr>
        <w:t xml:space="preserve"> Structure under investigation (above) and excitation (below) </w:t>
      </w:r>
    </w:p>
    <w:p w14:paraId="4223A062" w14:textId="432492D8" w:rsidR="00474805" w:rsidRDefault="000B6406">
      <w:pPr>
        <w:rPr>
          <w:rFonts w:eastAsiaTheme="minorEastAsia"/>
          <w:lang w:val="en-US"/>
        </w:rPr>
      </w:pPr>
      <w:r>
        <w:rPr>
          <w:rFonts w:eastAsiaTheme="minorEastAsia"/>
          <w:lang w:val="en-US"/>
        </w:rPr>
        <w:lastRenderedPageBreak/>
        <w:t xml:space="preserve">First, we calculate the linear power transmission near the fundamental frequency of the expected band edge. The input power is 1 W and the transmission is calculated by integrating the Poynting vector </w:t>
      </w:r>
      <w:r w:rsidR="00044A47">
        <w:rPr>
          <w:rFonts w:eastAsiaTheme="minorEastAsia"/>
          <w:lang w:val="en-US"/>
        </w:rPr>
        <w:t xml:space="preserve">of the FF field </w:t>
      </w:r>
      <w:r>
        <w:rPr>
          <w:rFonts w:eastAsiaTheme="minorEastAsia"/>
          <w:lang w:val="en-US"/>
        </w:rPr>
        <w:t xml:space="preserve">along the x direction (propagation direction). As shown in Fig. x6, the  </w:t>
      </w:r>
      <w:r w:rsidR="00646627">
        <w:rPr>
          <w:rFonts w:eastAsiaTheme="minorEastAsia"/>
          <w:lang w:val="en-US"/>
        </w:rPr>
        <w:t>transmission shows a high-quality factor resonance centered at 191.2 THz (Q factor of approximately 6000)</w:t>
      </w:r>
      <w:r w:rsidR="00B20C3A">
        <w:rPr>
          <w:rFonts w:eastAsiaTheme="minorEastAsia"/>
          <w:lang w:val="en-US"/>
        </w:rPr>
        <w:t>, where the band edge of the Bloch dispersion diagram occurs, and a forbidden band above this frequency.</w:t>
      </w:r>
    </w:p>
    <w:p w14:paraId="6CCBE1A9" w14:textId="445D78F5" w:rsidR="00646627" w:rsidRDefault="00646627" w:rsidP="00646627">
      <w:pPr>
        <w:jc w:val="center"/>
        <w:rPr>
          <w:rFonts w:eastAsiaTheme="minorEastAsia"/>
          <w:lang w:val="en-US"/>
        </w:rPr>
      </w:pPr>
      <w:r>
        <w:rPr>
          <w:rFonts w:eastAsiaTheme="minorEastAsia"/>
          <w:noProof/>
          <w:lang w:val="en-US"/>
        </w:rPr>
        <w:drawing>
          <wp:inline distT="0" distB="0" distL="0" distR="0" wp14:anchorId="7387E978" wp14:editId="38AA78F6">
            <wp:extent cx="3148593" cy="2178127"/>
            <wp:effectExtent l="0" t="0" r="0" b="0"/>
            <wp:docPr id="17306045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116" cy="2181948"/>
                    </a:xfrm>
                    <a:prstGeom prst="rect">
                      <a:avLst/>
                    </a:prstGeom>
                    <a:noFill/>
                  </pic:spPr>
                </pic:pic>
              </a:graphicData>
            </a:graphic>
          </wp:inline>
        </w:drawing>
      </w:r>
    </w:p>
    <w:p w14:paraId="39B33ED3" w14:textId="59C45735" w:rsidR="00646627" w:rsidRDefault="00646627">
      <w:pPr>
        <w:rPr>
          <w:rFonts w:eastAsiaTheme="minorEastAsia"/>
          <w:lang w:val="en-US"/>
        </w:rPr>
      </w:pPr>
      <w:r>
        <w:rPr>
          <w:rFonts w:eastAsiaTheme="minorEastAsia"/>
          <w:lang w:val="en-US"/>
        </w:rPr>
        <w:t>Fig. x6 Power transmission of the structure under investigation</w:t>
      </w:r>
      <w:r w:rsidR="00B20C3A">
        <w:rPr>
          <w:rFonts w:eastAsiaTheme="minorEastAsia"/>
          <w:lang w:val="en-US"/>
        </w:rPr>
        <w:t xml:space="preserve">. </w:t>
      </w:r>
    </w:p>
    <w:p w14:paraId="212981CA" w14:textId="77777777" w:rsidR="000B6406" w:rsidRDefault="000B6406">
      <w:pPr>
        <w:rPr>
          <w:lang w:val="en-US"/>
        </w:rPr>
      </w:pPr>
    </w:p>
    <w:p w14:paraId="4E720A00" w14:textId="3D9DAB7E" w:rsidR="00B20C3A" w:rsidRDefault="00A22BFF" w:rsidP="00A22BFF">
      <w:pPr>
        <w:jc w:val="center"/>
        <w:rPr>
          <w:lang w:val="en-US"/>
        </w:rPr>
      </w:pPr>
      <w:r>
        <w:rPr>
          <w:noProof/>
          <w:lang w:val="en-US"/>
        </w:rPr>
        <w:drawing>
          <wp:inline distT="0" distB="0" distL="0" distR="0" wp14:anchorId="15A74C90" wp14:editId="333BDA86">
            <wp:extent cx="4055822" cy="3367973"/>
            <wp:effectExtent l="0" t="0" r="0" b="4445"/>
            <wp:docPr id="4631589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4336" cy="3375043"/>
                    </a:xfrm>
                    <a:prstGeom prst="rect">
                      <a:avLst/>
                    </a:prstGeom>
                    <a:noFill/>
                  </pic:spPr>
                </pic:pic>
              </a:graphicData>
            </a:graphic>
          </wp:inline>
        </w:drawing>
      </w:r>
    </w:p>
    <w:p w14:paraId="1EF1D001" w14:textId="630AE457" w:rsidR="00A22BFF" w:rsidRDefault="00A22BFF" w:rsidP="00A22BFF">
      <w:pPr>
        <w:rPr>
          <w:rFonts w:eastAsiaTheme="minorEastAsia"/>
          <w:lang w:val="en-US"/>
        </w:rPr>
      </w:pPr>
      <w:r>
        <w:rPr>
          <w:rFonts w:eastAsiaTheme="minorEastAsia"/>
          <w:lang w:val="en-US"/>
        </w:rPr>
        <w:t>Fig. x</w:t>
      </w:r>
      <w:r>
        <w:rPr>
          <w:rFonts w:eastAsiaTheme="minorEastAsia"/>
          <w:lang w:val="en-US"/>
        </w:rPr>
        <w:t>7</w:t>
      </w:r>
      <w:r>
        <w:rPr>
          <w:rFonts w:eastAsiaTheme="minorEastAsia"/>
          <w:lang w:val="en-US"/>
        </w:rPr>
        <w:t xml:space="preserve"> </w:t>
      </w:r>
      <w:r>
        <w:rPr>
          <w:rFonts w:eastAsiaTheme="minorEastAsia"/>
          <w:lang w:val="en-US"/>
        </w:rPr>
        <w:t>FF and SH field intensity distribution</w:t>
      </w:r>
      <w:r>
        <w:rPr>
          <w:rFonts w:eastAsiaTheme="minorEastAsia"/>
          <w:lang w:val="en-US"/>
        </w:rPr>
        <w:t xml:space="preserve"> </w:t>
      </w:r>
    </w:p>
    <w:p w14:paraId="7480EFFF" w14:textId="49FD9908" w:rsidR="00044A47" w:rsidRDefault="008A2235" w:rsidP="00A22BFF">
      <w:pPr>
        <w:rPr>
          <w:rFonts w:eastAsiaTheme="minorEastAsia"/>
          <w:lang w:val="en-US"/>
        </w:rPr>
      </w:pPr>
      <w:r>
        <w:rPr>
          <w:rFonts w:eastAsiaTheme="minorEastAsia"/>
          <w:lang w:val="en-US"/>
        </w:rPr>
        <w:t xml:space="preserve">Even though the local SH field intensity distribution is larger than in the case of the straight (homogeneous) waveguide, the overall efficiency </w:t>
      </w:r>
      <m:oMath>
        <m:r>
          <w:rPr>
            <w:rFonts w:ascii="Cambria Math" w:eastAsiaTheme="minorEastAsia" w:hAnsi="Cambria Math"/>
            <w:lang w:val="en-US"/>
          </w:rPr>
          <m:t>η</m:t>
        </m:r>
      </m:oMath>
      <w:r>
        <w:rPr>
          <w:rFonts w:eastAsiaTheme="minorEastAsia"/>
          <w:lang w:val="en-US"/>
        </w:rPr>
        <w:t>, measured by integrating the output SH power in transmission (along x, the propagation direction of the waveguide) is 3 orders of magnitude smaller</w:t>
      </w:r>
      <w:r w:rsidR="00044A47">
        <w:rPr>
          <w:rFonts w:eastAsiaTheme="minorEastAsia"/>
          <w:lang w:val="en-US"/>
        </w:rPr>
        <w:t xml:space="preserve">, </w:t>
      </w:r>
      <m:oMath>
        <m:r>
          <w:rPr>
            <w:rFonts w:ascii="Cambria Math" w:eastAsiaTheme="minorEastAsia" w:hAnsi="Cambria Math"/>
            <w:lang w:val="en-US"/>
          </w:rPr>
          <m:t>η</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-1</m:t>
            </m:r>
          </m:sup>
        </m:sSup>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-1</m:t>
            </m:r>
          </m:sup>
        </m:sSup>
      </m:oMath>
      <w:r>
        <w:rPr>
          <w:rFonts w:eastAsiaTheme="minorEastAsia"/>
          <w:lang w:val="en-US"/>
        </w:rPr>
        <w:t>.</w:t>
      </w:r>
      <w:r w:rsidR="00044A47">
        <w:rPr>
          <w:rFonts w:eastAsiaTheme="minorEastAsia"/>
          <w:lang w:val="en-US"/>
        </w:rPr>
        <w:t xml:space="preserve"> A closer look at the field distribution shows that the structure is mostly emitted towards the cladding.</w:t>
      </w:r>
    </w:p>
    <w:p w14:paraId="36882980" w14:textId="69B58A20" w:rsidR="008A2235" w:rsidRDefault="00044A47" w:rsidP="00A22BFF">
      <w:pPr>
        <w:rPr>
          <w:rFonts w:eastAsiaTheme="minorEastAsia"/>
          <w:lang w:val="en-US"/>
        </w:rPr>
      </w:pPr>
      <w:r>
        <w:rPr>
          <w:rFonts w:eastAsiaTheme="minorEastAsia"/>
          <w:lang w:val="en-US"/>
        </w:rPr>
        <w:lastRenderedPageBreak/>
        <w:t xml:space="preserve"> </w:t>
      </w:r>
    </w:p>
    <w:p w14:paraId="3E8E10EC" w14:textId="14F69C74" w:rsidR="00044A47" w:rsidRDefault="00044A47" w:rsidP="00044A47">
      <w:pPr>
        <w:jc w:val="center"/>
        <w:rPr>
          <w:rFonts w:eastAsiaTheme="minorEastAsia"/>
          <w:lang w:val="en-US"/>
        </w:rPr>
      </w:pPr>
      <w:r>
        <w:rPr>
          <w:rFonts w:eastAsiaTheme="minorEastAsia"/>
          <w:noProof/>
          <w:lang w:val="en-US"/>
        </w:rPr>
        <w:drawing>
          <wp:inline distT="0" distB="0" distL="0" distR="0" wp14:anchorId="110D5412" wp14:editId="3E87C577">
            <wp:extent cx="4981451" cy="2260397"/>
            <wp:effectExtent l="0" t="0" r="0" b="6985"/>
            <wp:docPr id="15303186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765" cy="2277782"/>
                    </a:xfrm>
                    <a:prstGeom prst="rect">
                      <a:avLst/>
                    </a:prstGeom>
                    <a:noFill/>
                  </pic:spPr>
                </pic:pic>
              </a:graphicData>
            </a:graphic>
          </wp:inline>
        </w:drawing>
      </w:r>
    </w:p>
    <w:p w14:paraId="2A8BB162" w14:textId="65332A35" w:rsidR="00044A47" w:rsidRDefault="00044A47" w:rsidP="00044A47">
      <w:pPr>
        <w:jc w:val="center"/>
        <w:rPr>
          <w:rFonts w:eastAsiaTheme="minorEastAsia"/>
          <w:lang w:val="en-US"/>
        </w:rPr>
      </w:pPr>
      <w:r>
        <w:rPr>
          <w:rFonts w:eastAsiaTheme="minorEastAsia"/>
          <w:lang w:val="en-US"/>
        </w:rPr>
        <w:t>Fig. x8 SH field distribution</w:t>
      </w:r>
    </w:p>
    <w:p w14:paraId="14402217" w14:textId="77777777" w:rsidR="00044A47" w:rsidRDefault="00044A47" w:rsidP="00044A47">
      <w:pPr>
        <w:jc w:val="center"/>
        <w:rPr>
          <w:rFonts w:eastAsiaTheme="minorEastAsia"/>
          <w:lang w:val="en-US"/>
        </w:rPr>
      </w:pPr>
    </w:p>
    <w:p w14:paraId="0CC67146" w14:textId="0BA84FA1" w:rsidR="00044A47" w:rsidRDefault="0074110E" w:rsidP="00A22BFF">
      <w:pPr>
        <w:rPr>
          <w:rFonts w:eastAsiaTheme="minorEastAsia"/>
          <w:lang w:val="en-US"/>
        </w:rPr>
      </w:pPr>
      <w:r>
        <w:rPr>
          <w:rFonts w:eastAsiaTheme="minorEastAsia"/>
          <w:lang w:val="en-US"/>
        </w:rPr>
        <w:t xml:space="preserve">A careful engineering of the Bloch dispersion around the SH frequency may significantly boost the efficiency. To </w:t>
      </w:r>
      <w:r w:rsidR="001F0285">
        <w:rPr>
          <w:rFonts w:eastAsiaTheme="minorEastAsia"/>
          <w:lang w:val="en-US"/>
        </w:rPr>
        <w:t>investigate this possibility we perform a parametric study of the conversion efficiency by tuning the index of the AlGaAs at the SH frequency, while the solution at the FF remains unaltered.</w:t>
      </w:r>
    </w:p>
    <w:p w14:paraId="6D7DBC64" w14:textId="398A198F" w:rsidR="007764D4" w:rsidRDefault="007764D4" w:rsidP="00A22BFF">
      <w:pPr>
        <w:rPr>
          <w:rFonts w:eastAsiaTheme="minorEastAsia"/>
          <w:lang w:val="en-US"/>
        </w:rPr>
      </w:pPr>
      <w:r>
        <w:rPr>
          <w:rFonts w:eastAsiaTheme="minorEastAsia"/>
          <w:lang w:val="en-US"/>
        </w:rPr>
        <w:t xml:space="preserve">The efficiency as a function of the AlGaAs index at the SH frequency, reported in Fig. x9, clearly shows a strong enhancement near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2ω</m:t>
            </m:r>
          </m:sub>
        </m:sSub>
        <m:r>
          <w:rPr>
            <w:rFonts w:ascii="Cambria Math" w:eastAsiaTheme="minorEastAsia" w:hAnsi="Cambria Math"/>
            <w:lang w:val="en-US"/>
          </w:rPr>
          <m:t>=3.175</m:t>
        </m:r>
      </m:oMath>
      <w:r>
        <w:rPr>
          <w:rFonts w:eastAsiaTheme="minorEastAsia"/>
          <w:lang w:val="en-US"/>
        </w:rPr>
        <w:t xml:space="preserve">. </w:t>
      </w:r>
    </w:p>
    <w:p w14:paraId="25125516" w14:textId="5C0873F7" w:rsidR="007764D4" w:rsidRDefault="007764D4" w:rsidP="007764D4">
      <w:pPr>
        <w:jc w:val="center"/>
        <w:rPr>
          <w:rFonts w:eastAsiaTheme="minorEastAsia"/>
          <w:lang w:val="en-US"/>
        </w:rPr>
      </w:pPr>
      <w:r w:rsidRPr="007764D4">
        <w:rPr>
          <w:rFonts w:eastAsiaTheme="minorEastAsia"/>
        </w:rPr>
        <w:drawing>
          <wp:inline distT="0" distB="0" distL="0" distR="0" wp14:anchorId="4B559F53" wp14:editId="2943A57C">
            <wp:extent cx="5296204" cy="2045836"/>
            <wp:effectExtent l="0" t="0" r="0" b="0"/>
            <wp:docPr id="8" name="Immagine 7" descr="Immagine che contiene schermata, linea&#10;&#10;Descrizione generata automaticamente">
              <a:extLst xmlns:a="http://schemas.openxmlformats.org/drawingml/2006/main">
                <a:ext uri="{FF2B5EF4-FFF2-40B4-BE49-F238E27FC236}">
                  <a16:creationId xmlns:a16="http://schemas.microsoft.com/office/drawing/2014/main" id="{4C783FA6-2523-2B84-CD62-658BCD211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schermata, linea&#10;&#10;Descrizione generata automaticamente">
                      <a:extLst>
                        <a:ext uri="{FF2B5EF4-FFF2-40B4-BE49-F238E27FC236}">
                          <a16:creationId xmlns:a16="http://schemas.microsoft.com/office/drawing/2014/main" id="{4C783FA6-2523-2B84-CD62-658BCD21195E}"/>
                        </a:ext>
                      </a:extLst>
                    </pic:cNvPr>
                    <pic:cNvPicPr>
                      <a:picLocks noChangeAspect="1"/>
                    </pic:cNvPicPr>
                  </pic:nvPicPr>
                  <pic:blipFill>
                    <a:blip r:embed="rId13"/>
                    <a:stretch>
                      <a:fillRect/>
                    </a:stretch>
                  </pic:blipFill>
                  <pic:spPr>
                    <a:xfrm>
                      <a:off x="0" y="0"/>
                      <a:ext cx="5306111" cy="2049663"/>
                    </a:xfrm>
                    <a:prstGeom prst="rect">
                      <a:avLst/>
                    </a:prstGeom>
                  </pic:spPr>
                </pic:pic>
              </a:graphicData>
            </a:graphic>
          </wp:inline>
        </w:drawing>
      </w:r>
    </w:p>
    <w:p w14:paraId="1A47DB67" w14:textId="08596E4C" w:rsidR="007764D4" w:rsidRDefault="007764D4" w:rsidP="007764D4">
      <w:pPr>
        <w:jc w:val="center"/>
        <w:rPr>
          <w:rFonts w:eastAsiaTheme="minorEastAsia"/>
          <w:lang w:val="en-US"/>
        </w:rPr>
      </w:pPr>
      <w:r>
        <w:rPr>
          <w:rFonts w:eastAsiaTheme="minorEastAsia"/>
          <w:lang w:val="en-US"/>
        </w:rPr>
        <w:t>Fig. x</w:t>
      </w:r>
      <w:r>
        <w:rPr>
          <w:rFonts w:eastAsiaTheme="minorEastAsia"/>
          <w:lang w:val="en-US"/>
        </w:rPr>
        <w:t>9</w:t>
      </w:r>
      <w:r>
        <w:rPr>
          <w:rFonts w:eastAsiaTheme="minorEastAsia"/>
          <w:lang w:val="en-US"/>
        </w:rPr>
        <w:t xml:space="preserve"> </w:t>
      </w:r>
      <w:r>
        <w:rPr>
          <w:rFonts w:eastAsiaTheme="minorEastAsia"/>
          <w:lang w:val="en-US"/>
        </w:rPr>
        <w:t>Conversion efficiency as a function of the index of AlGaAs at the SH</w:t>
      </w:r>
    </w:p>
    <w:p w14:paraId="109687C1" w14:textId="77777777" w:rsidR="007764D4" w:rsidRDefault="007764D4" w:rsidP="007764D4">
      <w:pPr>
        <w:jc w:val="center"/>
        <w:rPr>
          <w:rFonts w:eastAsiaTheme="minorEastAsia"/>
          <w:lang w:val="en-US"/>
        </w:rPr>
      </w:pPr>
    </w:p>
    <w:p w14:paraId="06CA90C0" w14:textId="0A62B1F9" w:rsidR="007764D4" w:rsidRDefault="007764D4" w:rsidP="007764D4">
      <w:pPr>
        <w:jc w:val="both"/>
        <w:rPr>
          <w:rFonts w:eastAsiaTheme="minorEastAsia"/>
          <w:lang w:val="en-US"/>
        </w:rPr>
      </w:pPr>
      <w:r>
        <w:rPr>
          <w:rFonts w:eastAsiaTheme="minorEastAsia"/>
          <w:lang w:val="en-US"/>
        </w:rPr>
        <w:t>The field distribution at this efficiency peak is shown in Fig. x10.</w:t>
      </w:r>
      <w:r w:rsidR="00680A97">
        <w:rPr>
          <w:rFonts w:eastAsiaTheme="minorEastAsia"/>
          <w:lang w:val="en-US"/>
        </w:rPr>
        <w:t xml:space="preserve"> This strong enhancement is most probably due to a combination of DBE effect and modal phase matching.</w:t>
      </w:r>
    </w:p>
    <w:p w14:paraId="60F06355" w14:textId="259956D3" w:rsidR="001F0285" w:rsidRDefault="001F0285" w:rsidP="001F0285">
      <w:pPr>
        <w:jc w:val="center"/>
        <w:rPr>
          <w:rFonts w:eastAsiaTheme="minorEastAsia"/>
          <w:lang w:val="en-US"/>
        </w:rPr>
      </w:pPr>
      <w:r>
        <w:rPr>
          <w:rFonts w:eastAsiaTheme="minorEastAsia"/>
          <w:noProof/>
          <w:lang w:val="en-US"/>
        </w:rPr>
        <w:lastRenderedPageBreak/>
        <w:drawing>
          <wp:inline distT="0" distB="0" distL="0" distR="0" wp14:anchorId="3BB8EEA0" wp14:editId="1BF2232B">
            <wp:extent cx="5060576" cy="3972154"/>
            <wp:effectExtent l="0" t="0" r="0" b="9525"/>
            <wp:docPr id="88525639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0862" cy="3988077"/>
                    </a:xfrm>
                    <a:prstGeom prst="rect">
                      <a:avLst/>
                    </a:prstGeom>
                    <a:noFill/>
                  </pic:spPr>
                </pic:pic>
              </a:graphicData>
            </a:graphic>
          </wp:inline>
        </w:drawing>
      </w:r>
    </w:p>
    <w:p w14:paraId="5BFA6B9B" w14:textId="5211E8E4" w:rsidR="001F0285" w:rsidRDefault="001F0285" w:rsidP="001F0285">
      <w:pPr>
        <w:jc w:val="center"/>
        <w:rPr>
          <w:rFonts w:eastAsiaTheme="minorEastAsia"/>
          <w:lang w:val="en-US"/>
        </w:rPr>
      </w:pPr>
      <w:r>
        <w:rPr>
          <w:rFonts w:eastAsiaTheme="minorEastAsia"/>
          <w:lang w:val="en-US"/>
        </w:rPr>
        <w:t>Fig. x</w:t>
      </w:r>
      <w:r w:rsidR="007764D4">
        <w:rPr>
          <w:rFonts w:eastAsiaTheme="minorEastAsia"/>
          <w:lang w:val="en-US"/>
        </w:rPr>
        <w:t>10</w:t>
      </w:r>
    </w:p>
    <w:p w14:paraId="3B56D645" w14:textId="77777777" w:rsidR="001F0285" w:rsidRDefault="001F0285" w:rsidP="001F0285">
      <w:pPr>
        <w:jc w:val="center"/>
        <w:rPr>
          <w:rFonts w:eastAsiaTheme="minorEastAsia"/>
          <w:lang w:val="en-US"/>
        </w:rPr>
      </w:pPr>
    </w:p>
    <w:p w14:paraId="54AD7F19" w14:textId="6C85C39B" w:rsidR="00A22BFF" w:rsidRPr="007B2FA9" w:rsidRDefault="00A22BFF" w:rsidP="008A2235">
      <w:pPr>
        <w:rPr>
          <w:lang w:val="en-US"/>
        </w:rPr>
      </w:pPr>
    </w:p>
    <w:sectPr w:rsidR="00A22BFF" w:rsidRPr="007B2FA9">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63197" w14:textId="77777777" w:rsidR="00860E2B" w:rsidRDefault="00860E2B" w:rsidP="00EE6210">
      <w:pPr>
        <w:spacing w:after="0" w:line="240" w:lineRule="auto"/>
      </w:pPr>
      <w:r>
        <w:separator/>
      </w:r>
    </w:p>
  </w:endnote>
  <w:endnote w:type="continuationSeparator" w:id="0">
    <w:p w14:paraId="78C318A6" w14:textId="77777777" w:rsidR="00860E2B" w:rsidRDefault="00860E2B" w:rsidP="00EE6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8280683"/>
      <w:docPartObj>
        <w:docPartGallery w:val="Page Numbers (Bottom of Page)"/>
        <w:docPartUnique/>
      </w:docPartObj>
    </w:sdtPr>
    <w:sdtContent>
      <w:p w14:paraId="5EB0B80B" w14:textId="2E5984A0" w:rsidR="00EE6210" w:rsidRDefault="00EE6210">
        <w:pPr>
          <w:pStyle w:val="Pidipagina"/>
          <w:jc w:val="center"/>
        </w:pPr>
        <w:r>
          <w:fldChar w:fldCharType="begin"/>
        </w:r>
        <w:r>
          <w:instrText>PAGE   \* MERGEFORMAT</w:instrText>
        </w:r>
        <w:r>
          <w:fldChar w:fldCharType="separate"/>
        </w:r>
        <w:r>
          <w:t>2</w:t>
        </w:r>
        <w:r>
          <w:fldChar w:fldCharType="end"/>
        </w:r>
      </w:p>
    </w:sdtContent>
  </w:sdt>
  <w:p w14:paraId="1E80E4B3" w14:textId="77777777" w:rsidR="00EE6210" w:rsidRDefault="00EE62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FEC17" w14:textId="77777777" w:rsidR="00860E2B" w:rsidRDefault="00860E2B" w:rsidP="00EE6210">
      <w:pPr>
        <w:spacing w:after="0" w:line="240" w:lineRule="auto"/>
      </w:pPr>
      <w:r>
        <w:separator/>
      </w:r>
    </w:p>
  </w:footnote>
  <w:footnote w:type="continuationSeparator" w:id="0">
    <w:p w14:paraId="784C8CBA" w14:textId="77777777" w:rsidR="00860E2B" w:rsidRDefault="00860E2B" w:rsidP="00EE62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1B0"/>
    <w:rsid w:val="00044A47"/>
    <w:rsid w:val="00070A3A"/>
    <w:rsid w:val="000B6406"/>
    <w:rsid w:val="000D76F0"/>
    <w:rsid w:val="001F0285"/>
    <w:rsid w:val="002647FB"/>
    <w:rsid w:val="003A2A7F"/>
    <w:rsid w:val="003E5251"/>
    <w:rsid w:val="0040354D"/>
    <w:rsid w:val="00474805"/>
    <w:rsid w:val="004A324B"/>
    <w:rsid w:val="005763B4"/>
    <w:rsid w:val="005C5D9B"/>
    <w:rsid w:val="005C71B0"/>
    <w:rsid w:val="005D4AF2"/>
    <w:rsid w:val="00631BD8"/>
    <w:rsid w:val="00646627"/>
    <w:rsid w:val="00651316"/>
    <w:rsid w:val="00680A97"/>
    <w:rsid w:val="0069265F"/>
    <w:rsid w:val="0074110E"/>
    <w:rsid w:val="007764D4"/>
    <w:rsid w:val="007B2FA9"/>
    <w:rsid w:val="00860E2B"/>
    <w:rsid w:val="008A2235"/>
    <w:rsid w:val="0092762F"/>
    <w:rsid w:val="009D10CA"/>
    <w:rsid w:val="00A22BFF"/>
    <w:rsid w:val="00A51D2F"/>
    <w:rsid w:val="00AD02F3"/>
    <w:rsid w:val="00B20C3A"/>
    <w:rsid w:val="00B3421A"/>
    <w:rsid w:val="00B60315"/>
    <w:rsid w:val="00C40D85"/>
    <w:rsid w:val="00C7020E"/>
    <w:rsid w:val="00C93FAD"/>
    <w:rsid w:val="00D96CF5"/>
    <w:rsid w:val="00E357D2"/>
    <w:rsid w:val="00EA0C9C"/>
    <w:rsid w:val="00EE62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12C30"/>
  <w15:chartTrackingRefBased/>
  <w15:docId w15:val="{271D5905-ADE0-4FEA-9002-38CF0FF1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2BFF"/>
  </w:style>
  <w:style w:type="paragraph" w:styleId="Titolo1">
    <w:name w:val="heading 1"/>
    <w:basedOn w:val="Normale"/>
    <w:next w:val="Normale"/>
    <w:link w:val="Titolo1Carattere"/>
    <w:uiPriority w:val="9"/>
    <w:qFormat/>
    <w:rsid w:val="005C71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5C71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5C71B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5C71B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5C71B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5C71B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5C71B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5C71B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5C71B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C71B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5C71B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5C71B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5C71B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5C71B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5C71B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5C71B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5C71B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5C71B0"/>
    <w:rPr>
      <w:rFonts w:eastAsiaTheme="majorEastAsia" w:cstheme="majorBidi"/>
      <w:color w:val="272727" w:themeColor="text1" w:themeTint="D8"/>
    </w:rPr>
  </w:style>
  <w:style w:type="paragraph" w:styleId="Titolo">
    <w:name w:val="Title"/>
    <w:basedOn w:val="Normale"/>
    <w:next w:val="Normale"/>
    <w:link w:val="TitoloCarattere"/>
    <w:uiPriority w:val="10"/>
    <w:qFormat/>
    <w:rsid w:val="005C71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C71B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5C71B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5C71B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5C71B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5C71B0"/>
    <w:rPr>
      <w:i/>
      <w:iCs/>
      <w:color w:val="404040" w:themeColor="text1" w:themeTint="BF"/>
    </w:rPr>
  </w:style>
  <w:style w:type="paragraph" w:styleId="Paragrafoelenco">
    <w:name w:val="List Paragraph"/>
    <w:basedOn w:val="Normale"/>
    <w:uiPriority w:val="34"/>
    <w:qFormat/>
    <w:rsid w:val="005C71B0"/>
    <w:pPr>
      <w:ind w:left="720"/>
      <w:contextualSpacing/>
    </w:pPr>
  </w:style>
  <w:style w:type="character" w:styleId="Enfasiintensa">
    <w:name w:val="Intense Emphasis"/>
    <w:basedOn w:val="Carpredefinitoparagrafo"/>
    <w:uiPriority w:val="21"/>
    <w:qFormat/>
    <w:rsid w:val="005C71B0"/>
    <w:rPr>
      <w:i/>
      <w:iCs/>
      <w:color w:val="0F4761" w:themeColor="accent1" w:themeShade="BF"/>
    </w:rPr>
  </w:style>
  <w:style w:type="paragraph" w:styleId="Citazioneintensa">
    <w:name w:val="Intense Quote"/>
    <w:basedOn w:val="Normale"/>
    <w:next w:val="Normale"/>
    <w:link w:val="CitazioneintensaCarattere"/>
    <w:uiPriority w:val="30"/>
    <w:qFormat/>
    <w:rsid w:val="005C71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5C71B0"/>
    <w:rPr>
      <w:i/>
      <w:iCs/>
      <w:color w:val="0F4761" w:themeColor="accent1" w:themeShade="BF"/>
    </w:rPr>
  </w:style>
  <w:style w:type="character" w:styleId="Riferimentointenso">
    <w:name w:val="Intense Reference"/>
    <w:basedOn w:val="Carpredefinitoparagrafo"/>
    <w:uiPriority w:val="32"/>
    <w:qFormat/>
    <w:rsid w:val="005C71B0"/>
    <w:rPr>
      <w:b/>
      <w:bCs/>
      <w:smallCaps/>
      <w:color w:val="0F4761" w:themeColor="accent1" w:themeShade="BF"/>
      <w:spacing w:val="5"/>
    </w:rPr>
  </w:style>
  <w:style w:type="character" w:styleId="Testosegnaposto">
    <w:name w:val="Placeholder Text"/>
    <w:basedOn w:val="Carpredefinitoparagrafo"/>
    <w:uiPriority w:val="99"/>
    <w:semiHidden/>
    <w:rsid w:val="007B2FA9"/>
    <w:rPr>
      <w:color w:val="666666"/>
    </w:rPr>
  </w:style>
  <w:style w:type="paragraph" w:styleId="Intestazione">
    <w:name w:val="header"/>
    <w:basedOn w:val="Normale"/>
    <w:link w:val="IntestazioneCarattere"/>
    <w:uiPriority w:val="99"/>
    <w:unhideWhenUsed/>
    <w:rsid w:val="00EE62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6210"/>
  </w:style>
  <w:style w:type="paragraph" w:styleId="Pidipagina">
    <w:name w:val="footer"/>
    <w:basedOn w:val="Normale"/>
    <w:link w:val="PidipaginaCarattere"/>
    <w:uiPriority w:val="99"/>
    <w:unhideWhenUsed/>
    <w:rsid w:val="00EE62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6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15B01-96C7-4211-9F2F-D24D5DEE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1278</Words>
  <Characters>7286</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de Ceglia</dc:creator>
  <cp:keywords/>
  <dc:description/>
  <cp:lastModifiedBy>Domenico de Ceglia</cp:lastModifiedBy>
  <cp:revision>19</cp:revision>
  <dcterms:created xsi:type="dcterms:W3CDTF">2024-09-27T09:22:00Z</dcterms:created>
  <dcterms:modified xsi:type="dcterms:W3CDTF">2024-09-27T20:41:00Z</dcterms:modified>
</cp:coreProperties>
</file>