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F3864"/>
          <w:sz w:val="52"/>
          <w:szCs w:val="52"/>
        </w:rPr>
        <w:t xml:space="preserve">The LegalMind</w:t>
      </w:r>
    </w:p>
    <w:p>
      <w:pPr>
        <w:spacing w:after="100"/>
        <w:jc w:val="center"/>
      </w:pPr>
      <w:r>
        <w:rPr>
          <w:rFonts w:ascii="Arial" w:cs="Arial" w:eastAsia="Arial" w:hAnsi="Arial"/>
          <w:color w:val="1F3864"/>
          <w:sz w:val="32"/>
          <w:szCs w:val="32"/>
        </w:rPr>
        <w:t xml:space="preserve">Production Specification &amp; Engine Development Plan</w:t>
      </w:r>
    </w:p>
    <w:p>
      <w:pPr>
        <w:spacing w:after="100"/>
        <w:jc w:val="center"/>
      </w:pPr>
      <w:r>
        <w:rPr>
          <w:rFonts w:ascii="Arial" w:cs="Arial" w:eastAsia="Arial" w:hAnsi="Arial"/>
          <w:color w:val="4472C4"/>
          <w:sz w:val="26"/>
          <w:szCs w:val="26"/>
        </w:rPr>
        <w:t xml:space="preserve">Developer Handoff Document</w:t>
      </w:r>
    </w:p>
    <w:p>
      <w:pPr>
        <w:spacing w:after="100"/>
        <w:jc w:val="center"/>
      </w:pPr>
      <w:r>
        <w:rPr>
          <w:rFonts w:ascii="Arial" w:cs="Arial" w:eastAsia="Arial" w:hAnsi="Arial"/>
          <w:i/>
          <w:iCs/>
          <w:color w:val="4472C4"/>
          <w:sz w:val="22"/>
          <w:szCs w:val="22"/>
        </w:rPr>
        <w:t xml:space="preserve">One Agent • Thin Plugin • Engine-Side Modules • Engine-Side Concurrency</w:t>
      </w:r>
    </w:p>
    <w:p>
      <w:pPr>
        <w:spacing w:before="600"/>
      </w:pPr>
    </w:p>
    <w:p>
      <w:pPr>
        <w:spacing w:after="60"/>
        <w:jc w:val="center"/>
      </w:pPr>
      <w:r>
        <w:rPr>
          <w:rFonts w:ascii="Arial" w:cs="Arial" w:eastAsia="Arial" w:hAnsi="Arial"/>
          <w:color w:val="666666"/>
          <w:sz w:val="22"/>
          <w:szCs w:val="22"/>
        </w:rPr>
        <w:t xml:space="preserve">Version 3.0  —  February 2026</w:t>
      </w:r>
    </w:p>
    <w:p>
      <w:pPr>
        <w:spacing w:after="60"/>
        <w:jc w:val="center"/>
      </w:pPr>
      <w:r>
        <w:rPr>
          <w:rFonts w:ascii="Arial" w:cs="Arial" w:eastAsia="Arial" w:hAnsi="Arial"/>
          <w:sz w:val="22"/>
          <w:szCs w:val="22"/>
        </w:rPr>
        <w:t xml:space="preserve">Andrew H. Fuller</w:t>
      </w:r>
    </w:p>
    <w:p>
      <w:pPr>
        <w:spacing w:after="200"/>
        <w:jc w:val="center"/>
      </w:pPr>
      <w:r>
        <w:rPr>
          <w:rFonts w:ascii="Arial" w:cs="Arial" w:eastAsia="Arial" w:hAnsi="Arial"/>
          <w:color w:val="666666"/>
          <w:sz w:val="22"/>
          <w:szCs w:val="22"/>
        </w:rPr>
        <w:t xml:space="preserve">Thornton Mostul Fuller PLLC</w:t>
      </w:r>
    </w:p>
    <w:p>
      <w:pPr>
        <w:spacing w:before="200"/>
      </w:pPr>
    </w:p>
    <w:p>
      <w:pPr>
        <w:spacing w:after="60"/>
        <w:jc w:val="center"/>
      </w:pPr>
      <w:r>
        <w:rPr>
          <w:rFonts w:ascii="Arial" w:cs="Arial" w:eastAsia="Arial" w:hAnsi="Arial"/>
          <w:b/>
          <w:bCs/>
          <w:color w:val="1F3864"/>
          <w:sz w:val="24"/>
          <w:szCs w:val="24"/>
        </w:rPr>
        <w:t xml:space="preserve">The Ten Shards</w:t>
      </w:r>
    </w:p>
    <w:p>
      <w:pPr>
        <w:jc w:val="center"/>
      </w:pPr>
      <w:r>
        <w:rPr>
          <w:rFonts w:ascii="Arial" w:cs="Arial" w:eastAsia="Arial" w:hAnsi="Arial"/>
          <w:color w:val="4472C4"/>
          <w:sz w:val="20"/>
          <w:szCs w:val="20"/>
        </w:rPr>
        <w:t xml:space="preserve">Dominion • Intake • Conversion • Structuring • Preservation • Discernment • Inquiry • Adjudication • Validation • Sentinel • Chronicle</w:t>
      </w:r>
    </w:p>
    <w:p>
      <w:r>
        <w:br w:type="page"/>
      </w:r>
    </w:p>
    <w:p>
      <w:pPr>
        <w:pStyle w:val="Heading1"/>
      </w:pPr>
      <w:r>
        <w:t xml:space="preserve">1. System Overview</w:t>
      </w:r>
    </w:p>
    <w:p>
      <w:pPr>
        <w:pStyle w:val="Heading2"/>
      </w:pPr>
      <w:r>
        <w:t xml:space="preserve">1.1  Purpose</w:t>
      </w:r>
    </w:p>
    <w:p>
      <w:pPr>
        <w:spacing w:before="120" w:after="120"/>
      </w:pPr>
      <w:r>
        <w:rPr>
          <w:rFonts w:ascii="Arial" w:cs="Arial" w:eastAsia="Arial" w:hAnsi="Arial"/>
          <w:sz w:val="22"/>
          <w:szCs w:val="22"/>
        </w:rPr>
        <w:t xml:space="preserve">The LegalMind is a multi-agent system that performs evidence-grade quality control on legal briefs before filing. It ingests multi-modal case record materials (typed PDFs, scanned documents, handwritten forms, audio recordings, video, and photographs), builds a searchable knowledge base, extracts and classifies factual claims from draft briefs, verifies each claim against the record with adversarial rigor, verifies legal citations against authoritative databases, and produces timestamped due-diligence reports suitable for demonstrating pre-filing verification.</w:t>
      </w:r>
    </w:p>
    <w:p>
      <w:pPr>
        <w:spacing w:before="120" w:after="120"/>
      </w:pPr>
      <w:r>
        <w:rPr>
          <w:rFonts w:ascii="Arial" w:cs="Arial" w:eastAsia="Arial" w:hAnsi="Arial"/>
          <w:sz w:val="22"/>
          <w:szCs w:val="22"/>
        </w:rPr>
        <w:t xml:space="preserve">The system is designed for a solo-practitioner FELA railroad injury attorney. Its primary design constraint is honest reporting: false confidence is treated as a more dangerous failure mode than missing a result. Every component is required to report its own confidence, degradation state, and limitations.</w:t>
      </w:r>
    </w:p>
    <w:p>
      <w:pPr>
        <w:pStyle w:val="Heading2"/>
      </w:pPr>
      <w:r>
        <w:t xml:space="preserve">1.2  Architecture</w:t>
      </w:r>
    </w:p>
    <w:p>
      <w:pPr>
        <w:spacing w:before="120" w:after="120"/>
      </w:pPr>
      <w:r>
        <w:rPr>
          <w:rFonts w:ascii="Arial" w:cs="Arial" w:eastAsia="Arial" w:hAnsi="Arial"/>
          <w:sz w:val="22"/>
          <w:szCs w:val="22"/>
        </w:rPr>
        <w:t xml:space="preserve">The LegalMind consists of ten specialized processing modules (called Shards), four shared infrastructure stores, a deterministic tool layer, and a single OpenClaw agent that serves as the user-facing interface. The Shards communicate through typed Pydantic data contracts. An Orchestrator module (Dominion) coordinates all workflows with deterministic Python code.</w:t>
      </w:r>
    </w:p>
    <w:p>
      <w:pPr>
        <w:spacing w:before="120" w:after="120"/>
      </w:pPr>
      <w:r>
        <w:rPr>
          <w:rFonts w:ascii="Arial" w:cs="Arial" w:eastAsia="Arial" w:hAnsi="Arial"/>
          <w:b/>
          <w:bCs/>
          <w:sz w:val="22"/>
          <w:szCs w:val="22"/>
        </w:rPr>
        <w:t xml:space="preserve">Core architectural decision: </w:t>
      </w:r>
      <w:r>
        <w:rPr>
          <w:rFonts w:ascii="Arial" w:cs="Arial" w:eastAsia="Arial" w:hAnsi="Arial"/>
          <w:sz w:val="22"/>
          <w:szCs w:val="22"/>
        </w:rPr>
        <w:t xml:space="preserve">Shards are Engine-side Python modules, not separate OpenClaw agents. One OpenClaw agent handles all user interaction. One thin plugin (registered via OpenClaw’s plugin discovery system) translates agent tool calls into Engine HTTP requests. The Engine owns all routing, sequencing, state management, and concurrency. This eliminates per-Shard LLM round-trips for routing decisions, avoids cross-session state synchronization, and keeps the pipeline deterministic and debuggable.</w:t>
      </w:r>
    </w:p>
    <w:p>
      <w:pPr>
        <w:spacing w:before="120" w:after="120"/>
      </w:pPr>
      <w:r>
        <w:rPr>
          <w:rFonts w:ascii="Arial" w:cs="Arial" w:eastAsia="Arial" w:hAnsi="Arial"/>
          <w:sz w:val="22"/>
          <w:szCs w:val="22"/>
        </w:rPr>
        <w:t xml:space="preserve">The system is deployed as three layers:</w:t>
      </w:r>
    </w:p>
    <w:p>
      <w:pPr>
        <w:spacing w:before="120" w:after="120"/>
      </w:pPr>
      <w:r>
        <w:rPr>
          <w:rFonts w:ascii="Arial" w:cs="Arial" w:eastAsia="Arial" w:hAnsi="Arial"/>
          <w:b/>
          <w:bCs/>
          <w:sz w:val="22"/>
          <w:szCs w:val="22"/>
        </w:rPr>
        <w:t xml:space="preserve">LegalMind Engine: </w:t>
      </w:r>
      <w:r>
        <w:rPr>
          <w:rFonts w:ascii="Arial" w:cs="Arial" w:eastAsia="Arial" w:hAnsi="Arial"/>
          <w:sz w:val="22"/>
          <w:szCs w:val="22"/>
        </w:rPr>
        <w:t xml:space="preserve">A local-first Python service (FastAPI) that owns all evidence storage, indexing, retrieval, verification, and report generation. The ten Shards are Python modules within this service. Routing between Shards is deterministic Python code with zero LLM overhead. Parallel claim verification uses asyncio with configurable semaphores, not OpenClaw session fan-out.</w:t>
      </w:r>
    </w:p>
    <w:p>
      <w:pPr>
        <w:spacing w:before="120" w:after="120"/>
      </w:pPr>
      <w:r>
        <w:rPr>
          <w:rFonts w:ascii="Arial" w:cs="Arial" w:eastAsia="Arial" w:hAnsi="Arial"/>
          <w:b/>
          <w:bCs/>
          <w:sz w:val="22"/>
          <w:szCs w:val="22"/>
        </w:rPr>
        <w:t xml:space="preserve">Thin Plugin Layer (legalmind-tools): </w:t>
      </w:r>
      <w:r>
        <w:rPr>
          <w:rFonts w:ascii="Arial" w:cs="Arial" w:eastAsia="Arial" w:hAnsi="Arial"/>
          <w:sz w:val="22"/>
          <w:szCs w:val="22"/>
        </w:rPr>
        <w:t xml:space="preserve">An OpenClaw tool plugin discovered via the standard plugin loader (package.json openclaw.extensions field, validated against TypeBox schema, loaded by src/plugins/loader.ts). Each tool is registered via api.registerTool() and implemented as a thin HTTP client that forwards requests to the Engine’s FastAPI endpoints on localhost and returns structured responses. The plugin performs no business logic, no file processing, and no LLM calls. If the Engine crashes, the plugin returns an error response. If OpenClaw crashes, the Engine is unaffected.</w:t>
      </w:r>
    </w:p>
    <w:p>
      <w:pPr>
        <w:spacing w:before="120" w:after="120"/>
      </w:pPr>
      <w:r>
        <w:rPr>
          <w:rFonts w:ascii="Arial" w:cs="Arial" w:eastAsia="Arial" w:hAnsi="Arial"/>
          <w:b/>
          <w:bCs/>
          <w:sz w:val="22"/>
          <w:szCs w:val="22"/>
        </w:rPr>
        <w:t xml:space="preserve">Single OpenClaw Agent: </w:t>
      </w:r>
      <w:r>
        <w:rPr>
          <w:rFonts w:ascii="Arial" w:cs="Arial" w:eastAsia="Arial" w:hAnsi="Arial"/>
          <w:sz w:val="22"/>
          <w:szCs w:val="22"/>
        </w:rPr>
        <w:t xml:space="preserve">One configured OpenClaw agent running in the main session (agent:&lt;agentId&gt;:main) with per-case workspace isolation, minimal tool permissions (legalmind.* plugin tools and slash commands only), and defense-in-depth sandbox policy. The agent handles user interaction, natural-language question answering about case status, and dispatches pipeline operations through plugin tools. It does not route between Shards, manage pipeline sequencing, or hold pipeline state.</w:t>
      </w:r>
    </w:p>
    <w:p>
      <w:pPr>
        <w:pStyle w:val="Heading2"/>
      </w:pPr>
      <w:r>
        <w:t xml:space="preserve">1.3  Why One Agent, Not Ten</w:t>
      </w:r>
    </w:p>
    <w:p>
      <w:pPr>
        <w:spacing w:before="120" w:after="120"/>
      </w:pPr>
      <w:r>
        <w:rPr>
          <w:rFonts w:ascii="Arial" w:cs="Arial" w:eastAsia="Arial" w:hAnsi="Arial"/>
          <w:sz w:val="22"/>
          <w:szCs w:val="22"/>
        </w:rPr>
        <w:t xml:space="preserve">Version 1 of this specification described ten separate OpenClaw agents, one per Shard, coordinated via session tools. Analysis of OpenClaw’s architecture reveals why this is wrong for LegalMind’s use case.</w:t>
      </w:r>
    </w:p>
    <w:p>
      <w:pPr>
        <w:spacing w:before="120" w:after="120"/>
      </w:pPr>
      <w:r>
        <w:rPr>
          <w:rFonts w:ascii="Arial" w:cs="Arial" w:eastAsia="Arial" w:hAnsi="Arial"/>
          <w:sz w:val="22"/>
          <w:szCs w:val="22"/>
        </w:rPr>
        <w:t xml:space="preserve">OpenClaw’s multi-agent routing (the agents.mapping config) creates isolated agents with separate workspaces, separate AGENTS.md/SOUL.md/TOOLS.md files, separate skills, and separate session state. The article’s own example demonstrates the intended pattern: a Discord moderator bot on Claude Sonnet and a Telegram support agent on GPT-4o, each with its own workspace directory and its own systemPromptOverrides. These are independent agents serving different channels and different purposes. They don’t share state because they shouldn’t.</w:t>
      </w:r>
    </w:p>
    <w:p>
      <w:pPr>
        <w:spacing w:before="120" w:after="120"/>
      </w:pPr>
      <w:r>
        <w:rPr>
          <w:rFonts w:ascii="Arial" w:cs="Arial" w:eastAsia="Arial" w:hAnsi="Arial"/>
          <w:sz w:val="22"/>
          <w:szCs w:val="22"/>
        </w:rPr>
        <w:t xml:space="preserve">LegalMind’s Shards must share state intimately. Conversion writes EvidenceSegments to the Ledger. Structuring reads those segments and writes Chunks to the Index. Inquiry queries the Index. Adjudication reads the evidence bundles. Every Shard reads and writes to the same four infrastructure stores on every pipeline run. Implementing these as separate OpenClaw agents would require nine separate LLM round-trips through nine separate context assemblies for a single /audit command, where the Engine handles it in a single orchestrator function call with zero LLM overhead for routing.</w:t>
      </w:r>
    </w:p>
    <w:p>
      <w:pPr>
        <w:spacing w:before="120" w:after="120"/>
      </w:pPr>
      <w:r>
        <w:rPr>
          <w:rFonts w:ascii="Arial" w:cs="Arial" w:eastAsia="Arial" w:hAnsi="Arial"/>
          <w:sz w:val="22"/>
          <w:szCs w:val="22"/>
        </w:rPr>
        <w:t xml:space="preserve">Similarly, Version 1 used OpenClaw’s sessions_spawn and sessions_send for parallel claim verification. The article confirms that sessions are conversation-oriented with trust-boundary semantics: agent:&lt;agentId&gt;:main for full operator access, dm:&lt;channel&gt;:&lt;id&gt; for sandboxed DMs, group:&lt;channel&gt;:&lt;id&gt; for sandboxed groups. Session resolution maps conversations to trust levels, not tasks to workers. For 80 claims, sessions_spawn would create 80 conversation sessions, each triggering the full Agent Runtime loop (context assembly → system prompt build → model invocation → tool execution) just for each worker to “understand” it should call legalmind.verify.claim. The Engine approach: asyncio.gather with a semaphore, 80 concurrent coroutines each calling the verification module directly, zero LLM overhead.</w:t>
      </w:r>
    </w:p>
    <w:p>
      <w:pPr>
        <w:pStyle w:val="Heading2"/>
      </w:pPr>
      <w:r>
        <w:t xml:space="preserve">1.4  Naming Convention</w:t>
      </w:r>
    </w:p>
    <w:p>
      <w:pPr>
        <w:spacing w:before="120" w:after="120"/>
      </w:pPr>
      <w:r>
        <w:rPr>
          <w:rFonts w:ascii="Arial" w:cs="Arial" w:eastAsia="Arial" w:hAnsi="Arial"/>
          <w:sz w:val="22"/>
          <w:szCs w:val="22"/>
        </w:rPr>
        <w:t xml:space="preserve">Each module carries a Shard name (thematic label) and a functional name (plain description). Shard names exist for team vocabulary and developer orientation only. They must not appear in AGENTS.md, SOUL.md, TOOLS.md, system prompts, or any prompt composition that reaches the LLM. The OpenClaw prompt stack enforces this: AGENTS.md carries hard behavioral rules, SOUL.md carries tone-only guidance, and no Shard name appears in any of them. This prevents the LLM from role-playing as a character instead of executing functional instructions.</w:t>
      </w:r>
    </w:p>
    <w:p>
      <w:pPr>
        <w:pStyle w:val="Heading2"/>
      </w:pPr>
      <w:r>
        <w:t xml:space="preserve">1.5  Per-Case Workspace Isolation</w:t>
      </w:r>
    </w:p>
    <w:p>
      <w:pPr>
        <w:spacing w:before="120" w:after="120"/>
      </w:pPr>
      <w:r>
        <w:rPr>
          <w:rFonts w:ascii="Arial" w:cs="Arial" w:eastAsia="Arial" w:hAnsi="Arial"/>
          <w:sz w:val="22"/>
          <w:szCs w:val="22"/>
        </w:rPr>
        <w:t xml:space="preserve">Each case receives its own OpenClaw workspace. This is a mandatory confidentiality and privilege boundary, not optional. OpenClaw’s conversation memory system can cross-contaminate cases if a single workspace processes multiple matters. For litigation, cross-case contamination is a privilege risk and a potential sanctions exposure.</w:t>
      </w:r>
    </w:p>
    <w:p>
      <w:pPr>
        <w:spacing w:before="120" w:after="120"/>
      </w:pPr>
      <w:r>
        <w:rPr>
          <w:rFonts w:ascii="Arial" w:cs="Arial" w:eastAsia="Arial" w:hAnsi="Arial"/>
          <w:sz w:val="22"/>
          <w:szCs w:val="22"/>
        </w:rPr>
        <w:t xml:space="preserve">Implementation: When a new case is opened, the system creates a new OpenClaw workspace directory with case-specific configuration. The Engine’s four shared stores (Vault, Ledger, Index, Audit Log) are instantiated per-case in isolated directories. The following OpenClaw memory features must be configured per workspace:</w:t>
      </w:r>
    </w:p>
    <w:p>
      <w:pPr>
        <w:spacing w:before="120" w:after="120"/>
      </w:pPr>
      <w:r>
        <w:rPr>
          <w:rFonts w:ascii="Arial" w:cs="Arial" w:eastAsia="Arial" w:hAnsi="Arial"/>
          <w:b/>
          <w:bCs/>
          <w:sz w:val="22"/>
          <w:szCs w:val="22"/>
        </w:rPr>
        <w:t xml:space="preserve">Session compaction: disabled. </w:t>
      </w:r>
      <w:r>
        <w:rPr>
          <w:rFonts w:ascii="Arial" w:cs="Arial" w:eastAsia="Arial" w:hAnsi="Arial"/>
          <w:sz w:val="22"/>
          <w:szCs w:val="22"/>
        </w:rPr>
        <w:t xml:space="preserve">OpenClaw automatically compacts older conversation turns into summaries to stay within model context limits. For legal work, lossy compression of conversation history is unacceptable—a compacted summary could silently drop a critical instruction or caveat. The LegalMind workspace config must set compaction to disabled. The Engine’s own stores (Audit Log, Evidence Ledger) are the durable record, not session history.</w:t>
      </w:r>
    </w:p>
    <w:p>
      <w:pPr>
        <w:spacing w:before="120" w:after="120"/>
      </w:pPr>
      <w:r>
        <w:rPr>
          <w:rFonts w:ascii="Arial" w:cs="Arial" w:eastAsia="Arial" w:hAnsi="Arial"/>
          <w:b/>
          <w:bCs/>
          <w:sz w:val="22"/>
          <w:szCs w:val="22"/>
        </w:rPr>
        <w:t xml:space="preserve">Memory search: disabled for cross-case contexts. </w:t>
      </w:r>
      <w:r>
        <w:rPr>
          <w:rFonts w:ascii="Arial" w:cs="Arial" w:eastAsia="Arial" w:hAnsi="Arial"/>
          <w:sz w:val="22"/>
          <w:szCs w:val="22"/>
        </w:rPr>
        <w:t xml:space="preserve">OpenClaw’s memory system (SQLite with vector embeddings at ~/.openclaw/memory/&lt;agentId&gt;.sqlite) performs semantic search across past conversations and injects relevant context into the current turn. For a per-case workspace, memory search must be scoped to the current case only. If multiple cases share an agentId, memory search could surface privileged material from another matter. Each case workspace uses its own agentId to enforce isolation.</w:t>
      </w:r>
    </w:p>
    <w:p>
      <w:pPr>
        <w:spacing w:before="120" w:after="120"/>
      </w:pPr>
      <w:r>
        <w:rPr>
          <w:rFonts w:ascii="Arial" w:cs="Arial" w:eastAsia="Arial" w:hAnsi="Arial"/>
          <w:b/>
          <w:bCs/>
          <w:sz w:val="22"/>
          <w:szCs w:val="22"/>
        </w:rPr>
        <w:t xml:space="preserve">MEMORY.md: not used. </w:t>
      </w:r>
      <w:r>
        <w:rPr>
          <w:rFonts w:ascii="Arial" w:cs="Arial" w:eastAsia="Arial" w:hAnsi="Arial"/>
          <w:sz w:val="22"/>
          <w:szCs w:val="22"/>
        </w:rPr>
        <w:t xml:space="preserve">OpenClaw supports a MEMORY.md file for curated long-term facts, loaded only in main sessions. LegalMind does not use this file—all case knowledge lives in the Engine’s Evidence Ledger and Retrieval Index, not in freeform markdown that the LLM interprets. The Engine is the source of truth, not the agent’s memory.</w:t>
      </w:r>
    </w:p>
    <w:p>
      <w:pPr>
        <w:spacing w:before="120" w:after="120"/>
      </w:pPr>
      <w:r>
        <w:rPr>
          <w:rFonts w:ascii="Arial" w:cs="Arial" w:eastAsia="Arial" w:hAnsi="Arial"/>
          <w:b/>
          <w:bCs/>
          <w:sz w:val="22"/>
          <w:szCs w:val="22"/>
        </w:rPr>
        <w:t xml:space="preserve">Session transcript indexing: disabled. </w:t>
      </w:r>
      <w:r>
        <w:rPr>
          <w:rFonts w:ascii="Arial" w:cs="Arial" w:eastAsia="Arial" w:hAnsi="Arial"/>
          <w:sz w:val="22"/>
          <w:szCs w:val="22"/>
        </w:rPr>
        <w:t xml:space="preserve">The experimental.sessionMemory flag (which makes full conversation history searchable) must remain disabled. Legal conversations may contain work-product and privileged strategy discussion that should not be retrievable via semantic search in future turns.</w:t>
      </w:r>
    </w:p>
    <w:p>
      <w:r>
        <w:br w:type="page"/>
      </w:r>
    </w:p>
    <w:p>
      <w:pPr>
        <w:pStyle w:val="Heading1"/>
      </w:pPr>
      <w:r>
        <w:t xml:space="preserve">2. Shared Infrastructure</w:t>
      </w:r>
    </w:p>
    <w:p>
      <w:pPr>
        <w:spacing w:before="120" w:after="120"/>
      </w:pPr>
      <w:r>
        <w:rPr>
          <w:rFonts w:ascii="Arial" w:cs="Arial" w:eastAsia="Arial" w:hAnsi="Arial"/>
          <w:sz w:val="22"/>
          <w:szCs w:val="22"/>
        </w:rPr>
        <w:t xml:space="preserve">All Engine modules read from and write to four shared stores, instantiated per-case. These are persistent, structured, and auditable. They replace implicit message passing with a stable backbone that makes the system defensible.</w:t>
      </w:r>
    </w:p>
    <w:p>
      <w:pPr>
        <w:pStyle w:val="Heading2"/>
      </w:pPr>
      <w:r>
        <w:t xml:space="preserve">2.1  Evidence Vault</w:t>
      </w:r>
    </w:p>
    <w:p>
      <w:pPr>
        <w:spacing w:before="120" w:after="120"/>
      </w:pPr>
      <w:r>
        <w:rPr>
          <w:rFonts w:ascii="Arial" w:cs="Arial" w:eastAsia="Arial" w:hAnsi="Arial"/>
          <w:sz w:val="22"/>
          <w:szCs w:val="22"/>
        </w:rPr>
        <w:t xml:space="preserve">Immutable store of original uploaded files. Every file receives a SHA-256 checksum, upload timestamp, source attribution, and file-type classification upon entry. Files are never modified after write. Deduplication is hash-based: if the same file is uploaded twice, the second upload is logged but not re-stored. The Vault maintains a case manifest listing all assets, their processing status, and any integrity warnings.</w:t>
      </w:r>
    </w:p>
    <w:p>
      <w:pPr>
        <w:pStyle w:val="Heading2"/>
      </w:pPr>
      <w:r>
        <w:t xml:space="preserve">2.2  Evidence Ledger</w:t>
      </w:r>
    </w:p>
    <w:p>
      <w:pPr>
        <w:spacing w:before="120" w:after="120"/>
      </w:pPr>
      <w:r>
        <w:rPr>
          <w:rFonts w:ascii="Arial" w:cs="Arial" w:eastAsia="Arial" w:hAnsi="Arial"/>
          <w:sz w:val="22"/>
          <w:szCs w:val="22"/>
        </w:rPr>
        <w:t xml:space="preserve">Structured, queryable store of EvidenceSegment objects produced by the Conversion module. Each segment is the atomic unit of evidence in the system. The Ledger is append-only for segments; segments are never modified after creation.</w:t>
      </w:r>
    </w:p>
    <w:p>
      <w:pPr>
        <w:spacing w:before="120" w:after="120"/>
      </w:pPr>
      <w:r>
        <w:rPr>
          <w:rFonts w:ascii="Arial" w:cs="Arial" w:eastAsia="Arial" w:hAnsi="Arial"/>
          <w:b/>
          <w:bCs/>
          <w:sz w:val="22"/>
          <w:szCs w:val="22"/>
        </w:rPr>
        <w:t xml:space="preserve">EvidenceSegment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Field</w:t>
            </w:r>
          </w:p>
        </w:tc>
        <w:tc>
          <w:tcPr>
            <w:tcW w:type="dxa" w:w="67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segment_id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Unique identifier.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source_asset_id</w:t>
            </w:r>
          </w:p>
        </w:tc>
        <w:tc>
          <w:tcPr>
            <w:tcW w:type="dxa" w:w="6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References the original file in the Evidence Vault.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modality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One of: pdf_text, pdf_table, ocr_printed, handwriting_ocr, audio_transcript, video_transcript, image_caption, frame_ocr.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location</w:t>
            </w:r>
          </w:p>
        </w:tc>
        <w:tc>
          <w:tcPr>
            <w:tcW w:type="dxa" w:w="6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Page number, bounding box, timestamp range, or frame number as appropriate.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text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The extracted text content.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confidence</w:t>
            </w:r>
          </w:p>
        </w:tc>
        <w:tc>
          <w:tcPr>
            <w:tcW w:type="dxa" w:w="6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Float 0.0–1.0 indicating conversion reliability.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extraction_method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Tool and model version used (e.g., "pdfplumber 0.10.3" or "whisper-large-v3").</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derived</w:t>
            </w:r>
          </w:p>
        </w:tc>
        <w:tc>
          <w:tcPr>
            <w:tcW w:type="dxa" w:w="6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Boolean. True for machine-generated representations. Derived segments must never be used for direct quotation.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warnings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List of strings (e.g., "handwriting low confidence", "OCR skew suspected", "speaker diarization uncertain").</w:t>
            </w:r>
          </w:p>
        </w:tc>
      </w:tr>
    </w:tbl>
    <w:p>
      <w:pPr>
        <w:pStyle w:val="Heading2"/>
      </w:pPr>
      <w:r>
        <w:t xml:space="preserve">2.3  Retrieval Index</w:t>
      </w:r>
    </w:p>
    <w:p>
      <w:pPr>
        <w:spacing w:before="120" w:after="120"/>
      </w:pPr>
      <w:r>
        <w:rPr>
          <w:rFonts w:ascii="Arial" w:cs="Arial" w:eastAsia="Arial" w:hAnsi="Arial"/>
          <w:sz w:val="22"/>
          <w:szCs w:val="22"/>
        </w:rPr>
        <w:t xml:space="preserve">Dual-index store supporting hybrid retrieval:</w:t>
      </w:r>
    </w:p>
    <w:p>
      <w:pPr>
        <w:spacing w:before="120" w:after="120"/>
      </w:pPr>
      <w:r>
        <w:rPr>
          <w:rFonts w:ascii="Arial" w:cs="Arial" w:eastAsia="Arial" w:hAnsi="Arial"/>
          <w:b/>
          <w:bCs/>
          <w:sz w:val="22"/>
          <w:szCs w:val="22"/>
        </w:rPr>
        <w:t xml:space="preserve">Dense index: </w:t>
      </w:r>
      <w:r>
        <w:rPr>
          <w:rFonts w:ascii="Arial" w:cs="Arial" w:eastAsia="Arial" w:hAnsi="Arial"/>
          <w:sz w:val="22"/>
          <w:szCs w:val="22"/>
        </w:rPr>
        <w:t xml:space="preserve">ChromaDB or Qdrant with sentence-transformer embeddings. Supports metadata filtering by modality, source, page, and confidence. Falls back to LocalHashEmbeddingFunction in offline/degraded mode with mandatory degradation warnings.</w:t>
      </w:r>
    </w:p>
    <w:p>
      <w:pPr>
        <w:spacing w:before="120" w:after="120"/>
      </w:pPr>
      <w:r>
        <w:rPr>
          <w:rFonts w:ascii="Arial" w:cs="Arial" w:eastAsia="Arial" w:hAnsi="Arial"/>
          <w:b/>
          <w:bCs/>
          <w:sz w:val="22"/>
          <w:szCs w:val="22"/>
        </w:rPr>
        <w:t xml:space="preserve">BM25 index: </w:t>
      </w:r>
      <w:r>
        <w:rPr>
          <w:rFonts w:ascii="Arial" w:cs="Arial" w:eastAsia="Arial" w:hAnsi="Arial"/>
          <w:sz w:val="22"/>
          <w:szCs w:val="22"/>
        </w:rPr>
        <w:t xml:space="preserve">rank-bm25 keyword index over the same corpus. Critical for exact-match retrieval of names, dates, dollar amounts, and case numbers that embedding models handle poorly.</w:t>
      </w:r>
    </w:p>
    <w:p>
      <w:pPr>
        <w:spacing w:before="120" w:after="120"/>
      </w:pPr>
      <w:r>
        <w:rPr>
          <w:rFonts w:ascii="Arial" w:cs="Arial" w:eastAsia="Arial" w:hAnsi="Arial"/>
          <w:sz w:val="22"/>
          <w:szCs w:val="22"/>
        </w:rPr>
        <w:t xml:space="preserve">Both indexes store chunk_index values enabling context window expansion (±1 neighbor chunks by source document).</w:t>
      </w:r>
    </w:p>
    <w:p>
      <w:pPr>
        <w:pStyle w:val="Heading2"/>
      </w:pPr>
      <w:r>
        <w:t xml:space="preserve">2.4  Audit Log</w:t>
      </w:r>
    </w:p>
    <w:p>
      <w:pPr>
        <w:spacing w:before="120" w:after="120"/>
      </w:pPr>
      <w:r>
        <w:rPr>
          <w:rFonts w:ascii="Arial" w:cs="Arial" w:eastAsia="Arial" w:hAnsi="Arial"/>
          <w:sz w:val="22"/>
          <w:szCs w:val="22"/>
        </w:rPr>
        <w:t xml:space="preserve">Cross-cutting log where every Engine module writes a structured entry for every action. This is the sanctions-shield backbone. Each entry contains: module ID and Shard name; action performed (ingest, chunk, retrieve, verify, etc.); inputs consumed (file IDs, claim IDs, chunk IDs); outputs produced (segment IDs, finding IDs, report IDs); model name and version used (if any LLM or ML model was invoked); exceptions encountered and fallback decisions made; confidence scores and warnings emitted; and a timestamp.</w:t>
      </w:r>
    </w:p>
    <w:p>
      <w:pPr>
        <w:spacing w:before="120" w:after="120"/>
      </w:pPr>
      <w:r>
        <w:rPr>
          <w:rFonts w:ascii="Arial" w:cs="Arial" w:eastAsia="Arial" w:hAnsi="Arial"/>
          <w:sz w:val="22"/>
          <w:szCs w:val="22"/>
        </w:rPr>
        <w:t xml:space="preserve">The Audit Log is queryable by case, by module, by time range, and by action type. The Sentinel module reads it to produce the system configuration snapshot in pre-filing reports.</w:t>
      </w:r>
    </w:p>
    <w:p>
      <w:r>
        <w:br w:type="page"/>
      </w:r>
    </w:p>
    <w:p>
      <w:pPr>
        <w:pStyle w:val="Heading1"/>
      </w:pPr>
      <w:r>
        <w:t xml:space="preserve">3. Inter-Module Data Contracts</w:t>
      </w:r>
    </w:p>
    <w:p>
      <w:pPr>
        <w:spacing w:before="120" w:after="120"/>
      </w:pPr>
      <w:r>
        <w:rPr>
          <w:rFonts w:ascii="Arial" w:cs="Arial" w:eastAsia="Arial" w:hAnsi="Arial"/>
          <w:sz w:val="22"/>
          <w:szCs w:val="22"/>
        </w:rPr>
        <w:t xml:space="preserve">Every handoff between Engine modules uses a typed Pydantic model. No unstructured text passes between modules. This prevents drift and makes the Audit Log meaningful.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Contract</w:t>
            </w:r>
          </w:p>
        </w:tc>
        <w:tc>
          <w:tcPr>
            <w:tcW w:type="dxa" w:w="69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Fields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EvidenceSegment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{segment_id, source_asset_id, modality, location, text, confidence, extraction_method, derived, warnings[]}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Chunk</w:t>
            </w:r>
          </w:p>
        </w:tc>
        <w:tc>
          <w:tcPr>
            <w:tcW w:type="dxa" w:w="6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{chunk_id, segment_ids[], source, page_or_timecode, chunk_method, text, context_header, metadata{}, chunk_index}</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Claim</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{claim_id, text, type(factual|medical|damages|testimony|legal_citation|procedural), source_location, priority, expected_modality, entity_anchors[], routing(verify|cite_check|skip)}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EvidenceBundle</w:t>
            </w:r>
          </w:p>
        </w:tc>
        <w:tc>
          <w:tcPr>
            <w:tcW w:type="dxa" w:w="6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{bundle_id, claim_id, chunks[], retrieval_scores[], retrieval_mode(semantic|degraded), retrieval_warnings[], modality_filter_applied}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VerificationFinding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{claim_id, status(Supported|Partially Supported|Not Supported|Contradicted|Needs Manual Review), justification{elements_supported[], elements_missing[], contradictions[]}, quotes_with_provenance[], evidence_refs[], confidence(high|medium|low), warnings[]}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CitationFinding</w:t>
            </w:r>
          </w:p>
        </w:tc>
        <w:tc>
          <w:tcPr>
            <w:tcW w:type="dxa" w:w="6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{citation_text, normalized_form, status(Verified|Not Found|Unverified|Ambiguous|Error), confidence, case_details{name,date,court,url}, reconciliation_notes, source_pass(local|api|both)}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GateResult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{document_id, filing_recommendation(CLEAR|REVIEW_REQUIRED|DO_NOT_FILE), risk_score, citation_summary{}, claim_summary{}, config_snapshot{}, timestamp}</w:t>
            </w:r>
          </w:p>
        </w:tc>
      </w:tr>
    </w:tbl>
    <w:p>
      <w:pPr>
        <w:spacing w:before="120" w:after="120"/>
      </w:pPr>
      <w:r>
        <w:rPr>
          <w:rFonts w:ascii="Arial" w:cs="Arial" w:eastAsia="Arial" w:hAnsi="Arial"/>
          <w:sz w:val="22"/>
          <w:szCs w:val="22"/>
        </w:rPr>
        <w:t xml:space="preserve"/>
      </w:r>
    </w:p>
    <w:p>
      <w:pPr>
        <w:spacing w:before="120" w:after="120"/>
      </w:pPr>
      <w:r>
        <w:rPr>
          <w:rFonts w:ascii="Arial" w:cs="Arial" w:eastAsia="Arial" w:hAnsi="Arial"/>
          <w:b/>
          <w:bCs/>
          <w:sz w:val="22"/>
          <w:szCs w:val="22"/>
        </w:rPr>
        <w:t xml:space="preserve">Critical rule for VerificationFinding: </w:t>
      </w:r>
      <w:r>
        <w:rPr>
          <w:rFonts w:ascii="Arial" w:cs="Arial" w:eastAsia="Arial" w:hAnsi="Arial"/>
          <w:sz w:val="22"/>
          <w:szCs w:val="22"/>
        </w:rPr>
        <w:t xml:space="preserve">The justification field is a structured object (elements supported, elements missing, contradictions with quotes), not a chain-of-thought reasoning trace. Storing chain-of-thought is prohibited because it is verbose, easily misread as authoritative narrative, and unnecessary when the structured fields already capture the verdict, evidence, and gaps. The quotes_with_provenance field references only non-derived segments (derived=false). Paraphrased table representations must never appear as direct quotes.</w:t>
      </w:r>
    </w:p>
    <w:p>
      <w:r>
        <w:br w:type="page"/>
      </w:r>
    </w:p>
    <w:p>
      <w:pPr>
        <w:pStyle w:val="Heading1"/>
      </w:pPr>
      <w:r>
        <w:t xml:space="preserve">4. Cross-Cutting Policies</w:t>
      </w:r>
    </w:p>
    <w:p>
      <w:pPr>
        <w:pStyle w:val="Heading2"/>
      </w:pPr>
      <w:r>
        <w:t xml:space="preserve">4.1  Privacy and Privilege Boundary</w:t>
      </w:r>
    </w:p>
    <w:p>
      <w:pPr>
        <w:spacing w:before="120" w:after="120"/>
      </w:pPr>
      <w:r>
        <w:rPr>
          <w:rFonts w:ascii="Arial" w:cs="Arial" w:eastAsia="Arial" w:hAnsi="Arial"/>
          <w:sz w:val="22"/>
          <w:szCs w:val="22"/>
        </w:rPr>
        <w:t xml:space="preserve">Enforced by the Dominion module and respected by all modules. Three configurable toggles:</w:t>
      </w:r>
    </w:p>
    <w:p>
      <w:pPr>
        <w:spacing w:before="120" w:after="120"/>
      </w:pPr>
      <w:r>
        <w:rPr>
          <w:rFonts w:ascii="Arial" w:cs="Arial" w:eastAsia="Arial" w:hAnsi="Arial"/>
          <w:b/>
          <w:bCs/>
          <w:sz w:val="22"/>
          <w:szCs w:val="22"/>
        </w:rPr>
        <w:t xml:space="preserve">cloud_model_allowed: </w:t>
      </w:r>
      <w:r>
        <w:rPr>
          <w:rFonts w:ascii="Arial" w:cs="Arial" w:eastAsia="Arial" w:hAnsi="Arial"/>
          <w:sz w:val="22"/>
          <w:szCs w:val="22"/>
        </w:rPr>
        <w:t xml:space="preserve">Boolean. When false, all LLM calls must route to LMStudio local models. Default: true.</w:t>
      </w:r>
    </w:p>
    <w:p>
      <w:pPr>
        <w:spacing w:before="120" w:after="120"/>
      </w:pPr>
      <w:r>
        <w:rPr>
          <w:rFonts w:ascii="Arial" w:cs="Arial" w:eastAsia="Arial" w:hAnsi="Arial"/>
          <w:b/>
          <w:bCs/>
          <w:sz w:val="22"/>
          <w:szCs w:val="22"/>
        </w:rPr>
        <w:t xml:space="preserve">phi_redaction_required: </w:t>
      </w:r>
      <w:r>
        <w:rPr>
          <w:rFonts w:ascii="Arial" w:cs="Arial" w:eastAsia="Arial" w:hAnsi="Arial"/>
          <w:sz w:val="22"/>
          <w:szCs w:val="22"/>
        </w:rPr>
        <w:t xml:space="preserve">Boolean. When true, Conversion must strip or redact protected health information before writing to the Evidence Ledger. Default: false (assumes local-only deployment).</w:t>
      </w:r>
    </w:p>
    <w:p>
      <w:pPr>
        <w:spacing w:before="120" w:after="120"/>
      </w:pPr>
      <w:r>
        <w:rPr>
          <w:rFonts w:ascii="Arial" w:cs="Arial" w:eastAsia="Arial" w:hAnsi="Arial"/>
          <w:b/>
          <w:bCs/>
          <w:sz w:val="22"/>
          <w:szCs w:val="22"/>
        </w:rPr>
        <w:t xml:space="preserve">export_raw_evidence: </w:t>
      </w:r>
      <w:r>
        <w:rPr>
          <w:rFonts w:ascii="Arial" w:cs="Arial" w:eastAsia="Arial" w:hAnsi="Arial"/>
          <w:sz w:val="22"/>
          <w:szCs w:val="22"/>
        </w:rPr>
        <w:t xml:space="preserve">Boolean. When false, Chronicle and Sentinel must not include raw evidence excerpts in downloadable reports—only provenance references (file + page/timestamp). Default: true.</w:t>
      </w:r>
    </w:p>
    <w:p>
      <w:pPr>
        <w:spacing w:before="120" w:after="120"/>
      </w:pPr>
      <w:r>
        <w:rPr>
          <w:rFonts w:ascii="Arial" w:cs="Arial" w:eastAsia="Arial" w:hAnsi="Arial"/>
          <w:sz w:val="22"/>
          <w:szCs w:val="22"/>
        </w:rPr>
        <w:t xml:space="preserve">These are implemented as configuration flags in the centralized Config object. All modules check them before any LLM call or report generation.</w:t>
      </w:r>
    </w:p>
    <w:p>
      <w:pPr>
        <w:pStyle w:val="Heading2"/>
      </w:pPr>
      <w:r>
        <w:t xml:space="preserve">4.2  Degradation Reporting</w:t>
      </w:r>
    </w:p>
    <w:p>
      <w:pPr>
        <w:spacing w:before="120" w:after="120"/>
      </w:pPr>
      <w:r>
        <w:rPr>
          <w:rFonts w:ascii="Arial" w:cs="Arial" w:eastAsia="Arial" w:hAnsi="Arial"/>
          <w:sz w:val="22"/>
          <w:szCs w:val="22"/>
        </w:rPr>
        <w:t xml:space="preserve">Every module must detect and report its own degradation state. Common degradation modes:</w:t>
      </w:r>
    </w:p>
    <w:p>
      <w:pPr>
        <w:spacing w:before="120" w:after="120"/>
      </w:pPr>
      <w:r>
        <w:rPr>
          <w:rFonts w:ascii="Arial" w:cs="Arial" w:eastAsia="Arial" w:hAnsi="Arial"/>
          <w:b/>
          <w:bCs/>
          <w:sz w:val="22"/>
          <w:szCs w:val="22"/>
        </w:rPr>
        <w:t xml:space="preserve">Hash embeddings active: </w:t>
      </w:r>
      <w:r>
        <w:rPr>
          <w:rFonts w:ascii="Arial" w:cs="Arial" w:eastAsia="Arial" w:hAnsi="Arial"/>
          <w:sz w:val="22"/>
          <w:szCs w:val="22"/>
        </w:rPr>
        <w:t xml:space="preserve">Preservation reports this. All downstream retrieval results carry “DEGRADED: hash embeddings, no semantic search” warning.</w:t>
      </w:r>
    </w:p>
    <w:p>
      <w:pPr>
        <w:spacing w:before="120" w:after="120"/>
      </w:pPr>
      <w:r>
        <w:rPr>
          <w:rFonts w:ascii="Arial" w:cs="Arial" w:eastAsia="Arial" w:hAnsi="Arial"/>
          <w:b/>
          <w:bCs/>
          <w:sz w:val="22"/>
          <w:szCs w:val="22"/>
        </w:rPr>
        <w:t xml:space="preserve">LLM unavailable: </w:t>
      </w:r>
      <w:r>
        <w:rPr>
          <w:rFonts w:ascii="Arial" w:cs="Arial" w:eastAsia="Arial" w:hAnsi="Arial"/>
          <w:sz w:val="22"/>
          <w:szCs w:val="22"/>
        </w:rPr>
        <w:t xml:space="preserve">Adjudication and Discernment fall back to heuristic modes and report “DEGRADED: no LLM, heuristic-only.”</w:t>
      </w:r>
    </w:p>
    <w:p>
      <w:pPr>
        <w:spacing w:before="120" w:after="120"/>
      </w:pPr>
      <w:r>
        <w:rPr>
          <w:rFonts w:ascii="Arial" w:cs="Arial" w:eastAsia="Arial" w:hAnsi="Arial"/>
          <w:b/>
          <w:bCs/>
          <w:sz w:val="22"/>
          <w:szCs w:val="22"/>
        </w:rPr>
        <w:t xml:space="preserve">CourtListener API unreachable: </w:t>
      </w:r>
      <w:r>
        <w:rPr>
          <w:rFonts w:ascii="Arial" w:cs="Arial" w:eastAsia="Arial" w:hAnsi="Arial"/>
          <w:sz w:val="22"/>
          <w:szCs w:val="22"/>
        </w:rPr>
        <w:t xml:space="preserve">Validation reports “CANNOT VERIFY: API unavailable” for every citation. Never silently passes.</w:t>
      </w:r>
    </w:p>
    <w:p>
      <w:pPr>
        <w:spacing w:before="120" w:after="120"/>
      </w:pPr>
      <w:r>
        <w:rPr>
          <w:rFonts w:ascii="Arial" w:cs="Arial" w:eastAsia="Arial" w:hAnsi="Arial"/>
          <w:b/>
          <w:bCs/>
          <w:sz w:val="22"/>
          <w:szCs w:val="22"/>
        </w:rPr>
        <w:t xml:space="preserve">Low-confidence conversion: </w:t>
      </w:r>
      <w:r>
        <w:rPr>
          <w:rFonts w:ascii="Arial" w:cs="Arial" w:eastAsia="Arial" w:hAnsi="Arial"/>
          <w:sz w:val="22"/>
          <w:szCs w:val="22"/>
        </w:rPr>
        <w:t xml:space="preserve">Conversion flags segments. Adjudication caps its own confidence when relying on flagged segments.</w:t>
      </w:r>
    </w:p>
    <w:p>
      <w:pPr>
        <w:spacing w:before="120" w:after="120"/>
      </w:pPr>
      <w:r>
        <w:rPr>
          <w:rFonts w:ascii="Arial" w:cs="Arial" w:eastAsia="Arial" w:hAnsi="Arial"/>
          <w:sz w:val="22"/>
          <w:szCs w:val="22"/>
        </w:rPr>
        <w:t xml:space="preserve">Dominion aggregates all degradation flags and injects a system-level degradation banner into every report produced during a degraded session.</w:t>
      </w:r>
    </w:p>
    <w:p>
      <w:pPr>
        <w:pStyle w:val="Heading2"/>
      </w:pPr>
      <w:r>
        <w:t xml:space="preserve">4.3  Derived vs. Primary Evidence</w:t>
      </w:r>
    </w:p>
    <w:p>
      <w:pPr>
        <w:spacing w:before="120" w:after="120"/>
      </w:pPr>
      <w:r>
        <w:rPr>
          <w:rFonts w:ascii="Arial" w:cs="Arial" w:eastAsia="Arial" w:hAnsi="Arial"/>
          <w:b/>
          <w:bCs/>
          <w:sz w:val="22"/>
          <w:szCs w:val="22"/>
        </w:rPr>
        <w:t xml:space="preserve">Primary (derived=false): </w:t>
      </w:r>
      <w:r>
        <w:rPr>
          <w:rFonts w:ascii="Arial" w:cs="Arial" w:eastAsia="Arial" w:hAnsi="Arial"/>
          <w:sz w:val="22"/>
          <w:szCs w:val="22"/>
        </w:rPr>
        <w:t xml:space="preserve">Table as markdown. This is the only quotable representation. It preserves the original structure and content verbatim.</w:t>
      </w:r>
    </w:p>
    <w:p>
      <w:pPr>
        <w:spacing w:before="120" w:after="120"/>
      </w:pPr>
      <w:r>
        <w:rPr>
          <w:rFonts w:ascii="Arial" w:cs="Arial" w:eastAsia="Arial" w:hAnsi="Arial"/>
          <w:b/>
          <w:bCs/>
          <w:sz w:val="22"/>
          <w:szCs w:val="22"/>
        </w:rPr>
        <w:t xml:space="preserve">Derived (derived=true): </w:t>
      </w:r>
      <w:r>
        <w:rPr>
          <w:rFonts w:ascii="Arial" w:cs="Arial" w:eastAsia="Arial" w:hAnsi="Arial"/>
          <w:sz w:val="22"/>
          <w:szCs w:val="22"/>
        </w:rPr>
        <w:t xml:space="preserve">Table as natural-language sentences (e.g., “Speed: 45 mph; Location: MP 142.3; Time: 14:32”). Used to improve retrieval and LLM comprehension. Must never be quoted directly in verification findings or reports.</w:t>
      </w:r>
    </w:p>
    <w:p>
      <w:pPr>
        <w:spacing w:before="120" w:after="120"/>
      </w:pPr>
      <w:r>
        <w:rPr>
          <w:rFonts w:ascii="Arial" w:cs="Arial" w:eastAsia="Arial" w:hAnsi="Arial"/>
          <w:sz w:val="22"/>
          <w:szCs w:val="22"/>
        </w:rPr>
        <w:t xml:space="preserve">Adjudication enforces this rule: its quote_only_from_primary logic ensures that quotes_with_provenance references only non-derived segments. Chronicle enforces it in report generation.</w:t>
      </w:r>
    </w:p>
    <w:p>
      <w:pPr>
        <w:pStyle w:val="Heading2"/>
      </w:pPr>
      <w:r>
        <w:t xml:space="preserve">4.4  Evaluation Harness</w:t>
      </w:r>
    </w:p>
    <w:p>
      <w:pPr>
        <w:spacing w:before="120" w:after="120"/>
      </w:pPr>
      <w:r>
        <w:rPr>
          <w:rFonts w:ascii="Arial" w:cs="Arial" w:eastAsia="Arial" w:hAnsi="Arial"/>
          <w:sz w:val="22"/>
          <w:szCs w:val="22"/>
        </w:rPr>
        <w:t xml:space="preserve">A golden test set must be maintained from day one of development. This is not Phase 5 testing—it is a gating suite that runs on every change to chunking, retrieval, or verification logic.</w:t>
      </w:r>
    </w:p>
    <w:p>
      <w:pPr>
        <w:spacing w:before="120" w:after="120"/>
      </w:pPr>
      <w:r>
        <w:rPr>
          <w:rFonts w:ascii="Arial" w:cs="Arial" w:eastAsia="Arial" w:hAnsi="Arial"/>
          <w:b/>
          <w:bCs/>
          <w:sz w:val="22"/>
          <w:szCs w:val="22"/>
        </w:rPr>
        <w:t xml:space="preserve">Claims suite: </w:t>
      </w:r>
      <w:r>
        <w:rPr>
          <w:rFonts w:ascii="Arial" w:cs="Arial" w:eastAsia="Arial" w:hAnsi="Arial"/>
          <w:sz w:val="22"/>
          <w:szCs w:val="22"/>
        </w:rPr>
        <w:t xml:space="preserve">15–20 claims with known support outcomes (Supported, Not Supported, Contradicted, Partially Supported). Drawn from real case materials where ground truth is established.</w:t>
      </w:r>
    </w:p>
    <w:p>
      <w:pPr>
        <w:spacing w:before="120" w:after="120"/>
      </w:pPr>
      <w:r>
        <w:rPr>
          <w:rFonts w:ascii="Arial" w:cs="Arial" w:eastAsia="Arial" w:hAnsi="Arial"/>
          <w:b/>
          <w:bCs/>
          <w:sz w:val="22"/>
          <w:szCs w:val="22"/>
        </w:rPr>
        <w:t xml:space="preserve">Citations suite: </w:t>
      </w:r>
      <w:r>
        <w:rPr>
          <w:rFonts w:ascii="Arial" w:cs="Arial" w:eastAsia="Arial" w:hAnsi="Arial"/>
          <w:sz w:val="22"/>
          <w:szCs w:val="22"/>
        </w:rPr>
        <w:t xml:space="preserve">20 citations with known verification outcomes, including edge cases: short-form citations, supra references, reporter variations (US vs. U.S.), and known non-existent citations.</w:t>
      </w:r>
    </w:p>
    <w:p>
      <w:pPr>
        <w:spacing w:before="120" w:after="120"/>
      </w:pPr>
      <w:r>
        <w:rPr>
          <w:rFonts w:ascii="Arial" w:cs="Arial" w:eastAsia="Arial" w:hAnsi="Arial"/>
          <w:b/>
          <w:bCs/>
          <w:sz w:val="22"/>
          <w:szCs w:val="22"/>
        </w:rPr>
        <w:t xml:space="preserve">Media suite: </w:t>
      </w:r>
      <w:r>
        <w:rPr>
          <w:rFonts w:ascii="Arial" w:cs="Arial" w:eastAsia="Arial" w:hAnsi="Arial"/>
          <w:sz w:val="22"/>
          <w:szCs w:val="22"/>
        </w:rPr>
        <w:t xml:space="preserve">5 noisy scanned PDFs, 3 handwritten form samples, 2 audio recordings with background noise. Used to verify that confidence warnings fire correctly and low-confidence segments are flagged.</w:t>
      </w:r>
    </w:p>
    <w:p>
      <w:pPr>
        <w:spacing w:before="120" w:after="120"/>
      </w:pPr>
      <w:r>
        <w:rPr>
          <w:rFonts w:ascii="Arial" w:cs="Arial" w:eastAsia="Arial" w:hAnsi="Arial"/>
          <w:sz w:val="22"/>
          <w:szCs w:val="22"/>
        </w:rPr>
        <w:t xml:space="preserve">The harness produces a pass/fail report. Any regression blocks deployment.</w:t>
      </w:r>
    </w:p>
    <w:p>
      <w:pPr>
        <w:pStyle w:val="Heading2"/>
      </w:pPr>
      <w:r>
        <w:t xml:space="preserve">4.5  Pipeline Caching Strategy</w:t>
      </w:r>
    </w:p>
    <w:p>
      <w:pPr>
        <w:spacing w:before="120" w:after="120"/>
      </w:pPr>
      <w:r>
        <w:rPr>
          <w:rFonts w:ascii="Arial" w:cs="Arial" w:eastAsia="Arial" w:hAnsi="Arial"/>
          <w:sz w:val="22"/>
          <w:szCs w:val="22"/>
        </w:rPr>
        <w:t xml:space="preserve">The Engine caches intermediate results at three pipeline stages to avoid redundant processing when files or claims are re-encountered. Caching is keyed by content hashes and invalidated by upstream changes.</w:t>
      </w:r>
    </w:p>
    <w:p>
      <w:pPr>
        <w:spacing w:before="120" w:after="120"/>
      </w:pPr>
      <w:r>
        <w:rPr>
          <w:rFonts w:ascii="Arial" w:cs="Arial" w:eastAsia="Arial" w:hAnsi="Arial"/>
          <w:b/>
          <w:bCs/>
          <w:sz w:val="22"/>
          <w:szCs w:val="22"/>
        </w:rPr>
        <w:t xml:space="preserve">File hash → segments: </w:t>
      </w:r>
      <w:r>
        <w:rPr>
          <w:rFonts w:ascii="Arial" w:cs="Arial" w:eastAsia="Arial" w:hAnsi="Arial"/>
          <w:sz w:val="22"/>
          <w:szCs w:val="22"/>
        </w:rPr>
        <w:t xml:space="preserve">When Conversion processes a file, the resulting EvidenceSegments are associated with the file’s SHA-256 hash. If the same file is re-ingested (same hash in the Vault), Conversion returns the cached segments without reprocessing. Invalidation: manual re-ingest command.</w:t>
      </w:r>
    </w:p>
    <w:p>
      <w:pPr>
        <w:spacing w:before="120" w:after="120"/>
      </w:pPr>
      <w:r>
        <w:rPr>
          <w:rFonts w:ascii="Arial" w:cs="Arial" w:eastAsia="Arial" w:hAnsi="Arial"/>
          <w:b/>
          <w:bCs/>
          <w:sz w:val="22"/>
          <w:szCs w:val="22"/>
        </w:rPr>
        <w:t xml:space="preserve">Segments version → chunks/index: </w:t>
      </w:r>
      <w:r>
        <w:rPr>
          <w:rFonts w:ascii="Arial" w:cs="Arial" w:eastAsia="Arial" w:hAnsi="Arial"/>
          <w:sz w:val="22"/>
          <w:szCs w:val="22"/>
        </w:rPr>
        <w:t xml:space="preserve">Structuring and Preservation track a version hash of their input segments. If the segment set for a source document is unchanged, chunking and indexing are skipped. Invalidation: new segments written for the same source, or chunking configuration change.</w:t>
      </w:r>
    </w:p>
    <w:p>
      <w:pPr>
        <w:spacing w:before="120" w:after="120"/>
      </w:pPr>
      <w:r>
        <w:rPr>
          <w:rFonts w:ascii="Arial" w:cs="Arial" w:eastAsia="Arial" w:hAnsi="Arial"/>
          <w:b/>
          <w:bCs/>
          <w:sz w:val="22"/>
          <w:szCs w:val="22"/>
        </w:rPr>
        <w:t xml:space="preserve">Claim text hash → retrieval candidates: </w:t>
      </w:r>
      <w:r>
        <w:rPr>
          <w:rFonts w:ascii="Arial" w:cs="Arial" w:eastAsia="Arial" w:hAnsi="Arial"/>
          <w:sz w:val="22"/>
          <w:szCs w:val="22"/>
        </w:rPr>
        <w:t xml:space="preserve">Inquiry caches EvidenceBundles keyed by the claim text hash + index version. If the same claim text is re-verified against an unchanged index, retrieval results are returned from cache. Invalidation: any index rebuild (new evidence ingested) or claim text change.</w:t>
      </w:r>
    </w:p>
    <w:p>
      <w:pPr>
        <w:spacing w:before="120" w:after="120"/>
      </w:pPr>
      <w:r>
        <w:rPr>
          <w:rFonts w:ascii="Arial" w:cs="Arial" w:eastAsia="Arial" w:hAnsi="Arial"/>
          <w:sz w:val="22"/>
          <w:szCs w:val="22"/>
        </w:rPr>
        <w:t xml:space="preserve">Cache invalidation is conservative: any upstream change invalidates all downstream caches for that source. The Audit Log records cache hits and misses for transparency. Cache is per-case and stored in the case workspace directory.</w:t>
      </w:r>
    </w:p>
    <w:p>
      <w:r>
        <w:br w:type="page"/>
      </w:r>
    </w:p>
    <w:p>
      <w:pPr>
        <w:pStyle w:val="Heading1"/>
      </w:pPr>
      <w:r>
        <w:t xml:space="preserve">5. Engine Module Specifications</w:t>
      </w:r>
    </w:p>
    <w:p>
      <w:pPr>
        <w:spacing w:before="120" w:after="120"/>
      </w:pPr>
      <w:r>
        <w:rPr>
          <w:rFonts w:ascii="Arial" w:cs="Arial" w:eastAsia="Arial" w:hAnsi="Arial"/>
          <w:sz w:val="22"/>
          <w:szCs w:val="22"/>
        </w:rPr>
        <w:t xml:space="preserve">Ten modules. Each specification includes: functional role, Engine-side skills to implement, inputs consumed, outputs produced, fail-safe rules, and concurrency model. These are Python modules within the FastAPI Engine, not separate OpenClaw agents.</w:t>
      </w:r>
    </w:p>
    <w:p>
      <w:pPr>
        <w:pStyle w:val="Heading2"/>
      </w:pPr>
      <w:r>
        <w:t xml:space="preserve">5.1  Dominion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Orchestrator — Shard: Dominion</w:t>
            </w:r>
          </w:p>
        </w:tc>
        <w:tc>
          <w:tcPr>
            <w:tcW w:type="dxa" w:w="71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Role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Central orchestrator module. Deterministic Python code that routes tasks to the correct pipeline, monitors governance KPIs, manages feedback loops, propagates degradation state, enforces privacy policy, and maintains the human-in-the-loop escalation queue. Dominion does not make LLM calls for routing decisions—all sequencing is coded in Python.</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Skills</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workflow_ingest_case: plan + dispatch the full ingestion pipeline (Intake → Conversion → Structuring → Preservation). workflow_audit_brief: dispatch the full QC audit pipeline (Discernment → Inquiry → Adjudication → Chronicle). workflow_cite_check: dispatch citation verification requests (Validation → Chronicle). workflow_prefile_gate: coordinate Sentinel’s parallel pipelines using asyncio.gather. workflow_retries_and_degradation: inject warnings and route re-processing requests with retry limits. kpi_monitor: track per-stage metrics and fire escalation triggers. config_manager: centralize LLM/embedding/retrieval/privacy settings. case_workspace_init: create per-case workspace and initialize isolated Engine stores.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Inputs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User actions relayed via plugin tools: file uploads, audit requests, citation checks, final document checks. Status reports from all Engine modules. KPI metrics from each pipeline stage.</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Outputs</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Pipeline execution results returned to the plugin layer. Escalation queue (items needing human review). System health data. Degradation warnings. Case Build Complete and Audit Run Complete summaries.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Fail-Safes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Never produces false “complete” when modules report errors. Propagates every degradation flag to every downstream result. Blocks Final Document Check if case record is empty or critically degraded. Enforces retry limits on feedback loops (max 2 re-retrievals per claim, max 1 re-conversion per segment).</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Concurrency</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asyncio.gather with configurable semaphore for parallel claim verification. For 80 claims: 80 coroutines, semaphore(10) for concurrent LLM calls. Zero LLM overhead for task routing—each coroutine calls the verification module directly.</w:t>
            </w:r>
          </w:p>
        </w:tc>
      </w:tr>
    </w:tbl>
    <w:p>
      <w:pPr>
        <w:spacing w:before="200"/>
      </w:pPr>
    </w:p>
    <w:p>
      <w:pPr>
        <w:pStyle w:val="Heading2"/>
      </w:pPr>
      <w:r>
        <w:t xml:space="preserve">5.2  Intake (Evidence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Evidence Manager — Shard: Intake</w:t>
            </w:r>
          </w:p>
        </w:tc>
        <w:tc>
          <w:tcPr>
            <w:tcW w:type="dxa" w:w="71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Role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Triage module. Turns raw file uploads into an organized evidence inventory with chain-of-custody. Catches problems before expensive conversion processing begins. Writes to the Evidence Vault.</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Skills</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file_classifier: detect media type, encoding, and quality indicators. checksum_engine: SHA-256 hashing for dedup and chain-of-custody. integrity_checker: validate file structure (PDF well-formedness, audio codec detection, image header validation, zero-byte detection). manifest_builder: generate and maintain the case evidence inventory. vault_writer: immutable write to Evidence Vault with timestamp and custody metadata.</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Inputs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Raw uploaded files of any type: PDF, DOCX, audio (MP3/WAV/M4A), video (MP4/MOV/AVI), images (JPEG/PNG/TIFF/DICOM), scanned documents.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Outputs</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Evidence Vault entries with checksums and timestamps. Case manifest. Conversion task queue (file references + media type classifications) dispatched to Conversion module.</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Fail-Safes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Never overwrites originals in the Vault. Flags corrupted/unreadable files immediately. Rejects files that fail integrity checks with explicit error messages. Logs every file acceptance and rejection to the Audit Log.</w:t>
            </w:r>
          </w:p>
        </w:tc>
      </w:tr>
    </w:tbl>
    <w:p>
      <w:pPr>
        <w:spacing w:before="200"/>
      </w:pPr>
    </w:p>
    <w:p>
      <w:pPr>
        <w:pStyle w:val="Heading2"/>
      </w:pPr>
      <w:r>
        <w:t xml:space="preserve">5.3  Conversion (Multi-Modal Extractor)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Multi-Modal Extractor — Shard: Conversion</w:t>
            </w:r>
          </w:p>
        </w:tc>
        <w:tc>
          <w:tcPr>
            <w:tcW w:type="dxa" w:w="71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Role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Converts non-text evidence into EvidenceSegments with provenance. Routes each file to the appropriate extraction sub-pipeline. Writes to the Evidence Ledger. Does NOT perform triage (Intake) or chunking (Structuring).</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Skills</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ingest_pdf_layout: pdfplumber with table detection, header classification via font heuristics, text-block merging, table-to-markdown (primary, derived=false), and table-to-sentences (derived=true). ingest_ocr_printed: Tesseract with deskew/denoise preprocessing and confidence scoring. ingest_handwriting: Vision LLM prompt for handwriting extraction; routes low-confidence results to escalation queue. ingest_audio: Whisper large-v3 with pyannote.audio speaker diarization and timestamp segmentation. ingest_video: ffmpeg audio extraction + configurable keyframe sampling + Vision LLM scene descriptions (derived=true). ingest_image: Vision LLM description (derived=true) + Tesseract for embedded text (derived=false).</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Inputs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Conversion task queue from Intake (file references + media type classifications).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Outputs</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EvidenceSegment objects written to the Evidence Ledger. Each segment carries all schema fields including modality, confidence, extraction_method, derived flag, and warnings.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Fail-Safes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Low-confidence OCR/handwriting segments must carry warnings and be surfaced for human review via escalation queue. Audio/video transcripts must retain timestamps. If a sub-pipeline fails, the segment is logged as failed—never silently dropped. Vision LLM descriptions are always marked derived=true.</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Sandbox</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Primary sandbox boundary. Runs in a Docker container with network disabled when cloud_model_allowed=false. Processes untrusted files (ffmpeg, Tesseract, pdfplumber) in isolation.</w:t>
            </w:r>
          </w:p>
        </w:tc>
      </w:tr>
    </w:tbl>
    <w:p>
      <w:pPr>
        <w:spacing w:before="200"/>
      </w:pPr>
    </w:p>
    <w:p>
      <w:pPr>
        <w:pStyle w:val="Heading2"/>
      </w:pPr>
      <w:r>
        <w:t xml:space="preserve">5.4  Structuring (Document Chunker)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Document Chunker — Shard: Structuring</w:t>
            </w:r>
          </w:p>
        </w:tc>
        <w:tc>
          <w:tcPr>
            <w:tcW w:type="dxa" w:w="71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Role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Converts EvidenceSegments into retrieval-ready Chunks without destroying evidentiary structure. Applies modality-aware chunking strategies with context injection. Writes Chunks to the Retrieval Index.</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Skills</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structural_chunker: recursive character/paragraph splitter respecting element boundaries from Conversion. sentence_chunker: legal-text-aware sentence splitting (handles “v.” “See” “Cf.” without false breaks). context_injector: prepends section headers and page/timestamp metadata to each chunk so isolated chunks retain meaning. modality_router: selects chunking strategy based on segment modality. chunk_indexer: assigns sequential chunk_index per source document for neighbor retrieval.</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Inputs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EvidenceSegments from the Evidence Ledger.</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Outputs</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Chunk objects written to the Retrieval Index with all schema fields: chunk_id, segment_ids, source, location, chunk_method, text with context header, chunk_index.</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Fail-Safes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Never rewrites evidence—only packages it. If structure is ambiguous, chunks smaller and marks uncertainty. Tables are never split mid-row. Maintains chunk_index ordering so context window expansion works. Preserves the derived flag from source segments.</w:t>
            </w:r>
          </w:p>
        </w:tc>
      </w:tr>
    </w:tbl>
    <w:p>
      <w:pPr>
        <w:spacing w:before="200"/>
      </w:pPr>
    </w:p>
    <w:p>
      <w:pPr>
        <w:pStyle w:val="Heading2"/>
      </w:pPr>
      <w:r>
        <w:t xml:space="preserve">5.5  Preservation (Index &amp; Retrieval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Index &amp; Retrieval Engine — Shard: Preservation</w:t>
            </w:r>
          </w:p>
        </w:tc>
        <w:tc>
          <w:tcPr>
            <w:tcW w:type="dxa" w:w="71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Role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Builds and maintains the dual retrieval index. Provides hybrid query capability. Reports retrieval quality and degradation state.</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Skills</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dense_indexer: sentence-transformers embedding + vector DB upsert with metadata filtering support. Detects and reports hash-fallback mode. bm25_indexer: rank-bm25 corpus builder and query interface. entity_extractor: lightweight NER (spaCy) for names, dates, amounts—stored as structured metadata for filtered retrieval. index_health_reporter: computes index statistics and reports degradation state.</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Inputs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Chunks from Structuring (for index building). Index health queries from Dominion.</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Outputs</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Indexed chunks in both dense and BM25 stores. Index health metrics. Degradation flags (semantic vs. hash mode).</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Fail-Safes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If hash embeddings are active, reports DEGRADED on every health check. Never silently uses degraded embeddings without flagging.</w:t>
            </w:r>
          </w:p>
        </w:tc>
      </w:tr>
    </w:tbl>
    <w:p>
      <w:pPr>
        <w:spacing w:before="200"/>
      </w:pPr>
    </w:p>
    <w:p>
      <w:pPr>
        <w:pStyle w:val="Heading2"/>
      </w:pPr>
      <w:r>
        <w:t xml:space="preserve">5.6  Inquiry (Evidence Retriever)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Evidence Retriever — Shard: Inquiry</w:t>
            </w:r>
          </w:p>
        </w:tc>
        <w:tc>
          <w:tcPr>
            <w:tcW w:type="dxa" w:w="71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Role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Retrieves evidence per claim using hybrid retrieval with modality-aware filtering, fusion, optional re-ranking, and context window expansion. Produces EvidenceBundles for Adjudication.</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Skills</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query_builder: expands claim text with entity-based query variants. modality_filter: applies metadata pre-filtering when Discernment tags a claim as referencing specific media types. rrf_merger: Reciprocal Rank Fusion combining dense and BM25 results with configurable weight. reranker: optional cross-encoder (BAAI/bge-reranker-base) or LLM-based relevance scoring. context_expander: retrieves ±1 neighbor chunks by chunk_index and source. contradiction_hunter: explicitly searches for contradicting evidence by negating key claim terms.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Inputs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Claims from Discernment (with modality tags, entity anchors, priority scores). Access to the Retrieval Index.</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Outputs</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EvidenceBundle objects: ranked chunks with relevance scores, provenance metadata, conversion confidence pass-through, retrieval mode flag, and retrieval warnings.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Fail-Safes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If retrieval returns nothing, says so plainly—never invents support. Passes retrieval mode (semantic vs. degraded) through to Adjudication. Reports empty-hit rate for KPI tracking.</w:t>
            </w:r>
          </w:p>
        </w:tc>
      </w:tr>
    </w:tbl>
    <w:p>
      <w:pPr>
        <w:spacing w:before="200"/>
      </w:pPr>
    </w:p>
    <w:p>
      <w:pPr>
        <w:pStyle w:val="Heading2"/>
      </w:pPr>
      <w:r>
        <w:t xml:space="preserve">5.7  Discernment (Claim Miner)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Claim Miner — Shard: Discernment</w:t>
            </w:r>
          </w:p>
        </w:tc>
        <w:tc>
          <w:tcPr>
            <w:tcW w:type="dxa" w:w="71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Role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Extracts audit targets from briefs. Classifies claims, tags with expected evidence modality, anchors to entities, assigns verification priority, and routes legal citations to Validation.</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Skills</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boilerplate_filter: regex patterns to skip headings, boilerplate (COMES NOW, RESPECTFULLY SUBMITTED), procedural language, and citation signals. llm_decomposer: LLM prompt for atomic claim extraction from compound sentences. claim_classifier: classifies claims by type (factual, medical opinion, witness testimony, damages figure, legal citation, procedural). modality_tagger: identifies evidence-type references in claim text. entity_extractor: lightweight NER for dates, names, amounts, locations. priority_scorer: risk-based priority assignment (medical causation and damages highest). citation_router: identifies legal citations and routes them to Validation instead of Adjudication.</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Inputs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DOCX/PDF brief (or dictated audio routed through Conversion).</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Outputs</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Claim objects with all schema fields. Each claim has a routing flag: factual claims → Inquiry → Adjudication; legal citations → Validation; procedural/boilerplate → skip.</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Fail-Safes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Defaults toward NOT skipping potentially factual statements (safety-first over-inclusion). Flags ambiguous claims for human review. When LLM is unavailable, falls back to heuristic classification with lower confidence and reports DEGRADED.</w:t>
            </w:r>
          </w:p>
        </w:tc>
      </w:tr>
    </w:tbl>
    <w:p>
      <w:pPr>
        <w:spacing w:before="200"/>
      </w:pPr>
    </w:p>
    <w:p>
      <w:pPr>
        <w:pStyle w:val="Heading2"/>
      </w:pPr>
      <w:r>
        <w:t xml:space="preserve">5.8  Adjudication (Fact Verifier)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Fact Verifier — Shard: Adjudication</w:t>
            </w:r>
          </w:p>
        </w:tc>
        <w:tc>
          <w:tcPr>
            <w:tcW w:type="dxa" w:w="71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Role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Evaluates each factual claim against retrieved evidence using adversarial structured verification. Produces VerificationFindings with composite confidence.</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Skills</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verify_claim_skeptical: builds the skeptical opposing-counsel verification prompt. Instructs the LLM: assume NOT supported unless proven; partial support must explain gaps; no inference beyond excerpts; contradictions must quote the contradiction. support_matrix_builder: produces the structured justification (elements_supported, elements_missing, contradictions) instead of chain-of-thought narrative. quote_only_from_primary: enforces that quotes reference only non-derived segments (derived=false). confidence_calibrator: computes composite confidence from conversion confidence, retrieval confidence, and embedding mode. confidence_capper: enforces ceiling when source evidence is low-quality OCR/handwriting. manual_review_trigger: escalates when evidence is insufficient or contradictory.</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Inputs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Claim + EvidenceBundle from Inquiry. Bundle includes conversion confidence and retrieval warnings.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Outputs</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VerificationFinding with structured justification, provenance-referenced quotes, composite confidence, and warnings. No chain-of-thought reasoning traces.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Fail-Safes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“Not Supported” is the default when evidence is missing or thin. Never infers beyond provided excerpts. Caps confidence when source segments carry low-confidence warnings. In degraded embedding mode, prepends warning to every finding. Quotes only from primary (non-derived) segments.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Concurrency</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Called by Dominion’s asyncio fan-out. Each claim verification is an independent coroutine. Semaphore-controlled to limit concurrent LLM calls (default: 10).</w:t>
            </w:r>
          </w:p>
        </w:tc>
      </w:tr>
    </w:tbl>
    <w:p>
      <w:pPr>
        <w:spacing w:before="200"/>
      </w:pPr>
    </w:p>
    <w:p>
      <w:pPr>
        <w:pStyle w:val="Heading2"/>
      </w:pPr>
      <w:r>
        <w:t xml:space="preserve">5.9  Validation (Citation Verifier)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Citation Verifier — Shard: Validation</w:t>
            </w:r>
          </w:p>
        </w:tc>
        <w:tc>
          <w:tcPr>
            <w:tcW w:type="dxa" w:w="71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Role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Dual-pass citation verification: local extraction via eyecite plus authoritative server-side verification via CourtListener Citation Lookup API, with reconciliation.</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Skills</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eyecite_extractor: local citation extraction and normalization. courtlistener_client: API client for Citation Lookup API (POST /v3/citation-lookup/) with token auth, timeout handling, and configurable base URL for V3/V4 migration. reconciler: cross-references local and API results. Citations found locally but not verified by API → UNVERIFIED — MANUAL CHECK REQUIRED. deduplicator: merges duplicate citations before API calls. normalizer: handles reporter variations (US → U.S.). fallback_on_api_down: when API is unreachable, all citations receive Error status with explicit manual-check language.</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Inputs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Text containing legal citations: pasted text, extracted citations from Discernment, or full document text from Sentinel.</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Outputs</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CitationFinding objects with all schema fields.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Fail-Safes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Never upgrades to Verified without authoritative API confirmation. API outage → Error status, not silent pass. Clear stop-sign language for Not Found in final-filing mode.</w:t>
            </w:r>
          </w:p>
        </w:tc>
      </w:tr>
    </w:tbl>
    <w:p>
      <w:pPr>
        <w:spacing w:before="200"/>
      </w:pPr>
    </w:p>
    <w:p>
      <w:pPr>
        <w:pStyle w:val="Heading2"/>
      </w:pPr>
      <w:r>
        <w:t xml:space="preserve">5.10  Sentinel (Pre-Filing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Pre-Filing Gate — Shard: Sentinel</w:t>
            </w:r>
          </w:p>
        </w:tc>
        <w:tc>
          <w:tcPr>
            <w:tcW w:type="dxa" w:w="71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Role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Final safety gate before filing. Runs comprehensive citation verification AND factual claim audit on the completed brief. Produces a timestamped GateResult with filing recommendation. Architecturally isolated from report generation—if Chronicle has a bug, the gate still works.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Skills</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parallel_coordinator: runs Validation (citations) and full Discernment → Inquiry → Adjudication pipeline (claims) concurrently via Dominion’s asyncio.gather. risk_scorer: aggregates all findings into a document-level risk score. gate_evaluator: applies configurable thresholds to produce filing recommendation. Defaults: any Not Found citation → DO_NOT_FILE; any Contradicted claim → REVIEW_REQUIRED; &gt;3 Not Supported claims with high priority → REVIEW_REQUIRED. config_snapshot: captures full system state for the due-diligence record. escalation_emitter: sends gate results to Dominion for UI display.</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Inputs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Final DOCX/PDF brief. Access to the full case record via the Retrieval Index.</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Outputs</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GateResult with filing recommendation, risk score, citation summary, claim summary, config snapshot, and timestamp. Passed to Chronicle for report rendering.</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Fail-Safes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Gate is conservative. Any Not Found citation triggers DO_NOT_FILE. The gate function operates independently of report rendering. If the system is in degraded mode, the config snapshot discloses this and the gate adds REVIEW_REQUIRED regardless of finding outcomes.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Concurrency</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Uses Dominion’s asyncio.gather to run citation verification and claim audit pipelines in parallel. Each pipeline runs its own internal concurrency (claim fan-out within the audit pipeline).</w:t>
            </w:r>
          </w:p>
        </w:tc>
      </w:tr>
    </w:tbl>
    <w:p>
      <w:pPr>
        <w:spacing w:before="200"/>
      </w:pPr>
    </w:p>
    <w:p>
      <w:pPr>
        <w:pStyle w:val="Heading2"/>
      </w:pPr>
      <w:r>
        <w:t xml:space="preserve">5.11  Chronicle (Report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Report Generator — Shard: Chronicle</w:t>
            </w:r>
          </w:p>
        </w:tc>
        <w:tc>
          <w:tcPr>
            <w:tcW w:type="dxa" w:w="71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Role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Renders verification results into polished, multi-format reports with provenance citations, evidence quality dashboards, and mandatory system transparency disclosures.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Skills</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html_renderer: Jinja2 template engine for HTML reports with color-coded findings. docx_renderer: python-docx document builder for Word reports. pdf_renderer: WeasyPrint HTML-to-PDF conversion. executive_summarizer: extracts highest-risk findings and generates summary. quality_dashboard: computes media type breakdown and confidence statistics. transparency_writer: generates mandatory system configuration disclosure (LLM models, embedding mode, retrieval strategy, degradation flags, privacy settings). media_indexer: builds complete source media inventory. timestamp_service: adds ISO-8601 timestamps to all pre-filing reports.</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Inputs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VerificationFindings from Adjudication. CitationFindings from Validation. GateResult from Sentinel. System state from Dominion (degradation flags, config).</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Outputs</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Downloadable reports (HTML, DOCX, PDF) tailored to type: QC audit report, citation report, or pre-filing sanctions shield packet. Every report includes the system transparency section.</w:t>
            </w:r>
          </w:p>
        </w:tc>
      </w:tr>
      <w:tr>
        <w:tc>
          <w:tcPr>
            <w:tcW w:type="dxa" w:w="2200"/>
            <w:tcBorders>
              <w:top w:val="single" w:color="CCCCCC" w:sz="1"/>
              <w:left w:val="single" w:color="CCCCCC" w:sz="1"/>
              <w:bottom w:val="single" w:color="CCCCCC" w:sz="1"/>
              <w:right w:val="single" w:color="CCCCCC" w:sz="1"/>
            </w:tcBorders>
            <w:shd w:fill="E8EDF3" w:val="clear"/>
            <w:tcMar>
              <w:top w:type="dxa" w:w="60"/>
              <w:left w:type="dxa" w:w="100"/>
              <w:bottom w:type="dxa" w:w="60"/>
              <w:right w:type="dxa" w:w="100"/>
            </w:tcMar>
          </w:tcPr>
          <w:p>
            <w:pPr>
              <w:spacing w:before="40" w:after="40"/>
            </w:pPr>
            <w:r>
              <w:rPr>
                <w:rFonts w:ascii="Arial" w:cs="Arial" w:eastAsia="Arial" w:hAnsi="Arial"/>
                <w:b/>
                <w:bCs/>
                <w:sz w:val="20"/>
                <w:szCs w:val="20"/>
              </w:rPr>
              <w:t xml:space="preserve">Fail-Safes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Never generates a report that omits degradation warnings. System transparency section is mandatory and cannot be suppressed. Pre-filing reports always include timestamps. Quotes in reports reference only non-derived segments.</w:t>
            </w:r>
          </w:p>
        </w:tc>
      </w:tr>
    </w:tbl>
    <w:p>
      <w:r>
        <w:br w:type="page"/>
      </w:r>
    </w:p>
    <w:p>
      <w:pPr>
        <w:pStyle w:val="Heading1"/>
      </w:pPr>
      <w:r>
        <w:t xml:space="preserve">6. Governance KPIs &amp; Escalation Triggers</w:t>
      </w:r>
    </w:p>
    <w:p>
      <w:pPr>
        <w:spacing w:before="120" w:after="120"/>
      </w:pPr>
      <w:r>
        <w:rPr>
          <w:rFonts w:ascii="Arial" w:cs="Arial" w:eastAsia="Arial" w:hAnsi="Arial"/>
          <w:sz w:val="22"/>
          <w:szCs w:val="22"/>
        </w:rPr>
        <w:t xml:space="preserve">Dominion monitors these metrics continuously and fires escalation triggers to the human-review queue when thresholds are breached.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Stage</w:t>
            </w:r>
          </w:p>
        </w:tc>
        <w:tc>
          <w:tcPr>
            <w:tcW w:type="dxa" w:w="40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Key Metrics</w:t>
            </w:r>
          </w:p>
        </w:tc>
        <w:tc>
          <w:tcPr>
            <w:tcW w:type="dxa" w:w="38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Escalation Triggers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Intake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Files accepted vs. rejected; corrupted file rate; dedup hit rate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Any corrupted file detected; integrity check failure rate &gt; 5%</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Conversion</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Segments produced per file; confidence distribution by modality; extraction failure rate</w:t>
            </w:r>
          </w:p>
        </w:tc>
        <w:tc>
          <w:tcPr>
            <w:tcW w:type="dxa" w:w="3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Handwriting confidence &lt; 0.5; OCR confidence clustered &lt; 0.6; silent audio; extraction failure on any file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Structuring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Chunks produced; avg chunk size; modality distribution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Anomalous chunk counts (0 chunks from a multi-page PDF)</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Preservation</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Index document count; embedding mode (semantic vs. hash); entity count</w:t>
            </w:r>
          </w:p>
        </w:tc>
        <w:tc>
          <w:tcPr>
            <w:tcW w:type="dxa" w:w="3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Hash embedding mode active (degraded); index empty after ingestion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Inquiry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Avg evidence chunks per claim; empty-hit rate; retrieval mode distribution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Empty hits on high-priority claims; &gt;20% claims return no evidence; degraded retrieval mode</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Discernment</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Claims extracted; boilerplate filter rate; classification distribution; ambiguous claim count</w:t>
            </w:r>
          </w:p>
        </w:tc>
        <w:tc>
          <w:tcPr>
            <w:tcW w:type="dxa" w:w="3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Ambiguous claim count &gt; 10% of total; zero claims extracted from non-trivial brief</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Adjudication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Status distribution; manual review rate; avg confidence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Any Contradicted finding; Supported finding relying only on low-confidence source; manual review rate &gt; 15%</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Validation</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Verified vs. Not Found vs. Unverified vs. Error; API error rate</w:t>
            </w:r>
          </w:p>
        </w:tc>
        <w:tc>
          <w:tcPr>
            <w:tcW w:type="dxa" w:w="3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Any Not Found in final-filing mode; API error rate &gt; 10%; any Unverified citations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Sentinel</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Gate outcome distribution; risk score distribution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Any DO_NOT_FILE issued; degraded-mode pre-filing attempt</w:t>
            </w:r>
          </w:p>
        </w:tc>
      </w:tr>
    </w:tbl>
    <w:p>
      <w:r>
        <w:br w:type="page"/>
      </w:r>
    </w:p>
    <w:p>
      <w:pPr>
        <w:pStyle w:val="Heading1"/>
      </w:pPr>
      <w:r>
        <w:t xml:space="preserve">7. OpenClaw Deployment Architecture</w:t>
      </w:r>
    </w:p>
    <w:p>
      <w:pPr>
        <w:pStyle w:val="Heading2"/>
      </w:pPr>
      <w:r>
        <w:t xml:space="preserve">7.1  Single Agent Configuration</w:t>
      </w:r>
    </w:p>
    <w:p>
      <w:pPr>
        <w:spacing w:before="120" w:after="120"/>
      </w:pPr>
      <w:r>
        <w:rPr>
          <w:rFonts w:ascii="Arial" w:cs="Arial" w:eastAsia="Arial" w:hAnsi="Arial"/>
          <w:sz w:val="22"/>
          <w:szCs w:val="22"/>
        </w:rPr>
        <w:t xml:space="preserve">One OpenClaw agent handles all user interaction for a given case workspace. The agent runs in the main session (agent:&lt;agentId&gt;:main) with full operator capabilities. No DM or group sessions are used—LegalMind is restricted to local web UI and CLI (see Section 7.5).</w:t>
      </w:r>
    </w:p>
    <w:p>
      <w:pPr>
        <w:spacing w:before="120" w:after="120"/>
      </w:pPr>
      <w:r>
        <w:rPr>
          <w:rFonts w:ascii="Arial" w:cs="Arial" w:eastAsia="Arial" w:hAnsi="Arial"/>
          <w:sz w:val="22"/>
          <w:szCs w:val="22"/>
        </w:rPr>
        <w:t xml:space="preserve">OpenClaw builds the final prompt by composing multiple sources: workspace files (AGENTS.md, SOUL.md, TOOLS.md), dynamic context (session history, skills, memory search), tool definitions (built-in + plugin tools), and the Pi Agent Core base instructions. LegalMind’s workspace files are configured as follows:</w:t>
      </w:r>
    </w:p>
    <w:p>
      <w:pPr>
        <w:spacing w:before="120" w:after="120"/>
      </w:pPr>
      <w:r>
        <w:rPr>
          <w:rFonts w:ascii="Arial" w:cs="Arial" w:eastAsia="Arial" w:hAnsi="Arial"/>
          <w:b/>
          <w:bCs/>
          <w:sz w:val="22"/>
          <w:szCs w:val="22"/>
        </w:rPr>
        <w:t xml:space="preserve">AGENTS.md (core behavior rules): </w:t>
      </w:r>
      <w:r>
        <w:rPr>
          <w:rFonts w:ascii="Arial" w:cs="Arial" w:eastAsia="Arial" w:hAnsi="Arial"/>
          <w:sz w:val="22"/>
          <w:szCs w:val="22"/>
        </w:rPr>
        <w:t xml:space="preserve">Hard behavioral rules. No Shard names appear here. Rules include: always dispatch pipeline operations through legalmind.* plugin tools; never attempt to process evidence, verify claims, or check citations directly; report all tool errors verbatim; never fabricate pipeline results. This is the operational baseline—what the agent is allowed to do, global constraints, and non-negotiable rules. Because AGENTS.md is bundled as the default behavioral contract, these rules take precedence over conversational drift.</w:t>
      </w:r>
    </w:p>
    <w:p>
      <w:pPr>
        <w:spacing w:before="120" w:after="120"/>
      </w:pPr>
      <w:r>
        <w:rPr>
          <w:rFonts w:ascii="Arial" w:cs="Arial" w:eastAsia="Arial" w:hAnsi="Arial"/>
          <w:b/>
          <w:bCs/>
          <w:sz w:val="22"/>
          <w:szCs w:val="22"/>
        </w:rPr>
        <w:t xml:space="preserve">SOUL.md (tone and personality): </w:t>
      </w:r>
      <w:r>
        <w:rPr>
          <w:rFonts w:ascii="Arial" w:cs="Arial" w:eastAsia="Arial" w:hAnsi="Arial"/>
          <w:sz w:val="22"/>
          <w:szCs w:val="22"/>
        </w:rPr>
        <w:t xml:space="preserve">Tone-only guidance. Professional, precise, litigation-aware language. No Shard names. No persona. No character. The agent speaks as a functional legal QC tool, not as a character named “Dominion” or “Sentinel.” This file controls voice and interaction style but not tool behavior or security boundaries.</w:t>
      </w:r>
    </w:p>
    <w:p>
      <w:pPr>
        <w:spacing w:before="120" w:after="120"/>
      </w:pPr>
      <w:r>
        <w:rPr>
          <w:rFonts w:ascii="Arial" w:cs="Arial" w:eastAsia="Arial" w:hAnsi="Arial"/>
          <w:b/>
          <w:bCs/>
          <w:sz w:val="22"/>
          <w:szCs w:val="22"/>
        </w:rPr>
        <w:t xml:space="preserve">TOOLS.md (tool usage conventions): </w:t>
      </w:r>
      <w:r>
        <w:rPr>
          <w:rFonts w:ascii="Arial" w:cs="Arial" w:eastAsia="Arial" w:hAnsi="Arial"/>
          <w:sz w:val="22"/>
          <w:szCs w:val="22"/>
        </w:rPr>
        <w:t xml:space="preserve">Documents the legalmind.* plugin tools, their parameters, expected return types, and error conditions. This is the user’s personal notes about how tools should be used in this environment. OpenClaw automatically provides tool definitions to the model; TOOLS.md supplements those definitions with usage guidance specific to legal QC workflows (e.g., “always run /prefile before /citecheck on final briefs”).</w:t>
      </w:r>
    </w:p>
    <w:p>
      <w:pPr>
        <w:spacing w:before="120" w:after="120"/>
      </w:pPr>
      <w:r>
        <w:rPr>
          <w:rFonts w:ascii="Arial" w:cs="Arial" w:eastAsia="Arial" w:hAnsi="Arial"/>
          <w:b/>
          <w:bCs/>
          <w:sz w:val="22"/>
          <w:szCs w:val="22"/>
        </w:rPr>
        <w:t xml:space="preserve">Skill injection (selective, per-turn): </w:t>
      </w:r>
      <w:r>
        <w:rPr>
          <w:rFonts w:ascii="Arial" w:cs="Arial" w:eastAsia="Arial" w:hAnsi="Arial"/>
          <w:sz w:val="22"/>
          <w:szCs w:val="22"/>
        </w:rPr>
        <w:t xml:space="preserve">OpenClaw does not blindly inject every SKILL.md file into every prompt. The runtime selectively injects only the skill(s) relevant to the current turn. LegalMind’s SKILL.md files (see Section 8) are designed for this selective injection pattern—each is self-contained and can be loaded independently without requiring other skills as context.</w:t>
      </w:r>
    </w:p>
    <w:p>
      <w:pPr>
        <w:pStyle w:val="Heading2"/>
      </w:pPr>
      <w:r>
        <w:t xml:space="preserve">7.2  Plugin: legalmind-tools</w:t>
      </w:r>
    </w:p>
    <w:p>
      <w:pPr>
        <w:spacing w:before="120" w:after="120"/>
      </w:pPr>
      <w:r>
        <w:rPr>
          <w:rFonts w:ascii="Arial" w:cs="Arial" w:eastAsia="Arial" w:hAnsi="Arial"/>
          <w:sz w:val="22"/>
          <w:szCs w:val="22"/>
        </w:rPr>
        <w:t xml:space="preserve">A tool plugin following OpenClaw’s standard extension system. The plugin lives in the workspace’s extensions/ directory and is discovered via the openclaw.extensions field in its package.json. The plugin loader (src/plugins/loader.ts) validates it against the declared TypeBox schema and hot-loads it when configuration is present.</w:t>
      </w:r>
    </w:p>
    <w:p>
      <w:pPr>
        <w:spacing w:before="120" w:after="120"/>
      </w:pPr>
      <w:r>
        <w:rPr>
          <w:rFonts w:ascii="Arial" w:cs="Arial" w:eastAsia="Arial" w:hAnsi="Arial"/>
          <w:sz w:val="22"/>
          <w:szCs w:val="22"/>
        </w:rPr>
        <w:t xml:space="preserve">Each tool is registered via api.registerTool(toolName, toolDefinition) during plugin initialization. Tool definitions include parameter schemas (validated by OpenClaw’s typed WebSocket protocol) and descriptions that are automatically injected into the model’s tool definitions. The implementation of each tool is a thin HTTP client: serialize the request as JSON, POST to the Engine’s FastAPI endpoint on localhost, return the structured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Tool</w:t>
            </w:r>
          </w:p>
        </w:tc>
        <w:tc>
          <w:tcPr>
            <w:tcW w:type="dxa" w:w="28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Engine Endpoint</w:t>
            </w:r>
          </w:p>
        </w:tc>
        <w:tc>
          <w:tcPr>
            <w:tcW w:type="dxa" w:w="37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legalmind.evidence.register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POST /api/evidence/register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Register a file in the Evidence Vault with checksumming and integrity checks.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legalmind.document.register</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POST /api/document/register</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Register a brief or filing as a document under audit. Distinct from evidence: this is the document being checked.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legalmind.evidence.ingest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POST /api/evidence/ingest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Run conversion sub-pipeline. Start/poll: returns run_id or status + EvidenceSegment IDs.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legalmind.index.chunk</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POST /api/index/chunk</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Run the Structuring pipeline on EvidenceSegments. Returns Chunk IDs.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legalmind.index.build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POST /api/index/build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Build/rebuild the dual retrieval index. Start/poll: returns run_id or status.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legalmind.index.health</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GET /api/index/health</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Return index health metrics and degradation flags.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legalmind.brief.extract_claims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POST /api/brief/extract-claims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Extract and classify claims from a brief file. Returns Claim objects.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legalmind.retrieve.hybrid</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POST /api/retrieve/hybrid</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Execute hybrid retrieval for a claim. Returns EvidenceBundle.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legalmind.verify.claim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POST /api/verify/claim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Run adversarial verification on a claim + evidence bundle. Returns VerificationFinding.</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legalmind.citations.verify_batch</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POST /api/citations/verify-batch</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Run dual-pass citation verification on text. Returns CitationFindings.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legalmind.prefile.run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POST /api/prefile/run</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Run full Sentinel pre-filing pipeline. Start/poll: returns run_id or status + GateResult.</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legalmind.report.render</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POST /api/report/render</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Render report from findings. Start/poll: returns run_id or status + file path.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legalmind.case.status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GET /api/case/status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Return case manifest, index health, and degradation flags.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legalmind.case.init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POST /api/case/init</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Initialize a new per-case workspace with isolated Engine stores.</w:t>
            </w:r>
          </w:p>
        </w:tc>
      </w:tr>
    </w:tbl>
    <w:p>
      <w:pPr>
        <w:spacing w:before="120" w:after="120"/>
      </w:pPr>
      <w:r>
        <w:rPr>
          <w:rFonts w:ascii="Arial" w:cs="Arial" w:eastAsia="Arial" w:hAnsi="Arial"/>
          <w:sz w:val="22"/>
          <w:szCs w:val="22"/>
        </w:rPr>
        <w:t xml:space="preserve"/>
      </w:r>
    </w:p>
    <w:p>
      <w:pPr>
        <w:pStyle w:val="Heading2"/>
      </w:pPr>
      <w:r>
        <w:t xml:space="preserve">7.3  Slash Commands (Deterministic Tool-Dispatch)</w:t>
      </w:r>
    </w:p>
    <w:p>
      <w:pPr>
        <w:spacing w:before="120" w:after="120"/>
      </w:pPr>
      <w:r>
        <w:rPr>
          <w:rFonts w:ascii="Arial" w:cs="Arial" w:eastAsia="Arial" w:hAnsi="Arial"/>
          <w:sz w:val="22"/>
          <w:szCs w:val="22"/>
        </w:rPr>
        <w:t xml:space="preserve">OpenClaw slash commands configured with command-dispatch: tool metadata, which bypasses the LLM entirely and dispatches directly to the named plugin tool. This is a safety control, not a convenience feature: for legal work, pipeline routing must be deterministic. The model loop must never decide whether to run an audit or which verification pipeline to invoke. The agent’s LLM is used for natural-language interaction (explaining findings, answering case questions); pipeline operations are always deterministic dispatch.</w:t>
      </w:r>
    </w:p>
    <w:p>
      <w:pPr>
        <w:spacing w:before="120" w:after="120"/>
      </w:pPr>
      <w:r>
        <w:rPr>
          <w:rFonts w:ascii="Arial" w:cs="Arial" w:eastAsia="Arial" w:hAnsi="Arial"/>
          <w:sz w:val="22"/>
          <w:szCs w:val="22"/>
        </w:rPr>
        <w:t xml:space="preserve">Each slash command’s SKILL.md file specifies command-dispatch: tool in its metadata header, ensuring OpenClaw routes the command directly to the plugin tool without model invocation:</w:t>
      </w:r>
    </w:p>
    <w:p>
      <w:pPr>
        <w:spacing w:before="120" w:after="120"/>
      </w:pPr>
      <w:r>
        <w:rPr>
          <w:rFonts w:ascii="Arial" w:cs="Arial" w:eastAsia="Arial" w:hAnsi="Arial"/>
          <w:b/>
          <w:bCs/>
          <w:sz w:val="22"/>
          <w:szCs w:val="22"/>
        </w:rPr>
        <w:t xml:space="preserve">/ingest [file]: </w:t>
      </w:r>
      <w:r>
        <w:rPr>
          <w:rFonts w:ascii="Arial" w:cs="Arial" w:eastAsia="Arial" w:hAnsi="Arial"/>
          <w:sz w:val="22"/>
          <w:szCs w:val="22"/>
        </w:rPr>
        <w:t xml:space="preserve">Calls legalmind.evidence.register → legalmind.evidence.ingest → legalmind.index.chunk → legalmind.index.build. Full ingestion pipeline.</w:t>
      </w:r>
    </w:p>
    <w:p>
      <w:pPr>
        <w:spacing w:before="120" w:after="120"/>
      </w:pPr>
      <w:r>
        <w:rPr>
          <w:rFonts w:ascii="Arial" w:cs="Arial" w:eastAsia="Arial" w:hAnsi="Arial"/>
          <w:b/>
          <w:bCs/>
          <w:sz w:val="22"/>
          <w:szCs w:val="22"/>
        </w:rPr>
        <w:t xml:space="preserve">/audit [brief]: </w:t>
      </w:r>
      <w:r>
        <w:rPr>
          <w:rFonts w:ascii="Arial" w:cs="Arial" w:eastAsia="Arial" w:hAnsi="Arial"/>
          <w:sz w:val="22"/>
          <w:szCs w:val="22"/>
        </w:rPr>
        <w:t xml:space="preserve">Calls legalmind.brief.extract_claims → (Dominion’s asyncio fan-out for retrieval + verification) → legalmind.report.render. Full QC audit pipeline.</w:t>
      </w:r>
    </w:p>
    <w:p>
      <w:pPr>
        <w:spacing w:before="120" w:after="120"/>
      </w:pPr>
      <w:r>
        <w:rPr>
          <w:rFonts w:ascii="Arial" w:cs="Arial" w:eastAsia="Arial" w:hAnsi="Arial"/>
          <w:b/>
          <w:bCs/>
          <w:sz w:val="22"/>
          <w:szCs w:val="22"/>
        </w:rPr>
        <w:t xml:space="preserve">/citecheck [text or file]: </w:t>
      </w:r>
      <w:r>
        <w:rPr>
          <w:rFonts w:ascii="Arial" w:cs="Arial" w:eastAsia="Arial" w:hAnsi="Arial"/>
          <w:sz w:val="22"/>
          <w:szCs w:val="22"/>
        </w:rPr>
        <w:t xml:space="preserve">Calls legalmind.citations.verify_batch → legalmind.report.render. Citation verification pipeline.</w:t>
      </w:r>
    </w:p>
    <w:p>
      <w:pPr>
        <w:spacing w:before="120" w:after="120"/>
      </w:pPr>
      <w:r>
        <w:rPr>
          <w:rFonts w:ascii="Arial" w:cs="Arial" w:eastAsia="Arial" w:hAnsi="Arial"/>
          <w:b/>
          <w:bCs/>
          <w:sz w:val="22"/>
          <w:szCs w:val="22"/>
        </w:rPr>
        <w:t xml:space="preserve">/prefile [brief]: </w:t>
      </w:r>
      <w:r>
        <w:rPr>
          <w:rFonts w:ascii="Arial" w:cs="Arial" w:eastAsia="Arial" w:hAnsi="Arial"/>
          <w:sz w:val="22"/>
          <w:szCs w:val="22"/>
        </w:rPr>
        <w:t xml:space="preserve">Calls legalmind.prefile.run (runs both citation and claim audit in parallel via asyncio.gather) → legalmind.report.render. Full pre-filing gate.</w:t>
      </w:r>
    </w:p>
    <w:p>
      <w:pPr>
        <w:spacing w:before="120" w:after="120"/>
      </w:pPr>
      <w:r>
        <w:rPr>
          <w:rFonts w:ascii="Arial" w:cs="Arial" w:eastAsia="Arial" w:hAnsi="Arial"/>
          <w:b/>
          <w:bCs/>
          <w:sz w:val="22"/>
          <w:szCs w:val="22"/>
        </w:rPr>
        <w:t xml:space="preserve">/case_status: </w:t>
      </w:r>
      <w:r>
        <w:rPr>
          <w:rFonts w:ascii="Arial" w:cs="Arial" w:eastAsia="Arial" w:hAnsi="Arial"/>
          <w:sz w:val="22"/>
          <w:szCs w:val="22"/>
        </w:rPr>
        <w:t xml:space="preserve">Calls legalmind.case.status. Returns case manifest, index health, and degradation flags.</w:t>
      </w:r>
    </w:p>
    <w:p>
      <w:pPr>
        <w:spacing w:before="120" w:after="120"/>
      </w:pPr>
      <w:r>
        <w:rPr>
          <w:rFonts w:ascii="Arial" w:cs="Arial" w:eastAsia="Arial" w:hAnsi="Arial"/>
          <w:b/>
          <w:bCs/>
          <w:sz w:val="22"/>
          <w:szCs w:val="22"/>
        </w:rPr>
        <w:t xml:space="preserve">/case_init [name]: </w:t>
      </w:r>
      <w:r>
        <w:rPr>
          <w:rFonts w:ascii="Arial" w:cs="Arial" w:eastAsia="Arial" w:hAnsi="Arial"/>
          <w:sz w:val="22"/>
          <w:szCs w:val="22"/>
        </w:rPr>
        <w:t xml:space="preserve">Calls legalmind.case.init. Creates a new per-case workspace with isolated Engine stores.</w:t>
      </w:r>
    </w:p>
    <w:p>
      <w:pPr>
        <w:spacing w:before="120" w:after="120"/>
      </w:pPr>
      <w:r>
        <w:rPr>
          <w:rFonts w:ascii="Arial" w:cs="Arial" w:eastAsia="Arial" w:hAnsi="Arial"/>
          <w:b/>
          <w:bCs/>
          <w:sz w:val="22"/>
          <w:szCs w:val="22"/>
        </w:rPr>
        <w:t xml:space="preserve">/doc_register [file]: </w:t>
      </w:r>
      <w:r>
        <w:rPr>
          <w:rFonts w:ascii="Arial" w:cs="Arial" w:eastAsia="Arial" w:hAnsi="Arial"/>
          <w:sz w:val="22"/>
          <w:szCs w:val="22"/>
        </w:rPr>
        <w:t xml:space="preserve">Calls legalmind.document.register. Registers a brief or filing as a document under audit (distinct from evidence registration—this is the document being checked, not the record being checked against).</w:t>
      </w:r>
    </w:p>
    <w:p>
      <w:pPr>
        <w:spacing w:before="120" w:after="120"/>
      </w:pPr>
      <w:r>
        <w:rPr>
          <w:rFonts w:ascii="Arial" w:cs="Arial" w:eastAsia="Arial" w:hAnsi="Arial"/>
          <w:b/>
          <w:bCs/>
          <w:sz w:val="22"/>
          <w:szCs w:val="22"/>
        </w:rPr>
        <w:t xml:space="preserve">Deterministic guarantee: </w:t>
      </w:r>
      <w:r>
        <w:rPr>
          <w:rFonts w:ascii="Arial" w:cs="Arial" w:eastAsia="Arial" w:hAnsi="Arial"/>
          <w:sz w:val="22"/>
          <w:szCs w:val="22"/>
        </w:rPr>
        <w:t xml:space="preserve">All slash commands above use command-dispatch: tool. The LLM is never in the routing path for pipeline operations. If a user types /prefile, the Engine receives the request within milliseconds with zero model invocation overhead. Conversational interaction (“What does this finding mean?” “Explain the risk score”) continues to use the normal model loop.</w:t>
      </w:r>
    </w:p>
    <w:p>
      <w:pPr>
        <w:pStyle w:val="Heading2"/>
      </w:pPr>
      <w:r>
        <w:t xml:space="preserve">7.4  Long-Running Job Model</w:t>
      </w:r>
    </w:p>
    <w:p>
      <w:pPr>
        <w:spacing w:before="120" w:after="120"/>
      </w:pPr>
      <w:r>
        <w:rPr>
          <w:rFonts w:ascii="Arial" w:cs="Arial" w:eastAsia="Arial" w:hAnsi="Arial"/>
          <w:sz w:val="22"/>
          <w:szCs w:val="22"/>
        </w:rPr>
        <w:t xml:space="preserve">OCR, audio transcription, index builds, and 80-claim verification runs can take minutes to complete. OpenClaw tool calls have time budgets that these operations may exceed. The Engine implements a start/poll/artifact pattern for all potentially long-running operations:</w:t>
      </w:r>
    </w:p>
    <w:p>
      <w:pPr>
        <w:spacing w:before="120" w:after="120"/>
      </w:pPr>
      <w:r>
        <w:rPr>
          <w:rFonts w:ascii="Arial" w:cs="Arial" w:eastAsia="Arial" w:hAnsi="Arial"/>
          <w:b/>
          <w:bCs/>
          <w:sz w:val="22"/>
          <w:szCs w:val="22"/>
        </w:rPr>
        <w:t xml:space="preserve">Start: </w:t>
      </w:r>
      <w:r>
        <w:rPr>
          <w:rFonts w:ascii="Arial" w:cs="Arial" w:eastAsia="Arial" w:hAnsi="Arial"/>
          <w:sz w:val="22"/>
          <w:szCs w:val="22"/>
        </w:rPr>
        <w:t xml:space="preserve">The plugin tool call initiates the operation and immediately returns a run_id + status: "running". The Engine begins processing asynchronously.</w:t>
      </w:r>
    </w:p>
    <w:p>
      <w:pPr>
        <w:spacing w:before="120" w:after="120"/>
      </w:pPr>
      <w:r>
        <w:rPr>
          <w:rFonts w:ascii="Arial" w:cs="Arial" w:eastAsia="Arial" w:hAnsi="Arial"/>
          <w:b/>
          <w:bCs/>
          <w:sz w:val="22"/>
          <w:szCs w:val="22"/>
        </w:rPr>
        <w:t xml:space="preserve">Poll: </w:t>
      </w:r>
      <w:r>
        <w:rPr>
          <w:rFonts w:ascii="Arial" w:cs="Arial" w:eastAsia="Arial" w:hAnsi="Arial"/>
          <w:sz w:val="22"/>
          <w:szCs w:val="22"/>
        </w:rPr>
        <w:t xml:space="preserve">Subsequent calls to the same tool endpoint with the run_id return current status (running/complete/failed), progress percentage, items processed / items total, and any warnings accumulated so far.</w:t>
      </w:r>
    </w:p>
    <w:p>
      <w:pPr>
        <w:spacing w:before="120" w:after="120"/>
      </w:pPr>
      <w:r>
        <w:rPr>
          <w:rFonts w:ascii="Arial" w:cs="Arial" w:eastAsia="Arial" w:hAnsi="Arial"/>
          <w:b/>
          <w:bCs/>
          <w:sz w:val="22"/>
          <w:szCs w:val="22"/>
        </w:rPr>
        <w:t xml:space="preserve">Artifact: </w:t>
      </w:r>
      <w:r>
        <w:rPr>
          <w:rFonts w:ascii="Arial" w:cs="Arial" w:eastAsia="Arial" w:hAnsi="Arial"/>
          <w:sz w:val="22"/>
          <w:szCs w:val="22"/>
        </w:rPr>
        <w:t xml:space="preserve">When status is "complete", the response includes the full result payload (findings, report path, etc.) and a manifest of all outputs produced.</w:t>
      </w:r>
    </w:p>
    <w:p>
      <w:pPr>
        <w:spacing w:before="120" w:after="120"/>
      </w:pPr>
      <w:r>
        <w:rPr>
          <w:rFonts w:ascii="Arial" w:cs="Arial" w:eastAsia="Arial" w:hAnsi="Arial"/>
          <w:sz w:val="22"/>
          <w:szCs w:val="22"/>
        </w:rPr>
        <w:t xml:space="preserve">This pattern is implemented within the existing tool endpoints—no separate polling tools required. A call without run_id starts a new run; a call with run_id checks status. The agent’s TOOLS.md documents this dual-mode behavior so the LLM can poll correctly during conversational interaction.</w:t>
      </w:r>
    </w:p>
    <w:p>
      <w:pPr>
        <w:spacing w:before="120" w:after="120"/>
      </w:pPr>
      <w:r>
        <w:rPr>
          <w:rFonts w:ascii="Arial" w:cs="Arial" w:eastAsia="Arial" w:hAnsi="Arial"/>
          <w:b/>
          <w:bCs/>
          <w:sz w:val="22"/>
          <w:szCs w:val="22"/>
        </w:rPr>
        <w:t xml:space="preserve">Tools using start/poll: </w:t>
      </w:r>
      <w:r>
        <w:rPr>
          <w:rFonts w:ascii="Arial" w:cs="Arial" w:eastAsia="Arial" w:hAnsi="Arial"/>
          <w:sz w:val="22"/>
          <w:szCs w:val="22"/>
        </w:rPr>
        <w:t xml:space="preserve">legalmind.evidence.ingest (conversion pipelines), legalmind.index.build (embedding + BM25 indexing), legalmind.verify.claim (batch verification), legalmind.prefile.run (full Sentinel pipeline), legalmind.report.render (multi-format report generation).</w:t>
      </w:r>
    </w:p>
    <w:p>
      <w:pPr>
        <w:spacing w:before="120" w:after="120"/>
      </w:pPr>
      <w:r>
        <w:rPr>
          <w:rFonts w:ascii="Arial" w:cs="Arial" w:eastAsia="Arial" w:hAnsi="Arial"/>
          <w:b/>
          <w:bCs/>
          <w:sz w:val="22"/>
          <w:szCs w:val="22"/>
        </w:rPr>
        <w:t xml:space="preserve">Tools that return synchronously: </w:t>
      </w:r>
      <w:r>
        <w:rPr>
          <w:rFonts w:ascii="Arial" w:cs="Arial" w:eastAsia="Arial" w:hAnsi="Arial"/>
          <w:sz w:val="22"/>
          <w:szCs w:val="22"/>
        </w:rPr>
        <w:t xml:space="preserve">legalmind.evidence.register (fast hash + metadata), legalmind.document.register (brief registration), legalmind.index.health (cached metrics), legalmind.case.status (manifest read), legalmind.case.init (directory creation), legalmind.brief.extract_claims (returns claims JSON), legalmind.retrieve.hybrid (single-claim retrieval), legalmind.citations.verify_batch (typically fast for ≤50 citations).</w:t>
      </w:r>
    </w:p>
    <w:p>
      <w:pPr>
        <w:pStyle w:val="Heading2"/>
      </w:pPr>
      <w:r>
        <w:t xml:space="preserve">7.5  Engine-Side Concurrency Model</w:t>
      </w:r>
    </w:p>
    <w:p>
      <w:pPr>
        <w:spacing w:before="120" w:after="120"/>
      </w:pPr>
      <w:r>
        <w:rPr>
          <w:rFonts w:ascii="Arial" w:cs="Arial" w:eastAsia="Arial" w:hAnsi="Arial"/>
          <w:sz w:val="22"/>
          <w:szCs w:val="22"/>
        </w:rPr>
        <w:t xml:space="preserve">All concurrency is Engine-side. OpenClaw calls one Engine tool that does the orchestration; the Engine does the fan-out.</w:t>
      </w:r>
    </w:p>
    <w:p>
      <w:pPr>
        <w:spacing w:before="120" w:after="120"/>
      </w:pPr>
      <w:r>
        <w:rPr>
          <w:rFonts w:ascii="Arial" w:cs="Arial" w:eastAsia="Arial" w:hAnsi="Arial"/>
          <w:b/>
          <w:bCs/>
          <w:sz w:val="22"/>
          <w:szCs w:val="22"/>
        </w:rPr>
        <w:t xml:space="preserve">Tiered semaphores: </w:t>
      </w:r>
      <w:r>
        <w:rPr>
          <w:rFonts w:ascii="Arial" w:cs="Arial" w:eastAsia="Arial" w:hAnsi="Arial"/>
          <w:sz w:val="22"/>
          <w:szCs w:val="22"/>
        </w:rPr>
        <w:t xml:space="preserve">The Engine manages three resource-typed semaphores because LLM calls, I/O-bound processing, and CPU-bound processing have different bottleneck profiles and cost structures:</w:t>
      </w:r>
    </w:p>
    <w:p>
      <w:pPr>
        <w:spacing w:before="120" w:after="120"/>
      </w:pPr>
      <w:r>
        <w:rPr>
          <w:rFonts w:ascii="Arial" w:cs="Arial" w:eastAsia="Arial" w:hAnsi="Arial"/>
          <w:b/>
          <w:bCs/>
          <w:sz w:val="22"/>
          <w:szCs w:val="22"/>
        </w:rPr>
        <w:t xml:space="preserve">MAX_LLM_CONCURRENCY (default: 10): </w:t>
      </w:r>
      <w:r>
        <w:rPr>
          <w:rFonts w:ascii="Arial" w:cs="Arial" w:eastAsia="Arial" w:hAnsi="Arial"/>
          <w:sz w:val="22"/>
          <w:szCs w:val="22"/>
        </w:rPr>
        <w:t xml:space="preserve">Controls concurrent LLM API calls (claim verification, claim extraction, handwriting recognition). This is the primary cost and latency bottleneck. Rate-limited by API provider quotas.</w:t>
      </w:r>
    </w:p>
    <w:p>
      <w:pPr>
        <w:spacing w:before="120" w:after="120"/>
      </w:pPr>
      <w:r>
        <w:rPr>
          <w:rFonts w:ascii="Arial" w:cs="Arial" w:eastAsia="Arial" w:hAnsi="Arial"/>
          <w:b/>
          <w:bCs/>
          <w:sz w:val="22"/>
          <w:szCs w:val="22"/>
        </w:rPr>
        <w:t xml:space="preserve">MAX_IO_CONCURRENCY (default: 5): </w:t>
      </w:r>
      <w:r>
        <w:rPr>
          <w:rFonts w:ascii="Arial" w:cs="Arial" w:eastAsia="Arial" w:hAnsi="Arial"/>
          <w:sz w:val="22"/>
          <w:szCs w:val="22"/>
        </w:rPr>
        <w:t xml:space="preserve">Controls concurrent I/O-bound processing (PDF parsing, OCR, audio transcription, video extraction). These operations are disk and subprocess-bound. Lower default because ffmpeg and Tesseract are resource-heavy.</w:t>
      </w:r>
    </w:p>
    <w:p>
      <w:pPr>
        <w:spacing w:before="120" w:after="120"/>
      </w:pPr>
      <w:r>
        <w:rPr>
          <w:rFonts w:ascii="Arial" w:cs="Arial" w:eastAsia="Arial" w:hAnsi="Arial"/>
          <w:b/>
          <w:bCs/>
          <w:sz w:val="22"/>
          <w:szCs w:val="22"/>
        </w:rPr>
        <w:t xml:space="preserve">MAX_CPU_CONCURRENCY (default: 4): </w:t>
      </w:r>
      <w:r>
        <w:rPr>
          <w:rFonts w:ascii="Arial" w:cs="Arial" w:eastAsia="Arial" w:hAnsi="Arial"/>
          <w:sz w:val="22"/>
          <w:szCs w:val="22"/>
        </w:rPr>
        <w:t xml:space="preserve">Controls concurrent CPU-bound processing (chunking, embedding generation, BM25 index updates). Bound by available cores on a solo-practitioner workstation.</w:t>
      </w:r>
    </w:p>
    <w:p>
      <w:pPr>
        <w:spacing w:before="120" w:after="120"/>
      </w:pPr>
      <w:r>
        <w:rPr>
          <w:rFonts w:ascii="Arial" w:cs="Arial" w:eastAsia="Arial" w:hAnsi="Arial"/>
          <w:b/>
          <w:bCs/>
          <w:sz w:val="22"/>
          <w:szCs w:val="22"/>
        </w:rPr>
        <w:t xml:space="preserve">Claim verification fan-out: </w:t>
      </w:r>
      <w:r>
        <w:rPr>
          <w:rFonts w:ascii="Arial" w:cs="Arial" w:eastAsia="Arial" w:hAnsi="Arial"/>
          <w:sz w:val="22"/>
          <w:szCs w:val="22"/>
        </w:rPr>
        <w:t xml:space="preserve">Dominion receives a list of Claims from Discernment. For each claim, it creates an async coroutine that calls Inquiry (retrieval) → Adjudication (verification) sequentially. All claim coroutines are dispatched via asyncio.gather with MAX_LLM_CONCURRENCY controlling the LLM bottleneck. Each coroutine is independent; failures are isolated and retried (max 2 retries per claim, only the failing subset).</w:t>
      </w:r>
    </w:p>
    <w:p>
      <w:pPr>
        <w:spacing w:before="120" w:after="120"/>
      </w:pPr>
      <w:r>
        <w:rPr>
          <w:rFonts w:ascii="Arial" w:cs="Arial" w:eastAsia="Arial" w:hAnsi="Arial"/>
          <w:b/>
          <w:bCs/>
          <w:sz w:val="22"/>
          <w:szCs w:val="22"/>
        </w:rPr>
        <w:t xml:space="preserve">Advantages over session fan-out: </w:t>
      </w:r>
      <w:r>
        <w:rPr>
          <w:rFonts w:ascii="Arial" w:cs="Arial" w:eastAsia="Arial" w:hAnsi="Arial"/>
          <w:sz w:val="22"/>
          <w:szCs w:val="22"/>
        </w:rPr>
        <w:t xml:space="preserve">Zero LLM overhead for task routing. Deterministic execution path. Full stack traces on failure. Native Python profiling. Configurable backpressure via tiered semaphores. Per-claim timeout (LLM_TIMEOUT, default: 120s) with automatic retry.</w:t>
      </w:r>
    </w:p>
    <w:p>
      <w:pPr>
        <w:spacing w:before="120" w:after="120"/>
      </w:pPr>
      <w:r>
        <w:rPr>
          <w:rFonts w:ascii="Arial" w:cs="Arial" w:eastAsia="Arial" w:hAnsi="Arial"/>
          <w:b/>
          <w:bCs/>
          <w:sz w:val="22"/>
          <w:szCs w:val="22"/>
        </w:rPr>
        <w:t xml:space="preserve">Future session use: </w:t>
      </w:r>
      <w:r>
        <w:rPr>
          <w:rFonts w:ascii="Arial" w:cs="Arial" w:eastAsia="Arial" w:hAnsi="Arial"/>
          <w:sz w:val="22"/>
          <w:szCs w:val="22"/>
        </w:rPr>
        <w:t xml:space="preserve">OpenClaw’s sessions_spawn remains available for genuinely separate agent tasks (e.g., running a background ingestion job while the user continues chatting about case status). This is a valid use case for session separation—but it is not the right primitive for parallel claim verification within a single pipeline.</w:t>
      </w:r>
    </w:p>
    <w:p>
      <w:pPr>
        <w:pStyle w:val="Heading2"/>
      </w:pPr>
      <w:r>
        <w:t xml:space="preserve">7.6  Sandbox and Security Boundaries</w:t>
      </w:r>
    </w:p>
    <w:p>
      <w:pPr>
        <w:spacing w:before="120" w:after="120"/>
      </w:pPr>
      <w:r>
        <w:rPr>
          <w:rFonts w:ascii="Arial" w:cs="Arial" w:eastAsia="Arial" w:hAnsi="Arial"/>
          <w:sz w:val="22"/>
          <w:szCs w:val="22"/>
        </w:rPr>
        <w:t xml:space="preserve">Defense-in-depth sandboxing with the primary boundary around the Engine, and a secondary boundary around the OpenClaw agent. Security architecture is grounded in OpenClaw’s layered tool policy model and session trust levels.</w:t>
      </w:r>
    </w:p>
    <w:p>
      <w:pPr>
        <w:spacing w:before="120" w:after="120"/>
      </w:pPr>
      <w:r>
        <w:rPr>
          <w:rFonts w:ascii="Arial" w:cs="Arial" w:eastAsia="Arial" w:hAnsi="Arial"/>
          <w:b/>
          <w:bCs/>
          <w:sz w:val="22"/>
          <w:szCs w:val="22"/>
        </w:rPr>
        <w:t xml:space="preserve">Primary boundary (Engine): </w:t>
      </w:r>
      <w:r>
        <w:rPr>
          <w:rFonts w:ascii="Arial" w:cs="Arial" w:eastAsia="Arial" w:hAnsi="Arial"/>
          <w:sz w:val="22"/>
          <w:szCs w:val="22"/>
        </w:rPr>
        <w:t xml:space="preserve">The Engine runs in a Docker container. When cloud_model_allowed=false, the container has network disabled. All dangerous file processing (ffmpeg, Tesseract, pdfplumber opening untrusted files) happens inside this container. The container has read-only access to the Evidence Vault’s input directory and read-write access to the Engine’s working directories.</w:t>
      </w:r>
    </w:p>
    <w:p>
      <w:pPr>
        <w:spacing w:before="120" w:after="120"/>
      </w:pPr>
      <w:r>
        <w:rPr>
          <w:rFonts w:ascii="Arial" w:cs="Arial" w:eastAsia="Arial" w:hAnsi="Arial"/>
          <w:b/>
          <w:bCs/>
          <w:sz w:val="22"/>
          <w:szCs w:val="22"/>
        </w:rPr>
        <w:t xml:space="preserve">Secondary boundary (OpenClaw agent): </w:t>
      </w:r>
      <w:r>
        <w:rPr>
          <w:rFonts w:ascii="Arial" w:cs="Arial" w:eastAsia="Arial" w:hAnsi="Arial"/>
          <w:sz w:val="22"/>
          <w:szCs w:val="22"/>
        </w:rPr>
        <w:t xml:space="preserve">sandbox.mode: “all” as defense in depth. The agent’s tools are HTTP calls to the Engine (safe JSON requests over localhost), so sandboxing the agent adds a layer against unexpected behavior outside the plugin tool path. Low cost, marginal protection, worth adding.</w:t>
      </w:r>
    </w:p>
    <w:p>
      <w:pPr>
        <w:spacing w:before="120" w:after="120"/>
      </w:pPr>
      <w:r>
        <w:rPr>
          <w:rFonts w:ascii="Arial" w:cs="Arial" w:eastAsia="Arial" w:hAnsi="Arial"/>
          <w:b/>
          <w:bCs/>
          <w:sz w:val="22"/>
          <w:szCs w:val="22"/>
        </w:rPr>
        <w:t xml:space="preserve">Tool policy precedence: </w:t>
      </w:r>
      <w:r>
        <w:rPr>
          <w:rFonts w:ascii="Arial" w:cs="Arial" w:eastAsia="Arial" w:hAnsi="Arial"/>
          <w:sz w:val="22"/>
          <w:szCs w:val="22"/>
        </w:rPr>
        <w:t xml:space="preserve">OpenClaw enforces tool access through a layered policy chain: Tool Profile → Provider Profile → Global Policy → Provider Policy → Agent Policy → Group Policy → Sandbox Policy. Later sources override earlier ones, and group/sandbox policies can only restrict, not expand. LegalMind’s restrictions are configured at the Agent Policy level: allow all legalmind.* plugin tools; deny exec, write, edit, apply_patch, browser. This ensures that even if a provider or global policy is permissive, the agent-level policy constrains tool access to the plugin boundary.</w:t>
      </w:r>
    </w:p>
    <w:p>
      <w:pPr>
        <w:spacing w:before="120" w:after="120"/>
      </w:pPr>
      <w:r>
        <w:rPr>
          <w:rFonts w:ascii="Arial" w:cs="Arial" w:eastAsia="Arial" w:hAnsi="Arial"/>
          <w:b/>
          <w:bCs/>
          <w:sz w:val="22"/>
          <w:szCs w:val="22"/>
        </w:rPr>
        <w:t xml:space="preserve">Session trust model: </w:t>
      </w:r>
      <w:r>
        <w:rPr>
          <w:rFonts w:ascii="Arial" w:cs="Arial" w:eastAsia="Arial" w:hAnsi="Arial"/>
          <w:sz w:val="22"/>
          <w:szCs w:val="22"/>
        </w:rPr>
        <w:t xml:space="preserve">LegalMind operates exclusively in the main session (agent:&lt;agentId&gt;:main), which runs with full operator capabilities and no Docker overhead. DM and group sessions are not used. This is deliberate: LegalMind handles privileged legal materials that cannot be exposed to the sandboxing trade-offs of multi-participant sessions. The main session’s trust boundary is the operator (the attorney), not external users.</w:t>
      </w:r>
    </w:p>
    <w:p>
      <w:pPr>
        <w:spacing w:before="120" w:after="120"/>
      </w:pPr>
      <w:r>
        <w:rPr>
          <w:rFonts w:ascii="Arial" w:cs="Arial" w:eastAsia="Arial" w:hAnsi="Arial"/>
          <w:b/>
          <w:bCs/>
          <w:sz w:val="22"/>
          <w:szCs w:val="22"/>
        </w:rPr>
        <w:t xml:space="preserve">Channel restriction: </w:t>
      </w:r>
      <w:r>
        <w:rPr>
          <w:rFonts w:ascii="Arial" w:cs="Arial" w:eastAsia="Arial" w:hAnsi="Arial"/>
          <w:sz w:val="22"/>
          <w:szCs w:val="22"/>
        </w:rPr>
        <w:t xml:space="preserve">LegalMind is restricted to local web UI (the OpenClaw Web UI at 127.0.0.1:18789) and CLI (openclaw agent / openclaw message send). No messaging channel integrations (WhatsApp, Discord, Slack, Telegram, iMessage, Signal) for case operations. OpenClaw’s channel adapters normalize inbound messages and enforce allowlists, but messaging channels lack the access controls, audit capabilities, and confidentiality guarantees required for privileged legal work. The Gateway binds to loopback only (127.0.0.1); remote access, if needed, uses SSH tunnel only.</w:t>
      </w:r>
    </w:p>
    <w:p>
      <w:pPr>
        <w:spacing w:before="120" w:after="120"/>
      </w:pPr>
      <w:r>
        <w:rPr>
          <w:rFonts w:ascii="Arial" w:cs="Arial" w:eastAsia="Arial" w:hAnsi="Arial"/>
          <w:b/>
          <w:bCs/>
          <w:sz w:val="22"/>
          <w:szCs w:val="22"/>
        </w:rPr>
        <w:t xml:space="preserve">Prompt injection defense: </w:t>
      </w:r>
      <w:r>
        <w:rPr>
          <w:rFonts w:ascii="Arial" w:cs="Arial" w:eastAsia="Arial" w:hAnsi="Arial"/>
          <w:sz w:val="22"/>
          <w:szCs w:val="22"/>
        </w:rPr>
        <w:t xml:space="preserve">OpenClaw’s context isolation (source metadata on user messages, structured tool result wrapping, system/user instruction separation) provides baseline prompt injection defense. LegalMind adds a harder boundary: the agent cannot process evidence, verify claims, or check citations directly. All substantive work routes through plugin tools to the Engine, where deterministic Python code executes. Even if the agent is prompt-injected, the worst outcome is a malformed plugin tool call that the Engine validates and rejects.</w:t>
      </w:r>
    </w:p>
    <w:p>
      <w:pPr>
        <w:spacing w:before="120" w:after="120"/>
      </w:pPr>
      <w:r>
        <w:rPr>
          <w:rFonts w:ascii="Arial" w:cs="Arial" w:eastAsia="Arial" w:hAnsi="Arial"/>
          <w:b/>
          <w:bCs/>
          <w:sz w:val="22"/>
          <w:szCs w:val="22"/>
        </w:rPr>
        <w:t xml:space="preserve">Session log hygiene: </w:t>
      </w:r>
      <w:r>
        <w:rPr>
          <w:rFonts w:ascii="Arial" w:cs="Arial" w:eastAsia="Arial" w:hAnsi="Arial"/>
          <w:sz w:val="22"/>
          <w:szCs w:val="22"/>
        </w:rPr>
        <w:t xml:space="preserve">OpenClaw persists session transcripts to disk as JSON files. These transcripts are potentially discoverable in litigation. The Engine must return structured IDs and artifact links in tool responses, not raw evidence text. The agent’s SOUL.md instructs it to reference findings by ID and report path, not by quoting evidence excerpts into chat. This prevents privileged case materials from leaking into session logs that lack the Engine’s access controls and audit trail. The export_raw_evidence config flag (Section 4.1) applies to both Chronicle reports and agent tool responses.</w:t>
      </w:r>
    </w:p>
    <w:p>
      <w:pPr>
        <w:pStyle w:val="Heading2"/>
      </w:pPr>
      <w:r>
        <w:t xml:space="preserve">7.7  Canvas Dashboard (A2UI)</w:t>
      </w:r>
    </w:p>
    <w:p>
      <w:pPr>
        <w:spacing w:before="120" w:after="120"/>
      </w:pPr>
      <w:r>
        <w:rPr>
          <w:rFonts w:ascii="Arial" w:cs="Arial" w:eastAsia="Arial" w:hAnsi="Arial"/>
          <w:sz w:val="22"/>
          <w:szCs w:val="22"/>
        </w:rPr>
        <w:t xml:space="preserve">OpenClaw’s Canvas system provides an agent-driven visual workspace running as a separate server process (port 18793). The agent generates HTML with A2UI (Agent-to-UI) declarative attributes; the Canvas server pushes this over WebSocket to the browser; user interactions flow back as tool calls. This is the right rendering layer for LegalMind’s interactive outputs.</w:t>
      </w:r>
    </w:p>
    <w:p>
      <w:pPr>
        <w:spacing w:before="120" w:after="120"/>
      </w:pPr>
      <w:r>
        <w:rPr>
          <w:rFonts w:ascii="Arial" w:cs="Arial" w:eastAsia="Arial" w:hAnsi="Arial"/>
          <w:b/>
          <w:bCs/>
          <w:sz w:val="22"/>
          <w:szCs w:val="22"/>
        </w:rPr>
        <w:t xml:space="preserve">QC Audit Dashboard: </w:t>
      </w:r>
      <w:r>
        <w:rPr>
          <w:rFonts w:ascii="Arial" w:cs="Arial" w:eastAsia="Arial" w:hAnsi="Arial"/>
          <w:sz w:val="22"/>
          <w:szCs w:val="22"/>
        </w:rPr>
        <w:t xml:space="preserve">After /audit completes, the Engine returns structured findings. The agent renders these as a Canvas interface with color-coded claim statuses, expandable evidence bundles, and action buttons (a2ui-action="escalate", a2ui-action="mark-reviewed") that route back through the agent to the Engine. This replaces static HTML report viewing with an interactive review workflow.</w:t>
      </w:r>
    </w:p>
    <w:p>
      <w:pPr>
        <w:spacing w:before="120" w:after="120"/>
      </w:pPr>
      <w:r>
        <w:rPr>
          <w:rFonts w:ascii="Arial" w:cs="Arial" w:eastAsia="Arial" w:hAnsi="Arial"/>
          <w:b/>
          <w:bCs/>
          <w:sz w:val="22"/>
          <w:szCs w:val="22"/>
        </w:rPr>
        <w:t xml:space="preserve">Pre-Filing Gate Display: </w:t>
      </w:r>
      <w:r>
        <w:rPr>
          <w:rFonts w:ascii="Arial" w:cs="Arial" w:eastAsia="Arial" w:hAnsi="Arial"/>
          <w:sz w:val="22"/>
          <w:szCs w:val="22"/>
        </w:rPr>
        <w:t xml:space="preserve">The GateResult from Sentinel renders as a Canvas dashboard showing the filing recommendation, risk score, citation summary, and claim summary with drill-down into individual findings. The config snapshot and system transparency section render as collapsible panels.</w:t>
      </w:r>
    </w:p>
    <w:p>
      <w:pPr>
        <w:spacing w:before="120" w:after="120"/>
      </w:pPr>
      <w:r>
        <w:rPr>
          <w:rFonts w:ascii="Arial" w:cs="Arial" w:eastAsia="Arial" w:hAnsi="Arial"/>
          <w:b/>
          <w:bCs/>
          <w:sz w:val="22"/>
          <w:szCs w:val="22"/>
        </w:rPr>
        <w:t xml:space="preserve">Case Status Overview: </w:t>
      </w:r>
      <w:r>
        <w:rPr>
          <w:rFonts w:ascii="Arial" w:cs="Arial" w:eastAsia="Arial" w:hAnsi="Arial"/>
          <w:sz w:val="22"/>
          <w:szCs w:val="22"/>
        </w:rPr>
        <w:t xml:space="preserve">The /case_status command renders a Canvas dashboard showing the case manifest, index health metrics, degradation flags, and the human-review escalation queue with interactive approval buttons.</w:t>
      </w:r>
    </w:p>
    <w:p>
      <w:pPr>
        <w:spacing w:before="120" w:after="120"/>
      </w:pPr>
      <w:r>
        <w:rPr>
          <w:rFonts w:ascii="Arial" w:cs="Arial" w:eastAsia="Arial" w:hAnsi="Arial"/>
          <w:b/>
          <w:bCs/>
          <w:sz w:val="22"/>
          <w:szCs w:val="22"/>
        </w:rPr>
        <w:t xml:space="preserve">Isolation benefit: </w:t>
      </w:r>
      <w:r>
        <w:rPr>
          <w:rFonts w:ascii="Arial" w:cs="Arial" w:eastAsia="Arial" w:hAnsi="Arial"/>
          <w:sz w:val="22"/>
          <w:szCs w:val="22"/>
        </w:rPr>
        <w:t xml:space="preserve">Canvas runs as a separate process from the Gateway. If Canvas crashes, the Gateway and Engine continue operating normally. Pre-filing gate results are preserved in the Engine regardless of Canvas state. Reports can always be downloaded as static files (HTML/DOCX/PDF) independent of Canvas.</w:t>
      </w:r>
    </w:p>
    <w:p>
      <w:pPr>
        <w:pStyle w:val="Heading2"/>
      </w:pPr>
      <w:r>
        <w:t xml:space="preserve">7.8  Scheduled Health Checks (Cron)</w:t>
      </w:r>
    </w:p>
    <w:p>
      <w:pPr>
        <w:spacing w:before="120" w:after="120"/>
      </w:pPr>
      <w:r>
        <w:rPr>
          <w:rFonts w:ascii="Arial" w:cs="Arial" w:eastAsia="Arial" w:hAnsi="Arial"/>
          <w:sz w:val="22"/>
          <w:szCs w:val="22"/>
        </w:rPr>
        <w:t xml:space="preserve">OpenClaw’s cron job system allows scheduling agent actions at specific times via configuration. LegalMind uses this for automated case maintenance:</w:t>
      </w:r>
    </w:p>
    <w:p>
      <w:pPr>
        <w:spacing w:before="120" w:after="120"/>
      </w:pPr>
      <w:r>
        <w:rPr>
          <w:rFonts w:ascii="Arial" w:cs="Arial" w:eastAsia="Arial" w:hAnsi="Arial"/>
          <w:b/>
          <w:bCs/>
          <w:sz w:val="22"/>
          <w:szCs w:val="22"/>
        </w:rPr>
        <w:t xml:space="preserve">Index health check: </w:t>
      </w:r>
      <w:r>
        <w:rPr>
          <w:rFonts w:ascii="Arial" w:cs="Arial" w:eastAsia="Arial" w:hAnsi="Arial"/>
          <w:sz w:val="22"/>
          <w:szCs w:val="22"/>
        </w:rPr>
        <w:t xml:space="preserve">Daily cron job that calls legalmind.index.health and reports degradation flags (hash embedding fallback, empty index, entity count anomalies) to the main session. Fires escalation if critical degradation is detected.</w:t>
      </w:r>
    </w:p>
    <w:p>
      <w:pPr>
        <w:spacing w:before="120" w:after="120"/>
      </w:pPr>
      <w:r>
        <w:rPr>
          <w:rFonts w:ascii="Arial" w:cs="Arial" w:eastAsia="Arial" w:hAnsi="Arial"/>
          <w:b/>
          <w:bCs/>
          <w:sz w:val="22"/>
          <w:szCs w:val="22"/>
        </w:rPr>
        <w:t xml:space="preserve">Case staleness alert: </w:t>
      </w:r>
      <w:r>
        <w:rPr>
          <w:rFonts w:ascii="Arial" w:cs="Arial" w:eastAsia="Arial" w:hAnsi="Arial"/>
          <w:sz w:val="22"/>
          <w:szCs w:val="22"/>
        </w:rPr>
        <w:t xml:space="preserve">Weekly cron job that checks the Audit Log for cases with no pipeline activity in the configured threshold period. Surfaces a reminder to the main session.</w:t>
      </w:r>
    </w:p>
    <w:p>
      <w:pPr>
        <w:spacing w:before="120" w:after="120"/>
      </w:pPr>
      <w:r>
        <w:rPr>
          <w:rFonts w:ascii="Arial" w:cs="Arial" w:eastAsia="Arial" w:hAnsi="Arial"/>
          <w:b/>
          <w:bCs/>
          <w:sz w:val="22"/>
          <w:szCs w:val="22"/>
        </w:rPr>
        <w:t xml:space="preserve">CourtListener API health: </w:t>
      </w:r>
      <w:r>
        <w:rPr>
          <w:rFonts w:ascii="Arial" w:cs="Arial" w:eastAsia="Arial" w:hAnsi="Arial"/>
          <w:sz w:val="22"/>
          <w:szCs w:val="22"/>
        </w:rPr>
        <w:t xml:space="preserve">Daily cron job that sends a test citation to the CourtListener API and reports connectivity status. Early warning for API outages that would affect pre-filing gate operations.</w:t>
      </w:r>
    </w:p>
    <w:p>
      <w:r>
        <w:br w:type="page"/>
      </w:r>
    </w:p>
    <w:p>
      <w:pPr>
        <w:pStyle w:val="Heading1"/>
      </w:pPr>
      <w:r>
        <w:t xml:space="preserve">8. OpenClaw Skill Files</w:t>
      </w:r>
    </w:p>
    <w:p>
      <w:pPr>
        <w:spacing w:before="120" w:after="120"/>
      </w:pPr>
      <w:r>
        <w:rPr>
          <w:rFonts w:ascii="Arial" w:cs="Arial" w:eastAsia="Arial" w:hAnsi="Arial"/>
          <w:sz w:val="22"/>
          <w:szCs w:val="22"/>
        </w:rPr>
        <w:t xml:space="preserve">Each Engine module’s functionality maps to SKILL.md files in the workspace’s skills/ directory. OpenClaw discovers skills at runtime but selectively injects only the skill(s) relevant to the current turn (not all skills on every prompt). Each SKILL.md is self-contained: it documents when the skill applies, what plugin tools it uses, expected inputs and outputs, and error conditions. The agent uses these to understand what each pipeline does and when to recommend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SKILL.md File</w:t>
            </w:r>
          </w:p>
        </w:tc>
        <w:tc>
          <w:tcPr>
            <w:tcW w:type="dxa" w:w="18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Maps To</w:t>
            </w:r>
          </w:p>
        </w:tc>
        <w:tc>
          <w:tcPr>
            <w:tcW w:type="dxa" w:w="47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workflow_ingest_case.md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Dominion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Full ingestion pipeline sequence. When to use /ingest. Expected outputs and error conditions.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workflow_audit_brief.md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Dominion</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Full QC audit pipeline sequence. When to use /audit. Progress reporting expectations.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workflow_prefile_gate.md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Dominion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Pre-filing gate pipeline. When to use /prefile. Gate threshold explanations.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ingest_pdf_layout.md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Conversion</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PDF extraction capabilities. Supported formats. Table handling. Confidence expectations.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ingest_audio_transcript.md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Conversion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Audio transcription capabilities. Speaker diarization. Timestamp handling.</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ingest_handwriting.md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Conversion</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Handwriting recognition. Confidence thresholds. Escalation queue behavior.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ingest_video_keyframes.md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Conversion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Video processing. Keyframe sampling. Scene description (derived=true).</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ingest_ocr_scanned.md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Conversion</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OCR for scanned documents. Deskew/denoise. Confidence scoring.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chunk_legal_text.md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Structuring</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Legal-text-aware chunking. Context injection. Modality routing.</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retrieve_hybrid.md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Inquiry</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Hybrid retrieval documentation. RRF. Context expansion. Contradiction hunting.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extract_claims.md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Discernment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Claim extraction. Classification types. Priority scoring. Citation routing.</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verify_claim_skeptical.md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Adjudication</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Adversarial verification protocol. Structured justification. Confidence calibration.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verify_citations.md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Validation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Dual-pass citation verification. eyecite + CourtListener. Reconciliation logic.</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render_report.md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Chronicle</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Report formats. Transparency section. Dashboard. Timestamp requirements.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prefile_gate.md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Sentinel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Gate evaluation. Risk scoring. Config snapshot. Filing recommendation thresholds.</w:t>
            </w:r>
          </w:p>
        </w:tc>
      </w:tr>
    </w:tbl>
    <w:p>
      <w:r>
        <w:br w:type="page"/>
      </w:r>
    </w:p>
    <w:p>
      <w:pPr>
        <w:pStyle w:val="Heading1"/>
      </w:pPr>
      <w:r>
        <w:t xml:space="preserve">9. Engine Development Plan</w:t>
      </w:r>
    </w:p>
    <w:p>
      <w:pPr>
        <w:spacing w:before="120" w:after="120"/>
      </w:pPr>
      <w:r>
        <w:rPr>
          <w:rFonts w:ascii="Arial" w:cs="Arial" w:eastAsia="Arial" w:hAnsi="Arial"/>
          <w:sz w:val="22"/>
          <w:szCs w:val="22"/>
        </w:rPr>
        <w:t xml:space="preserve">Ordered by the principle: sanctions shield value first, multi-modal breadth second. The evaluation harness is continuous from Phase 0, not deferred to hardening.</w:t>
      </w:r>
    </w:p>
    <w:p>
      <w:pPr>
        <w:pStyle w:val="Heading2"/>
      </w:pPr>
      <w:r>
        <w:t xml:space="preserve">Phase 0: Scaffolding + Safety (Week 1)</w:t>
      </w:r>
    </w:p>
    <w:p>
      <w:pPr>
        <w:spacing w:before="120" w:after="120"/>
      </w:pPr>
      <w:r>
        <w:rPr>
          <w:rFonts w:ascii="Arial" w:cs="Arial" w:eastAsia="Arial" w:hAnsi="Arial"/>
          <w:sz w:val="22"/>
          <w:szCs w:val="22"/>
        </w:rPr>
        <w:t xml:space="preserve">Stand up the full architecture with stubs so the end-to-end pipeline path is exercised before any real logic exists.</w:t>
      </w:r>
    </w:p>
    <w:p>
      <w:pPr>
        <w:spacing w:before="120" w:after="120"/>
      </w:pPr>
      <w:r>
        <w:rPr>
          <w:rFonts w:ascii="Arial" w:cs="Arial" w:eastAsia="Arial" w:hAnsi="Arial"/>
          <w:b/>
          <w:bCs/>
          <w:sz w:val="22"/>
          <w:szCs w:val="22"/>
        </w:rPr>
        <w:t xml:space="preserve">Engine scaffolding: </w:t>
      </w:r>
      <w:r>
        <w:rPr>
          <w:rFonts w:ascii="Arial" w:cs="Arial" w:eastAsia="Arial" w:hAnsi="Arial"/>
          <w:sz w:val="22"/>
          <w:szCs w:val="22"/>
        </w:rPr>
        <w:t xml:space="preserve">Create the FastAPI application with all endpoint stubs. Define all Pydantic data contracts (EvidenceSegment, Chunk, Claim, EvidenceBundle, VerificationFinding, CitationFinding, GateResult). Create the four shared infrastructure stores (Evidence Vault, Evidence Ledger, Retrieval Index, Audit Log) as empty but functional per-case directories. Implement the Dominion orchestrator with pipeline routing stubs that log the full pipeline path and return “not implemented.”</w:t>
      </w:r>
    </w:p>
    <w:p>
      <w:pPr>
        <w:spacing w:before="120" w:after="120"/>
      </w:pPr>
      <w:r>
        <w:rPr>
          <w:rFonts w:ascii="Arial" w:cs="Arial" w:eastAsia="Arial" w:hAnsi="Arial"/>
          <w:b/>
          <w:bCs/>
          <w:sz w:val="22"/>
          <w:szCs w:val="22"/>
        </w:rPr>
        <w:t xml:space="preserve">OpenClaw scaffolding: </w:t>
      </w:r>
      <w:r>
        <w:rPr>
          <w:rFonts w:ascii="Arial" w:cs="Arial" w:eastAsia="Arial" w:hAnsi="Arial"/>
          <w:sz w:val="22"/>
          <w:szCs w:val="22"/>
        </w:rPr>
        <w:t xml:space="preserve">Create the single agent definition with AGENTS.md, SOUL.md, and TOOLS.md. Register the legalmind-tools plugin with thin HTTP client stubs pointing to Engine endpoints via api.registerTool(). Create SKILL.md files for all slash commands with command-dispatch: tool metadata (deterministic dispatch from day one). Create slash command stubs (/ingest, /audit, /citecheck, /prefile, /case_status, /case_init, /doc_register). Configure per-case workspace template with memory injection disabled, session compaction disabled, and session transcript indexing disabled.</w:t>
      </w:r>
    </w:p>
    <w:p>
      <w:pPr>
        <w:spacing w:before="120" w:after="120"/>
      </w:pPr>
      <w:r>
        <w:rPr>
          <w:rFonts w:ascii="Arial" w:cs="Arial" w:eastAsia="Arial" w:hAnsi="Arial"/>
          <w:b/>
          <w:bCs/>
          <w:sz w:val="22"/>
          <w:szCs w:val="22"/>
        </w:rPr>
        <w:t xml:space="preserve">Job model scaffolding: </w:t>
      </w:r>
      <w:r>
        <w:rPr>
          <w:rFonts w:ascii="Arial" w:cs="Arial" w:eastAsia="Arial" w:hAnsi="Arial"/>
          <w:sz w:val="22"/>
          <w:szCs w:val="22"/>
        </w:rPr>
        <w:t xml:space="preserve">Implement the start/poll/artifact pattern in the Engine’s base request handler. All potentially long-running endpoints accept optional run_id parameter and return RunState objects. Stub implementations return immediate “complete” with “not implemented” payloads.</w:t>
      </w:r>
    </w:p>
    <w:p>
      <w:pPr>
        <w:spacing w:before="120" w:after="120"/>
      </w:pPr>
      <w:r>
        <w:rPr>
          <w:rFonts w:ascii="Arial" w:cs="Arial" w:eastAsia="Arial" w:hAnsi="Arial"/>
          <w:b/>
          <w:bCs/>
          <w:sz w:val="22"/>
          <w:szCs w:val="22"/>
        </w:rPr>
        <w:t xml:space="preserve">Testing scaffolding: </w:t>
      </w:r>
      <w:r>
        <w:rPr>
          <w:rFonts w:ascii="Arial" w:cs="Arial" w:eastAsia="Arial" w:hAnsi="Arial"/>
          <w:sz w:val="22"/>
          <w:szCs w:val="22"/>
        </w:rPr>
        <w:t xml:space="preserve">Initialize the evaluation harness with seed test cases (even if modules can’t process them yet). Set up pytest with golden-set regression gating. Verify that deterministic dispatch routes all slash commands to Engine stubs without LLM invocation.</w:t>
      </w:r>
    </w:p>
    <w:p>
      <w:pPr>
        <w:spacing w:before="120" w:after="120"/>
      </w:pPr>
      <w:r>
        <w:rPr>
          <w:rFonts w:ascii="Arial" w:cs="Arial" w:eastAsia="Arial" w:hAnsi="Arial"/>
          <w:b/>
          <w:bCs/>
          <w:i/>
          <w:iCs/>
          <w:sz w:val="22"/>
          <w:szCs w:val="22"/>
        </w:rPr>
        <w:t xml:space="preserve">Deliverable: </w:t>
      </w:r>
      <w:r>
        <w:rPr>
          <w:rFonts w:ascii="Arial" w:cs="Arial" w:eastAsia="Arial" w:hAnsi="Arial"/>
          <w:i/>
          <w:iCs/>
          <w:sz w:val="22"/>
          <w:szCs w:val="22"/>
        </w:rPr>
        <w:t xml:space="preserve">You can type /prefile and it routes through the full pipeline path (OpenClaw agent → deterministic dispatch → plugin → Engine → Dominion → all module stubs), logs every handoff to the Audit Log, and returns “not implemented” at each stub. No LLM is invoked for the dispatch. The start/poll pattern is functional. The architecture is exercised end-to-end.</w:t>
      </w:r>
    </w:p>
    <w:p>
      <w:pPr>
        <w:pStyle w:val="Heading2"/>
      </w:pPr>
      <w:r>
        <w:t xml:space="preserve">Phase 1: Typed Documents End-to-End (Weeks 2–4)</w:t>
      </w:r>
    </w:p>
    <w:p>
      <w:pPr>
        <w:spacing w:before="120" w:after="120"/>
      </w:pPr>
      <w:r>
        <w:rPr>
          <w:rFonts w:ascii="Arial" w:cs="Arial" w:eastAsia="Arial" w:hAnsi="Arial"/>
          <w:sz w:val="22"/>
          <w:szCs w:val="22"/>
        </w:rPr>
        <w:t xml:space="preserve">Build the core QC pipeline for the simplest evidence type: typed PDFs and DOCX briefs.</w:t>
      </w:r>
    </w:p>
    <w:p>
      <w:pPr>
        <w:spacing w:before="120" w:after="120"/>
      </w:pPr>
      <w:r>
        <w:rPr>
          <w:rFonts w:ascii="Arial" w:cs="Arial" w:eastAsia="Arial" w:hAnsi="Arial"/>
          <w:b/>
          <w:bCs/>
          <w:sz w:val="22"/>
          <w:szCs w:val="22"/>
        </w:rPr>
        <w:t xml:space="preserve">Intake: </w:t>
      </w:r>
      <w:r>
        <w:rPr>
          <w:rFonts w:ascii="Arial" w:cs="Arial" w:eastAsia="Arial" w:hAnsi="Arial"/>
          <w:sz w:val="22"/>
          <w:szCs w:val="22"/>
        </w:rPr>
        <w:t xml:space="preserve">File classification, checksumming, integrity checking, vault writing.</w:t>
      </w:r>
    </w:p>
    <w:p>
      <w:pPr>
        <w:spacing w:before="120" w:after="120"/>
      </w:pPr>
      <w:r>
        <w:rPr>
          <w:rFonts w:ascii="Arial" w:cs="Arial" w:eastAsia="Arial" w:hAnsi="Arial"/>
          <w:b/>
          <w:bCs/>
          <w:sz w:val="22"/>
          <w:szCs w:val="22"/>
        </w:rPr>
        <w:t xml:space="preserve">Conversion: </w:t>
      </w:r>
      <w:r>
        <w:rPr>
          <w:rFonts w:ascii="Arial" w:cs="Arial" w:eastAsia="Arial" w:hAnsi="Arial"/>
          <w:sz w:val="22"/>
          <w:szCs w:val="22"/>
        </w:rPr>
        <w:t xml:space="preserve">ingest_pdf_layout (pdfplumber + pypdf fallback) + DOCX parsing. Table-to-markdown (primary) + table-to-sentences (derived).</w:t>
      </w:r>
    </w:p>
    <w:p>
      <w:pPr>
        <w:spacing w:before="120" w:after="120"/>
      </w:pPr>
      <w:r>
        <w:rPr>
          <w:rFonts w:ascii="Arial" w:cs="Arial" w:eastAsia="Arial" w:hAnsi="Arial"/>
          <w:b/>
          <w:bCs/>
          <w:sz w:val="22"/>
          <w:szCs w:val="22"/>
        </w:rPr>
        <w:t xml:space="preserve">Structuring: </w:t>
      </w:r>
      <w:r>
        <w:rPr>
          <w:rFonts w:ascii="Arial" w:cs="Arial" w:eastAsia="Arial" w:hAnsi="Arial"/>
          <w:sz w:val="22"/>
          <w:szCs w:val="22"/>
        </w:rPr>
        <w:t xml:space="preserve">structural_chunker + sentence_chunker with context_injector.</w:t>
      </w:r>
    </w:p>
    <w:p>
      <w:pPr>
        <w:spacing w:before="120" w:after="120"/>
      </w:pPr>
      <w:r>
        <w:rPr>
          <w:rFonts w:ascii="Arial" w:cs="Arial" w:eastAsia="Arial" w:hAnsi="Arial"/>
          <w:b/>
          <w:bCs/>
          <w:sz w:val="22"/>
          <w:szCs w:val="22"/>
        </w:rPr>
        <w:t xml:space="preserve">Preservation: </w:t>
      </w:r>
      <w:r>
        <w:rPr>
          <w:rFonts w:ascii="Arial" w:cs="Arial" w:eastAsia="Arial" w:hAnsi="Arial"/>
          <w:sz w:val="22"/>
          <w:szCs w:val="22"/>
        </w:rPr>
        <w:t xml:space="preserve">dense_indexer + bm25_indexer + entity_extractor + index_health_reporter.</w:t>
      </w:r>
    </w:p>
    <w:p>
      <w:pPr>
        <w:spacing w:before="120" w:after="120"/>
      </w:pPr>
      <w:r>
        <w:rPr>
          <w:rFonts w:ascii="Arial" w:cs="Arial" w:eastAsia="Arial" w:hAnsi="Arial"/>
          <w:b/>
          <w:bCs/>
          <w:sz w:val="22"/>
          <w:szCs w:val="22"/>
        </w:rPr>
        <w:t xml:space="preserve">Inquiry: </w:t>
      </w:r>
      <w:r>
        <w:rPr>
          <w:rFonts w:ascii="Arial" w:cs="Arial" w:eastAsia="Arial" w:hAnsi="Arial"/>
          <w:sz w:val="22"/>
          <w:szCs w:val="22"/>
        </w:rPr>
        <w:t xml:space="preserve">query_builder + rrf_merger + context_expander + contradiction_hunter.</w:t>
      </w:r>
    </w:p>
    <w:p>
      <w:pPr>
        <w:spacing w:before="120" w:after="120"/>
      </w:pPr>
      <w:r>
        <w:rPr>
          <w:rFonts w:ascii="Arial" w:cs="Arial" w:eastAsia="Arial" w:hAnsi="Arial"/>
          <w:b/>
          <w:bCs/>
          <w:sz w:val="22"/>
          <w:szCs w:val="22"/>
        </w:rPr>
        <w:t xml:space="preserve">Discernment: </w:t>
      </w:r>
      <w:r>
        <w:rPr>
          <w:rFonts w:ascii="Arial" w:cs="Arial" w:eastAsia="Arial" w:hAnsi="Arial"/>
          <w:sz w:val="22"/>
          <w:szCs w:val="22"/>
        </w:rPr>
        <w:t xml:space="preserve">boilerplate_filter + llm_decomposer + claim_classifier + priority_scorer + citation_router.</w:t>
      </w:r>
    </w:p>
    <w:p>
      <w:pPr>
        <w:spacing w:before="120" w:after="120"/>
      </w:pPr>
      <w:r>
        <w:rPr>
          <w:rFonts w:ascii="Arial" w:cs="Arial" w:eastAsia="Arial" w:hAnsi="Arial"/>
          <w:b/>
          <w:bCs/>
          <w:sz w:val="22"/>
          <w:szCs w:val="22"/>
        </w:rPr>
        <w:t xml:space="preserve">Adjudication: </w:t>
      </w:r>
      <w:r>
        <w:rPr>
          <w:rFonts w:ascii="Arial" w:cs="Arial" w:eastAsia="Arial" w:hAnsi="Arial"/>
          <w:sz w:val="22"/>
          <w:szCs w:val="22"/>
        </w:rPr>
        <w:t xml:space="preserve">verify_claim_skeptical with structured justification output. No chain-of-thought storage.</w:t>
      </w:r>
    </w:p>
    <w:p>
      <w:pPr>
        <w:spacing w:before="120" w:after="120"/>
      </w:pPr>
      <w:r>
        <w:rPr>
          <w:rFonts w:ascii="Arial" w:cs="Arial" w:eastAsia="Arial" w:hAnsi="Arial"/>
          <w:b/>
          <w:bCs/>
          <w:sz w:val="22"/>
          <w:szCs w:val="22"/>
        </w:rPr>
        <w:t xml:space="preserve">Dominion: </w:t>
      </w:r>
      <w:r>
        <w:rPr>
          <w:rFonts w:ascii="Arial" w:cs="Arial" w:eastAsia="Arial" w:hAnsi="Arial"/>
          <w:sz w:val="22"/>
          <w:szCs w:val="22"/>
        </w:rPr>
        <w:t xml:space="preserve">asyncio.gather fan-out for parallel claim verification with tiered semaphores (MAX_LLM_CONCURRENCY=10). Pipeline caching: file hash → segments, segments version → chunks.</w:t>
      </w:r>
    </w:p>
    <w:p>
      <w:pPr>
        <w:spacing w:before="120" w:after="120"/>
      </w:pPr>
      <w:r>
        <w:rPr>
          <w:rFonts w:ascii="Arial" w:cs="Arial" w:eastAsia="Arial" w:hAnsi="Arial"/>
          <w:b/>
          <w:bCs/>
          <w:sz w:val="22"/>
          <w:szCs w:val="22"/>
        </w:rPr>
        <w:t xml:space="preserve">Chronicle: </w:t>
      </w:r>
      <w:r>
        <w:rPr>
          <w:rFonts w:ascii="Arial" w:cs="Arial" w:eastAsia="Arial" w:hAnsi="Arial"/>
          <w:sz w:val="22"/>
          <w:szCs w:val="22"/>
        </w:rPr>
        <w:t xml:space="preserve">HTML QC audit report with Jinja2 templates.</w:t>
      </w:r>
    </w:p>
    <w:p>
      <w:pPr>
        <w:spacing w:before="120" w:after="120"/>
      </w:pPr>
      <w:r>
        <w:rPr>
          <w:rFonts w:ascii="Arial" w:cs="Arial" w:eastAsia="Arial" w:hAnsi="Arial"/>
          <w:b/>
          <w:bCs/>
          <w:sz w:val="22"/>
          <w:szCs w:val="22"/>
        </w:rPr>
        <w:t xml:space="preserve">Evaluation harness: </w:t>
      </w:r>
      <w:r>
        <w:rPr>
          <w:rFonts w:ascii="Arial" w:cs="Arial" w:eastAsia="Arial" w:hAnsi="Arial"/>
          <w:sz w:val="22"/>
          <w:szCs w:val="22"/>
        </w:rPr>
        <w:t xml:space="preserve">Run claims suite and verify pass/fail.</w:t>
      </w:r>
    </w:p>
    <w:p>
      <w:pPr>
        <w:spacing w:before="120" w:after="120"/>
      </w:pPr>
      <w:r>
        <w:rPr>
          <w:rFonts w:ascii="Arial" w:cs="Arial" w:eastAsia="Arial" w:hAnsi="Arial"/>
          <w:b/>
          <w:bCs/>
          <w:i/>
          <w:iCs/>
          <w:sz w:val="22"/>
          <w:szCs w:val="22"/>
        </w:rPr>
        <w:t xml:space="preserve">Deliverable: </w:t>
      </w:r>
      <w:r>
        <w:rPr>
          <w:rFonts w:ascii="Arial" w:cs="Arial" w:eastAsia="Arial" w:hAnsi="Arial"/>
          <w:i/>
          <w:iCs/>
          <w:sz w:val="22"/>
          <w:szCs w:val="22"/>
        </w:rPr>
        <w:t xml:space="preserve">/ingest + /audit works reliably for typed PDFs and DOCX briefs. The QC audit pipeline is functional end-to-end.</w:t>
      </w:r>
    </w:p>
    <w:p>
      <w:pPr>
        <w:pStyle w:val="Heading2"/>
      </w:pPr>
      <w:r>
        <w:t xml:space="preserve">Phase 2: Citation Verification + Pre-Filing Gate (Weeks 5–7)</w:t>
      </w:r>
    </w:p>
    <w:p>
      <w:pPr>
        <w:spacing w:before="120" w:after="120"/>
      </w:pPr>
      <w:r>
        <w:rPr>
          <w:rFonts w:ascii="Arial" w:cs="Arial" w:eastAsia="Arial" w:hAnsi="Arial"/>
          <w:sz w:val="22"/>
          <w:szCs w:val="22"/>
        </w:rPr>
        <w:t xml:space="preserve">Add the system’s highest-value feature: the pre-filing sanctions shield.</w:t>
      </w:r>
    </w:p>
    <w:p>
      <w:pPr>
        <w:spacing w:before="120" w:after="120"/>
      </w:pPr>
      <w:r>
        <w:rPr>
          <w:rFonts w:ascii="Arial" w:cs="Arial" w:eastAsia="Arial" w:hAnsi="Arial"/>
          <w:b/>
          <w:bCs/>
          <w:sz w:val="22"/>
          <w:szCs w:val="22"/>
        </w:rPr>
        <w:t xml:space="preserve">Validation: </w:t>
      </w:r>
      <w:r>
        <w:rPr>
          <w:rFonts w:ascii="Arial" w:cs="Arial" w:eastAsia="Arial" w:hAnsi="Arial"/>
          <w:sz w:val="22"/>
          <w:szCs w:val="22"/>
        </w:rPr>
        <w:t xml:space="preserve">eyecite_extractor + courtlistener_client + reconciler + fallback_on_api_down.</w:t>
      </w:r>
    </w:p>
    <w:p>
      <w:pPr>
        <w:spacing w:before="120" w:after="120"/>
      </w:pPr>
      <w:r>
        <w:rPr>
          <w:rFonts w:ascii="Arial" w:cs="Arial" w:eastAsia="Arial" w:hAnsi="Arial"/>
          <w:b/>
          <w:bCs/>
          <w:sz w:val="22"/>
          <w:szCs w:val="22"/>
        </w:rPr>
        <w:t xml:space="preserve">Sentinel: </w:t>
      </w:r>
      <w:r>
        <w:rPr>
          <w:rFonts w:ascii="Arial" w:cs="Arial" w:eastAsia="Arial" w:hAnsi="Arial"/>
          <w:sz w:val="22"/>
          <w:szCs w:val="22"/>
        </w:rPr>
        <w:t xml:space="preserve">parallel_coordinator (asyncio.gather for citation + claim pipelines) + risk_scorer + gate_evaluator + config_snapshot.</w:t>
      </w:r>
    </w:p>
    <w:p>
      <w:pPr>
        <w:spacing w:before="120" w:after="120"/>
      </w:pPr>
      <w:r>
        <w:rPr>
          <w:rFonts w:ascii="Arial" w:cs="Arial" w:eastAsia="Arial" w:hAnsi="Arial"/>
          <w:b/>
          <w:bCs/>
          <w:sz w:val="22"/>
          <w:szCs w:val="22"/>
        </w:rPr>
        <w:t xml:space="preserve">Chronicle: </w:t>
      </w:r>
      <w:r>
        <w:rPr>
          <w:rFonts w:ascii="Arial" w:cs="Arial" w:eastAsia="Arial" w:hAnsi="Arial"/>
          <w:sz w:val="22"/>
          <w:szCs w:val="22"/>
        </w:rPr>
        <w:t xml:space="preserve">Timestamped pre-filing report + system transparency section.</w:t>
      </w:r>
    </w:p>
    <w:p>
      <w:pPr>
        <w:spacing w:before="120" w:after="120"/>
      </w:pPr>
      <w:r>
        <w:rPr>
          <w:rFonts w:ascii="Arial" w:cs="Arial" w:eastAsia="Arial" w:hAnsi="Arial"/>
          <w:b/>
          <w:bCs/>
          <w:sz w:val="22"/>
          <w:szCs w:val="22"/>
        </w:rPr>
        <w:t xml:space="preserve">Discernment: </w:t>
      </w:r>
      <w:r>
        <w:rPr>
          <w:rFonts w:ascii="Arial" w:cs="Arial" w:eastAsia="Arial" w:hAnsi="Arial"/>
          <w:sz w:val="22"/>
          <w:szCs w:val="22"/>
        </w:rPr>
        <w:t xml:space="preserve">citation_router (legal citations → Validation instead of Adjudication).</w:t>
      </w:r>
    </w:p>
    <w:p>
      <w:pPr>
        <w:spacing w:before="120" w:after="120"/>
      </w:pPr>
      <w:r>
        <w:rPr>
          <w:rFonts w:ascii="Arial" w:cs="Arial" w:eastAsia="Arial" w:hAnsi="Arial"/>
          <w:b/>
          <w:bCs/>
          <w:sz w:val="22"/>
          <w:szCs w:val="22"/>
        </w:rPr>
        <w:t xml:space="preserve">Evaluation harness: </w:t>
      </w:r>
      <w:r>
        <w:rPr>
          <w:rFonts w:ascii="Arial" w:cs="Arial" w:eastAsia="Arial" w:hAnsi="Arial"/>
          <w:sz w:val="22"/>
          <w:szCs w:val="22"/>
        </w:rPr>
        <w:t xml:space="preserve">Run citations suite and verify pass/fail.</w:t>
      </w:r>
    </w:p>
    <w:p>
      <w:pPr>
        <w:spacing w:before="120" w:after="120"/>
      </w:pPr>
      <w:r>
        <w:rPr>
          <w:rFonts w:ascii="Arial" w:cs="Arial" w:eastAsia="Arial" w:hAnsi="Arial"/>
          <w:b/>
          <w:bCs/>
          <w:i/>
          <w:iCs/>
          <w:sz w:val="22"/>
          <w:szCs w:val="22"/>
        </w:rPr>
        <w:t xml:space="preserve">Deliverable: </w:t>
      </w:r>
      <w:r>
        <w:rPr>
          <w:rFonts w:ascii="Arial" w:cs="Arial" w:eastAsia="Arial" w:hAnsi="Arial"/>
          <w:i/>
          <w:iCs/>
          <w:sz w:val="22"/>
          <w:szCs w:val="22"/>
        </w:rPr>
        <w:t xml:space="preserve">/prefile produces a real sanctions shield artifact. /citecheck works standalone. The system’s highest-value feature is live.</w:t>
      </w:r>
    </w:p>
    <w:p>
      <w:pPr>
        <w:pStyle w:val="Heading2"/>
      </w:pPr>
      <w:r>
        <w:t xml:space="preserve">Phase 3: Multi-Modal Evidence (Weeks 8–11)</w:t>
      </w:r>
    </w:p>
    <w:p>
      <w:pPr>
        <w:spacing w:before="120" w:after="120"/>
      </w:pPr>
      <w:r>
        <w:rPr>
          <w:rFonts w:ascii="Arial" w:cs="Arial" w:eastAsia="Arial" w:hAnsi="Arial"/>
          <w:sz w:val="22"/>
          <w:szCs w:val="22"/>
        </w:rPr>
        <w:t xml:space="preserve">Expand the evidence universe to audio, video, handwriting, and photographs.</w:t>
      </w:r>
    </w:p>
    <w:p>
      <w:pPr>
        <w:spacing w:before="120" w:after="120"/>
      </w:pPr>
      <w:r>
        <w:rPr>
          <w:rFonts w:ascii="Arial" w:cs="Arial" w:eastAsia="Arial" w:hAnsi="Arial"/>
          <w:b/>
          <w:bCs/>
          <w:sz w:val="22"/>
          <w:szCs w:val="22"/>
        </w:rPr>
        <w:t xml:space="preserve">Conversion: </w:t>
      </w:r>
      <w:r>
        <w:rPr>
          <w:rFonts w:ascii="Arial" w:cs="Arial" w:eastAsia="Arial" w:hAnsi="Arial"/>
          <w:sz w:val="22"/>
          <w:szCs w:val="22"/>
        </w:rPr>
        <w:t xml:space="preserve">ingest_audio (Whisper + pyannote.audio diarization). ingest_handwriting (Vision LLM + escalation queue). ingest_video (ffmpeg + keyframe + Vision LLM descriptions). ingest_ocr_scanned (Tesseract + deskew/denoise).</w:t>
      </w:r>
    </w:p>
    <w:p>
      <w:pPr>
        <w:spacing w:before="120" w:after="120"/>
      </w:pPr>
      <w:r>
        <w:rPr>
          <w:rFonts w:ascii="Arial" w:cs="Arial" w:eastAsia="Arial" w:hAnsi="Arial"/>
          <w:b/>
          <w:bCs/>
          <w:sz w:val="22"/>
          <w:szCs w:val="22"/>
        </w:rPr>
        <w:t xml:space="preserve">Structuring: </w:t>
      </w:r>
      <w:r>
        <w:rPr>
          <w:rFonts w:ascii="Arial" w:cs="Arial" w:eastAsia="Arial" w:hAnsi="Arial"/>
          <w:sz w:val="22"/>
          <w:szCs w:val="22"/>
        </w:rPr>
        <w:t xml:space="preserve">modality_router for speaker turns, spatial regions, frame sequences.</w:t>
      </w:r>
    </w:p>
    <w:p>
      <w:pPr>
        <w:spacing w:before="120" w:after="120"/>
      </w:pPr>
      <w:r>
        <w:rPr>
          <w:rFonts w:ascii="Arial" w:cs="Arial" w:eastAsia="Arial" w:hAnsi="Arial"/>
          <w:b/>
          <w:bCs/>
          <w:sz w:val="22"/>
          <w:szCs w:val="22"/>
        </w:rPr>
        <w:t xml:space="preserve">Discernment: </w:t>
      </w:r>
      <w:r>
        <w:rPr>
          <w:rFonts w:ascii="Arial" w:cs="Arial" w:eastAsia="Arial" w:hAnsi="Arial"/>
          <w:sz w:val="22"/>
          <w:szCs w:val="22"/>
        </w:rPr>
        <w:t xml:space="preserve">modality_tagger for evidence-type references in claims.</w:t>
      </w:r>
    </w:p>
    <w:p>
      <w:pPr>
        <w:spacing w:before="120" w:after="120"/>
      </w:pPr>
      <w:r>
        <w:rPr>
          <w:rFonts w:ascii="Arial" w:cs="Arial" w:eastAsia="Arial" w:hAnsi="Arial"/>
          <w:b/>
          <w:bCs/>
          <w:sz w:val="22"/>
          <w:szCs w:val="22"/>
        </w:rPr>
        <w:t xml:space="preserve">Inquiry: </w:t>
      </w:r>
      <w:r>
        <w:rPr>
          <w:rFonts w:ascii="Arial" w:cs="Arial" w:eastAsia="Arial" w:hAnsi="Arial"/>
          <w:sz w:val="22"/>
          <w:szCs w:val="22"/>
        </w:rPr>
        <w:t xml:space="preserve">modality_filter + modality-aware retrieval filtering.</w:t>
      </w:r>
    </w:p>
    <w:p>
      <w:pPr>
        <w:spacing w:before="120" w:after="120"/>
      </w:pPr>
      <w:r>
        <w:rPr>
          <w:rFonts w:ascii="Arial" w:cs="Arial" w:eastAsia="Arial" w:hAnsi="Arial"/>
          <w:b/>
          <w:bCs/>
          <w:sz w:val="22"/>
          <w:szCs w:val="22"/>
        </w:rPr>
        <w:t xml:space="preserve">Evaluation harness: </w:t>
      </w:r>
      <w:r>
        <w:rPr>
          <w:rFonts w:ascii="Arial" w:cs="Arial" w:eastAsia="Arial" w:hAnsi="Arial"/>
          <w:sz w:val="22"/>
          <w:szCs w:val="22"/>
        </w:rPr>
        <w:t xml:space="preserve">Run media suite and verify confidence warnings fire correctly.</w:t>
      </w:r>
    </w:p>
    <w:p>
      <w:pPr>
        <w:spacing w:before="120" w:after="120"/>
      </w:pPr>
      <w:r>
        <w:rPr>
          <w:rFonts w:ascii="Arial" w:cs="Arial" w:eastAsia="Arial" w:hAnsi="Arial"/>
          <w:b/>
          <w:bCs/>
          <w:i/>
          <w:iCs/>
          <w:sz w:val="22"/>
          <w:szCs w:val="22"/>
        </w:rPr>
        <w:t xml:space="preserve">Deliverable: </w:t>
      </w:r>
      <w:r>
        <w:rPr>
          <w:rFonts w:ascii="Arial" w:cs="Arial" w:eastAsia="Arial" w:hAnsi="Arial"/>
          <w:i/>
          <w:iCs/>
          <w:sz w:val="22"/>
          <w:szCs w:val="22"/>
        </w:rPr>
        <w:t xml:space="preserve">The full evidence universe flows through the pipeline with consistent provenance and confidence tracking.</w:t>
      </w:r>
    </w:p>
    <w:p>
      <w:pPr>
        <w:pStyle w:val="Heading2"/>
      </w:pPr>
      <w:r>
        <w:t xml:space="preserve">Phase 4: Hardening + Governance (Weeks 12–14)</w:t>
      </w:r>
    </w:p>
    <w:p>
      <w:pPr>
        <w:spacing w:before="120" w:after="120"/>
      </w:pPr>
      <w:r>
        <w:rPr>
          <w:rFonts w:ascii="Arial" w:cs="Arial" w:eastAsia="Arial" w:hAnsi="Arial"/>
          <w:sz w:val="22"/>
          <w:szCs w:val="22"/>
        </w:rPr>
        <w:t xml:space="preserve">Production-grade system with governance, privacy controls, and local-first LLM support.</w:t>
      </w:r>
    </w:p>
    <w:p>
      <w:pPr>
        <w:spacing w:before="120" w:after="120"/>
      </w:pPr>
      <w:r>
        <w:rPr>
          <w:rFonts w:ascii="Arial" w:cs="Arial" w:eastAsia="Arial" w:hAnsi="Arial"/>
          <w:b/>
          <w:bCs/>
          <w:sz w:val="22"/>
          <w:szCs w:val="22"/>
        </w:rPr>
        <w:t xml:space="preserve">Dominion: </w:t>
      </w:r>
      <w:r>
        <w:rPr>
          <w:rFonts w:ascii="Arial" w:cs="Arial" w:eastAsia="Arial" w:hAnsi="Arial"/>
          <w:sz w:val="22"/>
          <w:szCs w:val="22"/>
        </w:rPr>
        <w:t xml:space="preserve">kpi_monitor with escalation triggers. Human-review queue. Feedback loops with retry limits.</w:t>
      </w:r>
    </w:p>
    <w:p>
      <w:pPr>
        <w:spacing w:before="120" w:after="120"/>
      </w:pPr>
      <w:r>
        <w:rPr>
          <w:rFonts w:ascii="Arial" w:cs="Arial" w:eastAsia="Arial" w:hAnsi="Arial"/>
          <w:b/>
          <w:bCs/>
          <w:sz w:val="22"/>
          <w:szCs w:val="22"/>
        </w:rPr>
        <w:t xml:space="preserve">Privacy controls: </w:t>
      </w:r>
      <w:r>
        <w:rPr>
          <w:rFonts w:ascii="Arial" w:cs="Arial" w:eastAsia="Arial" w:hAnsi="Arial"/>
          <w:sz w:val="22"/>
          <w:szCs w:val="22"/>
        </w:rPr>
        <w:t xml:space="preserve">cloud_model_allowed, phi_redaction_required, export_raw_evidence toggles fully implemented and tested.</w:t>
      </w:r>
    </w:p>
    <w:p>
      <w:pPr>
        <w:spacing w:before="120" w:after="120"/>
      </w:pPr>
      <w:r>
        <w:rPr>
          <w:rFonts w:ascii="Arial" w:cs="Arial" w:eastAsia="Arial" w:hAnsi="Arial"/>
          <w:b/>
          <w:bCs/>
          <w:sz w:val="22"/>
          <w:szCs w:val="22"/>
        </w:rPr>
        <w:t xml:space="preserve">Chronicle: </w:t>
      </w:r>
      <w:r>
        <w:rPr>
          <w:rFonts w:ascii="Arial" w:cs="Arial" w:eastAsia="Arial" w:hAnsi="Arial"/>
          <w:sz w:val="22"/>
          <w:szCs w:val="22"/>
        </w:rPr>
        <w:t xml:space="preserve">DOCX + PDF report formats. Evidence quality dashboard. Source media index.</w:t>
      </w:r>
    </w:p>
    <w:p>
      <w:pPr>
        <w:spacing w:before="120" w:after="120"/>
      </w:pPr>
      <w:r>
        <w:rPr>
          <w:rFonts w:ascii="Arial" w:cs="Arial" w:eastAsia="Arial" w:hAnsi="Arial"/>
          <w:b/>
          <w:bCs/>
          <w:sz w:val="22"/>
          <w:szCs w:val="22"/>
        </w:rPr>
        <w:t xml:space="preserve">Preservation: </w:t>
      </w:r>
      <w:r>
        <w:rPr>
          <w:rFonts w:ascii="Arial" w:cs="Arial" w:eastAsia="Arial" w:hAnsi="Arial"/>
          <w:sz w:val="22"/>
          <w:szCs w:val="22"/>
        </w:rPr>
        <w:t xml:space="preserve">LMStudio local embedding support as alternative to sentence-transformers.</w:t>
      </w:r>
    </w:p>
    <w:p>
      <w:pPr>
        <w:spacing w:before="120" w:after="120"/>
      </w:pPr>
      <w:r>
        <w:rPr>
          <w:rFonts w:ascii="Arial" w:cs="Arial" w:eastAsia="Arial" w:hAnsi="Arial"/>
          <w:b/>
          <w:bCs/>
          <w:sz w:val="22"/>
          <w:szCs w:val="22"/>
        </w:rPr>
        <w:t xml:space="preserve">Adjudication: </w:t>
      </w:r>
      <w:r>
        <w:rPr>
          <w:rFonts w:ascii="Arial" w:cs="Arial" w:eastAsia="Arial" w:hAnsi="Arial"/>
          <w:sz w:val="22"/>
          <w:szCs w:val="22"/>
        </w:rPr>
        <w:t xml:space="preserve">LMStudio local LLM support via LiteLLM.</w:t>
      </w:r>
    </w:p>
    <w:p>
      <w:pPr>
        <w:spacing w:before="120" w:after="120"/>
      </w:pPr>
      <w:r>
        <w:rPr>
          <w:rFonts w:ascii="Arial" w:cs="Arial" w:eastAsia="Arial" w:hAnsi="Arial"/>
          <w:b/>
          <w:bCs/>
          <w:sz w:val="22"/>
          <w:szCs w:val="22"/>
        </w:rPr>
        <w:t xml:space="preserve">Docker containerization: </w:t>
      </w:r>
      <w:r>
        <w:rPr>
          <w:rFonts w:ascii="Arial" w:cs="Arial" w:eastAsia="Arial" w:hAnsi="Arial"/>
          <w:sz w:val="22"/>
          <w:szCs w:val="22"/>
        </w:rPr>
        <w:t xml:space="preserve">Engine runs in Docker with configurable network policy. Primary sandbox boundary operational.</w:t>
      </w:r>
    </w:p>
    <w:p>
      <w:pPr>
        <w:spacing w:before="120" w:after="120"/>
      </w:pPr>
      <w:r>
        <w:rPr>
          <w:rFonts w:ascii="Arial" w:cs="Arial" w:eastAsia="Arial" w:hAnsi="Arial"/>
          <w:b/>
          <w:bCs/>
          <w:sz w:val="22"/>
          <w:szCs w:val="22"/>
        </w:rPr>
        <w:t xml:space="preserve">Cost monitoring: </w:t>
      </w:r>
      <w:r>
        <w:rPr>
          <w:rFonts w:ascii="Arial" w:cs="Arial" w:eastAsia="Arial" w:hAnsi="Arial"/>
          <w:sz w:val="22"/>
          <w:szCs w:val="22"/>
        </w:rPr>
        <w:t xml:space="preserve">Per-pipeline cost estimation and budget alerting.</w:t>
      </w:r>
    </w:p>
    <w:p>
      <w:pPr>
        <w:spacing w:before="120" w:after="120"/>
      </w:pPr>
      <w:r>
        <w:rPr>
          <w:rFonts w:ascii="Arial" w:cs="Arial" w:eastAsia="Arial" w:hAnsi="Arial"/>
          <w:b/>
          <w:bCs/>
          <w:sz w:val="22"/>
          <w:szCs w:val="22"/>
        </w:rPr>
        <w:t xml:space="preserve">Full regression suite: </w:t>
      </w:r>
      <w:r>
        <w:rPr>
          <w:rFonts w:ascii="Arial" w:cs="Arial" w:eastAsia="Arial" w:hAnsi="Arial"/>
          <w:sz w:val="22"/>
          <w:szCs w:val="22"/>
        </w:rPr>
        <w:t xml:space="preserve">All evaluation harness suites pass on every commit.</w:t>
      </w:r>
    </w:p>
    <w:p>
      <w:pPr>
        <w:spacing w:before="120" w:after="120"/>
      </w:pPr>
      <w:r>
        <w:rPr>
          <w:rFonts w:ascii="Arial" w:cs="Arial" w:eastAsia="Arial" w:hAnsi="Arial"/>
          <w:b/>
          <w:bCs/>
          <w:i/>
          <w:iCs/>
          <w:sz w:val="22"/>
          <w:szCs w:val="22"/>
        </w:rPr>
        <w:t xml:space="preserve">Deliverable: </w:t>
      </w:r>
      <w:r>
        <w:rPr>
          <w:rFonts w:ascii="Arial" w:cs="Arial" w:eastAsia="Arial" w:hAnsi="Arial"/>
          <w:i/>
          <w:iCs/>
          <w:sz w:val="22"/>
          <w:szCs w:val="22"/>
        </w:rPr>
        <w:t xml:space="preserve">Production-grade system with governance, privacy controls, local-first LLM support, defense-in-depth sandboxing, and comprehensive testing.</w:t>
      </w:r>
    </w:p>
    <w:p>
      <w:r>
        <w:br w:type="page"/>
      </w:r>
    </w:p>
    <w:p>
      <w:pPr>
        <w:pStyle w:val="Heading1"/>
      </w:pPr>
      <w:r>
        <w:t xml:space="preserve">10.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Component</w:t>
            </w:r>
          </w:p>
        </w:tc>
        <w:tc>
          <w:tcPr>
            <w:tcW w:type="dxa" w:w="69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tcPr>
          <w:p>
            <w:pPr>
              <w:spacing w:before="40" w:after="40"/>
            </w:pPr>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Engine Framework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FastAPI with asyncio; Pydantic for typed data contracts; uvicorn for ASGI serving</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Orchestration</w:t>
            </w:r>
          </w:p>
        </w:tc>
        <w:tc>
          <w:tcPr>
            <w:tcW w:type="dxa" w:w="6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Dominion module with asyncio.gather + configurable semaphore for parallel claim verification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OpenClaw Integration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Single OpenClaw agent with legalmind-tools thin plugin (HTTP client to Engine localhost)</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LLM Provider</w:t>
            </w:r>
          </w:p>
        </w:tc>
        <w:tc>
          <w:tcPr>
            <w:tcW w:type="dxa" w:w="6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LiteLLM for provider abstraction: Anthropic Claude, OpenAI GPT-4, LMStudio local models via OpenAI-compatible API</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Vision LLM</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GPT-4o or Claude vision for handwriting, image description, video keyframes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Speech-to-Text</w:t>
            </w:r>
          </w:p>
        </w:tc>
        <w:tc>
          <w:tcPr>
            <w:tcW w:type="dxa" w:w="6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OpenAI Whisper large-v3 (local or API); Deepgram as streaming alternative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Speaker Diarization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pyannote.audio</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Citation Extraction</w:t>
            </w:r>
          </w:p>
        </w:tc>
        <w:tc>
          <w:tcPr>
            <w:tcW w:type="dxa" w:w="6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eyecite for local parsing and normalization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Citation Verification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CourtListener Citation Lookup API (POST /v3/citation-lookup/); configurable base URL</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Vector Database</w:t>
            </w:r>
          </w:p>
        </w:tc>
        <w:tc>
          <w:tcPr>
            <w:tcW w:type="dxa" w:w="6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ChromaDB (dev) or Qdrant (production) with metadata filtering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Keyword Retrieval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rank-bm25; Reciprocal Rank Fusion for score merging</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Re-ranking</w:t>
            </w:r>
          </w:p>
        </w:tc>
        <w:tc>
          <w:tcPr>
            <w:tcW w:type="dxa" w:w="6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Cross-encoder (BAAI/bge-reranker-base) or LLM-based via LiteLLM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PDF Processing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pdfplumber (primary) + pypdf (fallback)</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OCR</w:t>
            </w:r>
          </w:p>
        </w:tc>
        <w:tc>
          <w:tcPr>
            <w:tcW w:type="dxa" w:w="6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Tesseract with deskew/denoise preprocessing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Video Processing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ffmpeg for audio extraction and keyframe sampling</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Document Parsing</w:t>
            </w:r>
          </w:p>
        </w:tc>
        <w:tc>
          <w:tcPr>
            <w:tcW w:type="dxa" w:w="6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python-docx for DOCX; DICOM libraries for medical imaging metadata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Report Generation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Jinja2 (HTML); python-docx (Word); WeasyPrint (PDF)</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Entity Extraction</w:t>
            </w:r>
          </w:p>
        </w:tc>
        <w:tc>
          <w:tcPr>
            <w:tcW w:type="dxa" w:w="6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spaCy (lightweight NER for names, dates, amounts)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Configuration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Centralized Config class with environment variable overrides; per-case workspace isolation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b/>
                <w:bCs/>
                <w:sz w:val="20"/>
                <w:szCs w:val="20"/>
              </w:rPr>
              <w:t xml:space="preserve">Containerization</w:t>
            </w:r>
          </w:p>
        </w:tc>
        <w:tc>
          <w:tcPr>
            <w:tcW w:type="dxa" w:w="6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before="40" w:after="40"/>
            </w:pPr>
            <w:r>
              <w:rPr>
                <w:rFonts w:ascii="Arial" w:cs="Arial" w:eastAsia="Arial" w:hAnsi="Arial"/>
                <w:sz w:val="20"/>
                <w:szCs w:val="20"/>
              </w:rPr>
              <w:t xml:space="preserve">Docker for Engine sandboxing with configurable network policy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b/>
                <w:bCs/>
                <w:sz w:val="20"/>
                <w:szCs w:val="20"/>
              </w:rPr>
              <w:t xml:space="preserve">Testing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40" w:after="40"/>
            </w:pPr>
            <w:r>
              <w:rPr>
                <w:rFonts w:ascii="Arial" w:cs="Arial" w:eastAsia="Arial" w:hAnsi="Arial"/>
                <w:sz w:val="20"/>
                <w:szCs w:val="20"/>
              </w:rPr>
              <w:t xml:space="preserve">pytest; golden-set evaluation harness gating every deployment</w:t>
            </w:r>
          </w:p>
        </w:tc>
      </w:tr>
    </w:tbl>
    <w:p>
      <w:pPr>
        <w:spacing w:before="120" w:after="120"/>
      </w:pPr>
      <w:r>
        <w:rPr>
          <w:rFonts w:ascii="Arial" w:cs="Arial" w:eastAsia="Arial" w:hAnsi="Arial"/>
          <w:sz w:val="22"/>
          <w:szCs w:val="22"/>
        </w:rPr>
        <w:t xml:space="preserve"/>
      </w:r>
    </w:p>
    <w:p>
      <w:r>
        <w:br w:type="page"/>
      </w:r>
    </w:p>
    <w:p>
      <w:pPr>
        <w:pStyle w:val="Heading1"/>
      </w:pPr>
      <w:r>
        <w:t xml:space="preserve">11. Version History</w:t>
      </w:r>
    </w:p>
    <w:p>
      <w:pPr>
        <w:pStyle w:val="Heading2"/>
      </w:pPr>
      <w:r>
        <w:t xml:space="preserve">v2.1 → v3.0 Changes (Production Hardening)</w:t>
      </w:r>
    </w:p>
    <w:p>
      <w:pPr>
        <w:spacing w:before="120" w:after="120"/>
      </w:pPr>
      <w:r>
        <w:rPr>
          <w:rFonts w:ascii="Arial" w:cs="Arial" w:eastAsia="Arial" w:hAnsi="Arial"/>
          <w:sz w:val="22"/>
          <w:szCs w:val="22"/>
        </w:rPr>
        <w:t xml:space="preserve">After review of a second independent architectural assessment against OpenClaw’s documentation, the following production-critical additions were incorporated:</w:t>
      </w:r>
    </w:p>
    <w:p>
      <w:pPr>
        <w:spacing w:before="120" w:after="120"/>
      </w:pPr>
      <w:r>
        <w:rPr>
          <w:rFonts w:ascii="Arial" w:cs="Arial" w:eastAsia="Arial" w:hAnsi="Arial"/>
          <w:b/>
          <w:bCs/>
          <w:sz w:val="22"/>
          <w:szCs w:val="22"/>
        </w:rPr>
        <w:t xml:space="preserve">Deterministic dispatch formalized. </w:t>
      </w:r>
      <w:r>
        <w:rPr>
          <w:rFonts w:ascii="Arial" w:cs="Arial" w:eastAsia="Arial" w:hAnsi="Arial"/>
          <w:sz w:val="22"/>
          <w:szCs w:val="22"/>
        </w:rPr>
        <w:t xml:space="preserve">All slash commands now specify command-dispatch: tool in their SKILL.md metadata, bypassing the LLM entirely for pipeline routing. This is a safety control: the model loop is never in the path for /audit, /prefile, /ingest, or /citecheck. Natural-language interaction continues to use the model normally.</w:t>
      </w:r>
    </w:p>
    <w:p>
      <w:pPr>
        <w:spacing w:before="120" w:after="120"/>
      </w:pPr>
      <w:r>
        <w:rPr>
          <w:rFonts w:ascii="Arial" w:cs="Arial" w:eastAsia="Arial" w:hAnsi="Arial"/>
          <w:b/>
          <w:bCs/>
          <w:sz w:val="22"/>
          <w:szCs w:val="22"/>
        </w:rPr>
        <w:t xml:space="preserve">Long-running job model added. </w:t>
      </w:r>
      <w:r>
        <w:rPr>
          <w:rFonts w:ascii="Arial" w:cs="Arial" w:eastAsia="Arial" w:hAnsi="Arial"/>
          <w:sz w:val="22"/>
          <w:szCs w:val="22"/>
        </w:rPr>
        <w:t xml:space="preserve">Start/poll/artifact pattern for all operations that may exceed OpenClaw’s tool call time budgets (conversion, index builds, batch verification, pre-filing runs, report rendering). Same tool endpoints, dual-mode: call without run_id starts; call with run_id polls.</w:t>
      </w:r>
    </w:p>
    <w:p>
      <w:pPr>
        <w:spacing w:before="120" w:after="120"/>
      </w:pPr>
      <w:r>
        <w:rPr>
          <w:rFonts w:ascii="Arial" w:cs="Arial" w:eastAsia="Arial" w:hAnsi="Arial"/>
          <w:b/>
          <w:bCs/>
          <w:sz w:val="22"/>
          <w:szCs w:val="22"/>
        </w:rPr>
        <w:t xml:space="preserve">Tiered concurrency semaphores. </w:t>
      </w:r>
      <w:r>
        <w:rPr>
          <w:rFonts w:ascii="Arial" w:cs="Arial" w:eastAsia="Arial" w:hAnsi="Arial"/>
          <w:sz w:val="22"/>
          <w:szCs w:val="22"/>
        </w:rPr>
        <w:t xml:space="preserve">Single CONCURRENCY_SEMAPHORE replaced with three resource-typed semaphores: MAX_LLM_CONCURRENCY (10), MAX_IO_CONCURRENCY (5), MAX_CPU_CONCURRENCY (4). Matches the three distinct bottleneck profiles in the pipeline.</w:t>
      </w:r>
    </w:p>
    <w:p>
      <w:pPr>
        <w:spacing w:before="120" w:after="120"/>
      </w:pPr>
      <w:r>
        <w:rPr>
          <w:rFonts w:ascii="Arial" w:cs="Arial" w:eastAsia="Arial" w:hAnsi="Arial"/>
          <w:b/>
          <w:bCs/>
          <w:sz w:val="22"/>
          <w:szCs w:val="22"/>
        </w:rPr>
        <w:t xml:space="preserve">Pipeline caching strategy. </w:t>
      </w:r>
      <w:r>
        <w:rPr>
          <w:rFonts w:ascii="Arial" w:cs="Arial" w:eastAsia="Arial" w:hAnsi="Arial"/>
          <w:sz w:val="22"/>
          <w:szCs w:val="22"/>
        </w:rPr>
        <w:t xml:space="preserve">Three-tier content-hash caching: file hash → segments, segments version → chunks/index, claim text hash → retrieval candidates. Conservative invalidation on upstream changes. Per-case cache in workspace directory.</w:t>
      </w:r>
    </w:p>
    <w:p>
      <w:pPr>
        <w:spacing w:before="120" w:after="120"/>
      </w:pPr>
      <w:r>
        <w:rPr>
          <w:rFonts w:ascii="Arial" w:cs="Arial" w:eastAsia="Arial" w:hAnsi="Arial"/>
          <w:b/>
          <w:bCs/>
          <w:sz w:val="22"/>
          <w:szCs w:val="22"/>
        </w:rPr>
        <w:t xml:space="preserve">Session log hygiene. </w:t>
      </w:r>
      <w:r>
        <w:rPr>
          <w:rFonts w:ascii="Arial" w:cs="Arial" w:eastAsia="Arial" w:hAnsi="Arial"/>
          <w:sz w:val="22"/>
          <w:szCs w:val="22"/>
        </w:rPr>
        <w:t xml:space="preserve">Engine returns structured IDs and artifact links, not raw evidence text. Agent instructed via SOUL.md to reference findings by ID. Prevents privileged materials from leaking into OpenClaw session transcript files on disk.</w:t>
      </w:r>
    </w:p>
    <w:p>
      <w:pPr>
        <w:spacing w:before="120" w:after="120"/>
      </w:pPr>
      <w:r>
        <w:rPr>
          <w:rFonts w:ascii="Arial" w:cs="Arial" w:eastAsia="Arial" w:hAnsi="Arial"/>
          <w:b/>
          <w:bCs/>
          <w:sz w:val="22"/>
          <w:szCs w:val="22"/>
        </w:rPr>
        <w:t xml:space="preserve">Document registration endpoint. </w:t>
      </w:r>
      <w:r>
        <w:rPr>
          <w:rFonts w:ascii="Arial" w:cs="Arial" w:eastAsia="Arial" w:hAnsi="Arial"/>
          <w:sz w:val="22"/>
          <w:szCs w:val="22"/>
        </w:rPr>
        <w:t xml:space="preserve">legalmind.document.register added to distinguish the brief under audit from evidence in the case record. /doc_register slash command added.</w:t>
      </w:r>
    </w:p>
    <w:p>
      <w:pPr>
        <w:pStyle w:val="Heading2"/>
      </w:pPr>
      <w:r>
        <w:t xml:space="preserve">v2.0 → v2.1 Changes (OpenClaw Architecture Review)</w:t>
      </w:r>
    </w:p>
    <w:p>
      <w:pPr>
        <w:spacing w:before="120" w:after="120"/>
      </w:pPr>
      <w:r>
        <w:rPr>
          <w:rFonts w:ascii="Arial" w:cs="Arial" w:eastAsia="Arial" w:hAnsi="Arial"/>
          <w:sz w:val="22"/>
          <w:szCs w:val="22"/>
        </w:rPr>
        <w:t xml:space="preserve">Refinements grounding the specification in OpenClaw’s actual implementation (Perazzo architecture article, Feb 2026):</w:t>
      </w:r>
    </w:p>
    <w:p>
      <w:pPr>
        <w:spacing w:before="120" w:after="120"/>
      </w:pPr>
      <w:r>
        <w:rPr>
          <w:rFonts w:ascii="Arial" w:cs="Arial" w:eastAsia="Arial" w:hAnsi="Arial"/>
          <w:b/>
          <w:bCs/>
          <w:sz w:val="22"/>
          <w:szCs w:val="22"/>
        </w:rPr>
        <w:t xml:space="preserve">Plugin registration mechanism, </w:t>
      </w:r>
      <w:r>
        <w:rPr>
          <w:rFonts w:ascii="Arial" w:cs="Arial" w:eastAsia="Arial" w:hAnsi="Arial"/>
          <w:sz w:val="22"/>
          <w:szCs w:val="22"/>
        </w:rPr>
        <w:t xml:space="preserve">session model, memory system lockdown, tool policy precedence chain, prompt composition stack, Canvas/A2UI dashboards, cron-based health checks, prompt injection defense, and network security—all specified against OpenClaw’s documented architecture.</w:t>
      </w:r>
    </w:p>
    <w:p>
      <w:pPr>
        <w:pStyle w:val="Heading2"/>
      </w:pPr>
      <w:r>
        <w:t xml:space="preserve">v1.0 → v2.0 Changes (Architecture Revision)</w:t>
      </w:r>
    </w:p>
    <w:p>
      <w:pPr>
        <w:spacing w:before="120" w:after="120"/>
      </w:pPr>
      <w:r>
        <w:rPr>
          <w:rFonts w:ascii="Arial" w:cs="Arial" w:eastAsia="Arial" w:hAnsi="Arial"/>
          <w:b/>
          <w:bCs/>
          <w:sz w:val="22"/>
          <w:szCs w:val="22"/>
        </w:rPr>
        <w:t xml:space="preserve">Shards as Engine modules, not OpenClaw agents. </w:t>
      </w:r>
      <w:r>
        <w:rPr>
          <w:rFonts w:ascii="Arial" w:cs="Arial" w:eastAsia="Arial" w:hAnsi="Arial"/>
          <w:sz w:val="22"/>
          <w:szCs w:val="22"/>
        </w:rPr>
        <w:t xml:space="preserve">Ten separate OpenClaw agents collapsed into ten Python modules within a single FastAPI Engine. Eliminates per-Shard LLM round-trips for routing, cross-session state synchronization, and independent context assembly overhead. One OpenClaw agent handles all user interaction.</w:t>
      </w:r>
    </w:p>
    <w:p>
      <w:pPr>
        <w:spacing w:before="120" w:after="120"/>
      </w:pPr>
      <w:r>
        <w:rPr>
          <w:rFonts w:ascii="Arial" w:cs="Arial" w:eastAsia="Arial" w:hAnsi="Arial"/>
          <w:b/>
          <w:bCs/>
          <w:sz w:val="22"/>
          <w:szCs w:val="22"/>
        </w:rPr>
        <w:t xml:space="preserve">Engine-side concurrency replaces session fan-out. </w:t>
      </w:r>
      <w:r>
        <w:rPr>
          <w:rFonts w:ascii="Arial" w:cs="Arial" w:eastAsia="Arial" w:hAnsi="Arial"/>
          <w:sz w:val="22"/>
          <w:szCs w:val="22"/>
        </w:rPr>
        <w:t xml:space="preserve">sessions_spawn/sessions_send for parallel claim verification replaced by asyncio.gather with configurable semaphore. Eliminates 80 LLM round-trips for 80-claim verification (workers no longer need LLM calls to understand their task). Deterministic, debuggable, profiler-friendly.</w:t>
      </w:r>
    </w:p>
    <w:p>
      <w:pPr>
        <w:spacing w:before="120" w:after="120"/>
      </w:pPr>
      <w:r>
        <w:rPr>
          <w:rFonts w:ascii="Arial" w:cs="Arial" w:eastAsia="Arial" w:hAnsi="Arial"/>
          <w:b/>
          <w:bCs/>
          <w:sz w:val="22"/>
          <w:szCs w:val="22"/>
        </w:rPr>
        <w:t xml:space="preserve">Thin plugin architecture. </w:t>
      </w:r>
      <w:r>
        <w:rPr>
          <w:rFonts w:ascii="Arial" w:cs="Arial" w:eastAsia="Arial" w:hAnsi="Arial"/>
          <w:sz w:val="22"/>
          <w:szCs w:val="22"/>
        </w:rPr>
        <w:t xml:space="preserve">Plugin is explicitly a thin HTTP client. No business logic in the plugin layer. Engine and OpenClaw are separate processes—either can crash without affecting the other.</w:t>
      </w:r>
    </w:p>
    <w:p>
      <w:pPr>
        <w:pStyle w:val="Heading2"/>
      </w:pPr>
      <w:r>
        <w:t xml:space="preserve">Security and Isolation Changes</w:t>
      </w:r>
    </w:p>
    <w:p>
      <w:pPr>
        <w:spacing w:before="120" w:after="120"/>
      </w:pPr>
      <w:r>
        <w:rPr>
          <w:rFonts w:ascii="Arial" w:cs="Arial" w:eastAsia="Arial" w:hAnsi="Arial"/>
          <w:b/>
          <w:bCs/>
          <w:sz w:val="22"/>
          <w:szCs w:val="22"/>
        </w:rPr>
        <w:t xml:space="preserve">Per-case workspace isolation. </w:t>
      </w:r>
      <w:r>
        <w:rPr>
          <w:rFonts w:ascii="Arial" w:cs="Arial" w:eastAsia="Arial" w:hAnsi="Arial"/>
          <w:sz w:val="22"/>
          <w:szCs w:val="22"/>
        </w:rPr>
        <w:t xml:space="preserve">Mandatory. Each case gets its own OpenClaw workspace and isolated Engine stores. OpenClaw memory injection disabled for all LegalMind workspaces. Prevents cross-case privilege contamination.</w:t>
      </w:r>
    </w:p>
    <w:p>
      <w:pPr>
        <w:spacing w:before="120" w:after="120"/>
      </w:pPr>
      <w:r>
        <w:rPr>
          <w:rFonts w:ascii="Arial" w:cs="Arial" w:eastAsia="Arial" w:hAnsi="Arial"/>
          <w:b/>
          <w:bCs/>
          <w:sz w:val="22"/>
          <w:szCs w:val="22"/>
        </w:rPr>
        <w:t xml:space="preserve">Defense-in-depth sandboxing. </w:t>
      </w:r>
      <w:r>
        <w:rPr>
          <w:rFonts w:ascii="Arial" w:cs="Arial" w:eastAsia="Arial" w:hAnsi="Arial"/>
          <w:sz w:val="22"/>
          <w:szCs w:val="22"/>
        </w:rPr>
        <w:t xml:space="preserve">Primary sandbox boundary around the Engine (Docker container with configurable network). Secondary sandbox on the OpenClaw agent (sandbox.mode: all). Two layers instead of one.</w:t>
      </w:r>
    </w:p>
    <w:p>
      <w:pPr>
        <w:spacing w:before="120" w:after="120"/>
      </w:pPr>
      <w:r>
        <w:rPr>
          <w:rFonts w:ascii="Arial" w:cs="Arial" w:eastAsia="Arial" w:hAnsi="Arial"/>
          <w:b/>
          <w:bCs/>
          <w:sz w:val="22"/>
          <w:szCs w:val="22"/>
        </w:rPr>
        <w:t xml:space="preserve">Channel restriction formalized. </w:t>
      </w:r>
      <w:r>
        <w:rPr>
          <w:rFonts w:ascii="Arial" w:cs="Arial" w:eastAsia="Arial" w:hAnsi="Arial"/>
          <w:sz w:val="22"/>
          <w:szCs w:val="22"/>
        </w:rPr>
        <w:t xml:space="preserve">LegalMind restricted to local web UI and CLI. No messaging channel integrations for case operations.</w:t>
      </w:r>
    </w:p>
    <w:p>
      <w:pPr>
        <w:pStyle w:val="Heading2"/>
      </w:pPr>
      <w:r>
        <w:t xml:space="preserve">Prompt Composition Changes</w:t>
      </w:r>
    </w:p>
    <w:p>
      <w:pPr>
        <w:spacing w:before="120" w:after="120"/>
      </w:pPr>
      <w:r>
        <w:rPr>
          <w:rFonts w:ascii="Arial" w:cs="Arial" w:eastAsia="Arial" w:hAnsi="Arial"/>
          <w:b/>
          <w:bCs/>
          <w:sz w:val="22"/>
          <w:szCs w:val="22"/>
        </w:rPr>
        <w:t xml:space="preserve">AGENTS.md/SOUL.md/TOOLS.md enforcement. </w:t>
      </w:r>
      <w:r>
        <w:rPr>
          <w:rFonts w:ascii="Arial" w:cs="Arial" w:eastAsia="Arial" w:hAnsi="Arial"/>
          <w:sz w:val="22"/>
          <w:szCs w:val="22"/>
        </w:rPr>
        <w:t xml:space="preserve">Naming rule enforcement moved from documentation caveat to structural enforcement via the OpenClaw prompt composition stack. No Shard names in any file that reaches the LLM.</w:t>
      </w:r>
    </w:p>
    <w:p>
      <w:pPr>
        <w:pStyle w:val="Heading2"/>
      </w:pPr>
      <w:r>
        <w:t xml:space="preserve">Skill and Naming Changes</w:t>
      </w:r>
    </w:p>
    <w:p>
      <w:pPr>
        <w:spacing w:before="120" w:after="120"/>
      </w:pPr>
      <w:r>
        <w:rPr>
          <w:rFonts w:ascii="Arial" w:cs="Arial" w:eastAsia="Arial" w:hAnsi="Arial"/>
          <w:b/>
          <w:bCs/>
          <w:sz w:val="22"/>
          <w:szCs w:val="22"/>
        </w:rPr>
        <w:t xml:space="preserve">Granular skill naming. </w:t>
      </w:r>
      <w:r>
        <w:rPr>
          <w:rFonts w:ascii="Arial" w:cs="Arial" w:eastAsia="Arial" w:hAnsi="Arial"/>
          <w:sz w:val="22"/>
          <w:szCs w:val="22"/>
        </w:rPr>
        <w:t xml:space="preserve">Engine module skills renamed to actionable, specific names (e.g., adversarial_prompter → verify_claim_skeptical; pdf_layout_parser → ingest_pdf_layout). SKILL.md files map directly to module capabilities.</w:t>
      </w:r>
    </w:p>
    <w:p>
      <w:pPr>
        <w:pStyle w:val="Heading2"/>
      </w:pPr>
      <w:r>
        <w:t xml:space="preserve">Additions from External Review</w:t>
      </w:r>
    </w:p>
    <w:p>
      <w:pPr>
        <w:spacing w:before="120" w:after="120"/>
      </w:pPr>
      <w:r>
        <w:rPr>
          <w:rFonts w:ascii="Arial" w:cs="Arial" w:eastAsia="Arial" w:hAnsi="Arial"/>
          <w:b/>
          <w:bCs/>
          <w:sz w:val="22"/>
          <w:szCs w:val="22"/>
        </w:rPr>
        <w:t xml:space="preserve">Plugin tool endpoints. </w:t>
      </w:r>
      <w:r>
        <w:rPr>
          <w:rFonts w:ascii="Arial" w:cs="Arial" w:eastAsia="Arial" w:hAnsi="Arial"/>
          <w:sz w:val="22"/>
          <w:szCs w:val="22"/>
        </w:rPr>
        <w:t xml:space="preserve">Added explicit Engine endpoint paths (POST /api/evidence/register, etc.) for each plugin tool. Added legalmind.case.init and legalmind.case.status tools.</w:t>
      </w:r>
    </w:p>
    <w:p>
      <w:pPr>
        <w:spacing w:before="120" w:after="120"/>
      </w:pPr>
      <w:r>
        <w:rPr>
          <w:rFonts w:ascii="Arial" w:cs="Arial" w:eastAsia="Arial" w:hAnsi="Arial"/>
          <w:b/>
          <w:bCs/>
          <w:sz w:val="22"/>
          <w:szCs w:val="22"/>
        </w:rPr>
        <w:t xml:space="preserve">OpenClaw skill files table. </w:t>
      </w:r>
      <w:r>
        <w:rPr>
          <w:rFonts w:ascii="Arial" w:cs="Arial" w:eastAsia="Arial" w:hAnsi="Arial"/>
          <w:sz w:val="22"/>
          <w:szCs w:val="22"/>
        </w:rPr>
        <w:t xml:space="preserve">New Section 8 maps SKILL.md files to Engine modules with content descriptions.</w:t>
      </w:r>
    </w:p>
    <w:p>
      <w:pPr>
        <w:spacing w:before="120" w:after="120"/>
      </w:pPr>
      <w:r>
        <w:rPr>
          <w:rFonts w:ascii="Arial" w:cs="Arial" w:eastAsia="Arial" w:hAnsi="Arial"/>
          <w:b/>
          <w:bCs/>
          <w:sz w:val="22"/>
          <w:szCs w:val="22"/>
        </w:rPr>
        <w:t xml:space="preserve">Concurrency configuration. </w:t>
      </w:r>
      <w:r>
        <w:rPr>
          <w:rFonts w:ascii="Arial" w:cs="Arial" w:eastAsia="Arial" w:hAnsi="Arial"/>
          <w:sz w:val="22"/>
          <w:szCs w:val="22"/>
        </w:rPr>
        <w:t xml:space="preserve">Explicit configuration parameters: CONCURRENCY_SEMAPHORE, BATCH_SIZE, LLM_TIMEOUT with defaults and retry policy.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99999"/>
        <w:sz w:val="18"/>
        <w:szCs w:val="18"/>
      </w:rPr>
      <w:t xml:space="preserve">The LegalMind — Agent Specification v3.0</w:t>
    </w:r>
    <w:r>
      <w:rPr>
        <w:rFonts w:ascii="Arial" w:cs="Arial" w:eastAsia="Arial" w:hAnsi="Arial"/>
        <w:color w:val="999999"/>
        <w:sz w:val="18"/>
        <w:szCs w:val="18"/>
      </w:rPr>
      <w:t xml:space="preserve">	Andrew H. Fuller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2026-02-17T21:23:48.329Z</dcterms:created>
  <dcterms:modified xsi:type="dcterms:W3CDTF">2026-02-17T21:23:48.330Z</dcterms:modified>
</cp:coreProperties>
</file>

<file path=docProps/custom.xml><?xml version="1.0" encoding="utf-8"?>
<Properties xmlns="http://schemas.openxmlformats.org/officeDocument/2006/custom-properties" xmlns:vt="http://schemas.openxmlformats.org/officeDocument/2006/docPropsVTypes"/>
</file>