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A66E6" w14:textId="53009179" w:rsidR="00C976D9" w:rsidRDefault="00251222">
      <w:pPr>
        <w:pStyle w:val="Title"/>
      </w:pPr>
      <w:r w:rsidRPr="00251222">
        <w:t xml:space="preserve">Homologous and heterologous immunity comparison between </w:t>
      </w:r>
      <w:proofErr w:type="spellStart"/>
      <w:r w:rsidRPr="00251222">
        <w:t>Fluzone</w:t>
      </w:r>
      <w:proofErr w:type="spellEnd"/>
      <w:r w:rsidRPr="00251222">
        <w:t xml:space="preserve"> High-Dose and Standard-Dose influenza vaccine: a human vaccine cohort study from 2014 to 2018</w:t>
      </w:r>
    </w:p>
    <w:p w14:paraId="694A66E7" w14:textId="77777777" w:rsidR="00C976D9" w:rsidRDefault="00B43936" w:rsidP="00A560F1">
      <w:pPr>
        <w:pStyle w:val="FirstParagraph"/>
      </w:pPr>
      <w:r>
        <w:t>Authors</w:t>
      </w:r>
    </w:p>
    <w:p w14:paraId="694A66E8" w14:textId="77777777" w:rsidR="00C976D9" w:rsidRDefault="00B43936" w:rsidP="00A560F1">
      <w:pPr>
        <w:pStyle w:val="BodyText"/>
      </w:pPr>
      <w:r>
        <w:t>Yang Ge</w:t>
      </w:r>
      <m:oMath>
        <m:sSup>
          <m:sSupPr>
            <m:ctrlPr>
              <w:rPr>
                <w:rFonts w:ascii="Cambria Math" w:hAnsi="Cambria Math"/>
              </w:rPr>
            </m:ctrlPr>
          </m:sSupPr>
          <m:e>
            <m:r>
              <w:rPr>
                <w:rFonts w:ascii="Cambria Math" w:hAnsi="Cambria Math"/>
              </w:rPr>
              <m:t>​</m:t>
            </m:r>
          </m:e>
          <m:sup>
            <m:r>
              <w:rPr>
                <w:rFonts w:ascii="Cambria Math" w:hAnsi="Cambria Math"/>
              </w:rPr>
              <m:t>1</m:t>
            </m:r>
          </m:sup>
        </m:sSup>
      </m:oMath>
      <w:r>
        <w:t>^, W. Zane Billings</w:t>
      </w:r>
      <m:oMath>
        <m:sSup>
          <m:sSupPr>
            <m:ctrlPr>
              <w:rPr>
                <w:rFonts w:ascii="Cambria Math" w:hAnsi="Cambria Math"/>
              </w:rPr>
            </m:ctrlPr>
          </m:sSupPr>
          <m:e>
            <m:r>
              <w:rPr>
                <w:rFonts w:ascii="Cambria Math" w:hAnsi="Cambria Math"/>
              </w:rPr>
              <m:t>​</m:t>
            </m:r>
          </m:e>
          <m:sup>
            <m:r>
              <w:rPr>
                <w:rFonts w:ascii="Cambria Math" w:hAnsi="Cambria Math"/>
              </w:rPr>
              <m:t>2</m:t>
            </m:r>
            <m:r>
              <m:rPr>
                <m:sty m:val="p"/>
              </m:rPr>
              <w:rPr>
                <w:rFonts w:ascii="Cambria Math" w:hAnsi="Cambria Math"/>
              </w:rPr>
              <m:t>,</m:t>
            </m:r>
            <m:r>
              <w:rPr>
                <w:rFonts w:ascii="Cambria Math" w:hAnsi="Cambria Math"/>
              </w:rPr>
              <m:t>3</m:t>
            </m:r>
          </m:sup>
        </m:sSup>
      </m:oMath>
      <w:r>
        <w:t>, Wannan Cao</w:t>
      </w:r>
      <m:oMath>
        <m:sSup>
          <m:sSupPr>
            <m:ctrlPr>
              <w:rPr>
                <w:rFonts w:ascii="Cambria Math" w:hAnsi="Cambria Math"/>
              </w:rPr>
            </m:ctrlPr>
          </m:sSupPr>
          <m:e>
            <m:r>
              <w:rPr>
                <w:rFonts w:ascii="Cambria Math" w:hAnsi="Cambria Math"/>
              </w:rPr>
              <m:t>​</m:t>
            </m:r>
          </m:e>
          <m:sup>
            <m:r>
              <w:rPr>
                <w:rFonts w:ascii="Cambria Math" w:hAnsi="Cambria Math"/>
              </w:rPr>
              <m:t>4</m:t>
            </m:r>
          </m:sup>
        </m:sSup>
      </m:oMath>
      <w:r>
        <w:t>, Amanda L. Skarlupka</w:t>
      </w:r>
      <m:oMath>
        <m:sSup>
          <m:sSupPr>
            <m:ctrlPr>
              <w:rPr>
                <w:rFonts w:ascii="Cambria Math" w:hAnsi="Cambria Math"/>
              </w:rPr>
            </m:ctrlPr>
          </m:sSupPr>
          <m:e>
            <m:r>
              <w:rPr>
                <w:rFonts w:ascii="Cambria Math" w:hAnsi="Cambria Math"/>
              </w:rPr>
              <m:t>​</m:t>
            </m:r>
          </m:e>
          <m:sup>
            <m:r>
              <w:rPr>
                <w:rFonts w:ascii="Cambria Math" w:hAnsi="Cambria Math"/>
              </w:rPr>
              <m:t>5</m:t>
            </m:r>
          </m:sup>
        </m:sSup>
      </m:oMath>
      <w:r>
        <w:t>, Ye Shen</w:t>
      </w:r>
      <m:oMath>
        <m:sSup>
          <m:sSupPr>
            <m:ctrlPr>
              <w:rPr>
                <w:rFonts w:ascii="Cambria Math" w:hAnsi="Cambria Math"/>
              </w:rPr>
            </m:ctrlPr>
          </m:sSupPr>
          <m:e>
            <m:r>
              <w:rPr>
                <w:rFonts w:ascii="Cambria Math" w:hAnsi="Cambria Math"/>
              </w:rPr>
              <m:t>​</m:t>
            </m:r>
          </m:e>
          <m:sup>
            <m:r>
              <w:rPr>
                <w:rFonts w:ascii="Cambria Math" w:hAnsi="Cambria Math"/>
              </w:rPr>
              <m:t>2</m:t>
            </m:r>
          </m:sup>
        </m:sSup>
      </m:oMath>
      <w:r>
        <w:t>, Justin Bahl</w:t>
      </w:r>
      <m:oMath>
        <m:sSup>
          <m:sSupPr>
            <m:ctrlPr>
              <w:rPr>
                <w:rFonts w:ascii="Cambria Math" w:hAnsi="Cambria Math"/>
              </w:rPr>
            </m:ctrlPr>
          </m:sSupPr>
          <m:e>
            <m:r>
              <w:rPr>
                <w:rFonts w:ascii="Cambria Math" w:hAnsi="Cambria Math"/>
              </w:rPr>
              <m:t>​</m:t>
            </m:r>
          </m:e>
          <m:sup>
            <m:r>
              <w:rPr>
                <w:rFonts w:ascii="Cambria Math" w:hAnsi="Cambria Math"/>
              </w:rPr>
              <m:t>2</m:t>
            </m:r>
          </m:sup>
        </m:sSup>
      </m:oMath>
      <w:r>
        <w:t>, Paul Thomas</w:t>
      </w:r>
      <m:oMath>
        <m:sSup>
          <m:sSupPr>
            <m:ctrlPr>
              <w:rPr>
                <w:rFonts w:ascii="Cambria Math" w:hAnsi="Cambria Math"/>
              </w:rPr>
            </m:ctrlPr>
          </m:sSupPr>
          <m:e>
            <m:r>
              <w:rPr>
                <w:rFonts w:ascii="Cambria Math" w:hAnsi="Cambria Math"/>
              </w:rPr>
              <m:t>​</m:t>
            </m:r>
          </m:e>
          <m:sup>
            <m:r>
              <w:rPr>
                <w:rFonts w:ascii="Cambria Math" w:hAnsi="Cambria Math"/>
              </w:rPr>
              <m:t>6</m:t>
            </m:r>
          </m:sup>
        </m:sSup>
      </m:oMath>
      <w:r>
        <w:t>, Ted M. Ross</w:t>
      </w:r>
      <m:oMath>
        <m:sSup>
          <m:sSupPr>
            <m:ctrlPr>
              <w:rPr>
                <w:rFonts w:ascii="Cambria Math" w:hAnsi="Cambria Math"/>
              </w:rPr>
            </m:ctrlPr>
          </m:sSupPr>
          <m:e>
            <m:r>
              <w:rPr>
                <w:rFonts w:ascii="Cambria Math" w:hAnsi="Cambria Math"/>
              </w:rPr>
              <m:t>​</m:t>
            </m:r>
          </m:e>
          <m:sup>
            <m:r>
              <w:rPr>
                <w:rFonts w:ascii="Cambria Math" w:hAnsi="Cambria Math"/>
              </w:rPr>
              <m:t>7</m:t>
            </m:r>
            <m:r>
              <m:rPr>
                <m:sty m:val="p"/>
              </m:rPr>
              <w:rPr>
                <w:rFonts w:ascii="Cambria Math" w:hAnsi="Cambria Math"/>
              </w:rPr>
              <m:t>,</m:t>
            </m:r>
            <m:r>
              <w:rPr>
                <w:rFonts w:ascii="Cambria Math" w:hAnsi="Cambria Math"/>
              </w:rPr>
              <m:t>8</m:t>
            </m:r>
          </m:sup>
        </m:sSup>
      </m:oMath>
      <w:r>
        <w:t>, Andreas Handel</w:t>
      </w:r>
      <m:oMath>
        <m:sSup>
          <m:sSupPr>
            <m:ctrlPr>
              <w:rPr>
                <w:rFonts w:ascii="Cambria Math" w:hAnsi="Cambria Math"/>
              </w:rPr>
            </m:ctrlPr>
          </m:sSupPr>
          <m:e>
            <m:r>
              <w:rPr>
                <w:rFonts w:ascii="Cambria Math" w:hAnsi="Cambria Math"/>
              </w:rPr>
              <m:t>​</m:t>
            </m:r>
          </m:e>
          <m:sup>
            <m:r>
              <w:rPr>
                <w:rFonts w:ascii="Cambria Math" w:hAnsi="Cambria Math"/>
              </w:rPr>
              <m:t>2</m:t>
            </m:r>
          </m:sup>
        </m:sSup>
      </m:oMath>
      <w:r>
        <w:t>^,</w:t>
      </w:r>
    </w:p>
    <w:p w14:paraId="694A66E9" w14:textId="77777777" w:rsidR="00C976D9" w:rsidRDefault="00B43936" w:rsidP="00A560F1">
      <w:pPr>
        <w:pStyle w:val="BodyText"/>
      </w:pPr>
      <w:r>
        <w:t>Authors affiliations</w:t>
      </w:r>
    </w:p>
    <w:p w14:paraId="694A66EA" w14:textId="77777777" w:rsidR="00C976D9" w:rsidRDefault="00000000" w:rsidP="00A560F1">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B43936">
        <w:t xml:space="preserve">: School of Health Professions, University of Southern Mississippi, Hattiesburg, 39402, MS, USA; </w:t>
      </w:r>
      <w:hyperlink r:id="rId7">
        <w:r w:rsidR="00B43936">
          <w:rPr>
            <w:rStyle w:val="Hyperlink"/>
          </w:rPr>
          <w:t>https://orcid.org/0000-0001-5100-0703</w:t>
        </w:r>
      </w:hyperlink>
      <w:r w:rsidR="00B43936">
        <w:t xml:space="preserve">; </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00B43936">
        <w:t xml:space="preserve">: College of Public Health, The University of Georgia, Athens, 30606, GA, USA; </w:t>
      </w:r>
      <m:oMath>
        <m:sSup>
          <m:sSupPr>
            <m:ctrlPr>
              <w:rPr>
                <w:rFonts w:ascii="Cambria Math" w:hAnsi="Cambria Math"/>
              </w:rPr>
            </m:ctrlPr>
          </m:sSupPr>
          <m:e>
            <m:r>
              <w:rPr>
                <w:rFonts w:ascii="Cambria Math" w:hAnsi="Cambria Math"/>
              </w:rPr>
              <m:t>​</m:t>
            </m:r>
          </m:e>
          <m:sup>
            <m:r>
              <w:rPr>
                <w:rFonts w:ascii="Cambria Math" w:hAnsi="Cambria Math"/>
              </w:rPr>
              <m:t>3</m:t>
            </m:r>
          </m:sup>
        </m:sSup>
      </m:oMath>
      <w:r w:rsidR="00B43936">
        <w:t xml:space="preserve">: Center for the Ecology of Infectious Diseases, The University of Georgia, Athens, 30606, GA, USA. </w:t>
      </w:r>
      <m:oMath>
        <m:sSup>
          <m:sSupPr>
            <m:ctrlPr>
              <w:rPr>
                <w:rFonts w:ascii="Cambria Math" w:hAnsi="Cambria Math"/>
              </w:rPr>
            </m:ctrlPr>
          </m:sSupPr>
          <m:e>
            <m:r>
              <w:rPr>
                <w:rFonts w:ascii="Cambria Math" w:hAnsi="Cambria Math"/>
              </w:rPr>
              <m:t>​</m:t>
            </m:r>
          </m:e>
          <m:sup>
            <m:r>
              <w:rPr>
                <w:rFonts w:ascii="Cambria Math" w:hAnsi="Cambria Math"/>
              </w:rPr>
              <m:t>4</m:t>
            </m:r>
          </m:sup>
        </m:sSup>
      </m:oMath>
      <w:r w:rsidR="00B43936">
        <w:t xml:space="preserve">: School of Public Health, Peking University, Beijing, China; </w:t>
      </w:r>
      <m:oMath>
        <m:sSup>
          <m:sSupPr>
            <m:ctrlPr>
              <w:rPr>
                <w:rFonts w:ascii="Cambria Math" w:hAnsi="Cambria Math"/>
              </w:rPr>
            </m:ctrlPr>
          </m:sSupPr>
          <m:e>
            <m:r>
              <w:rPr>
                <w:rFonts w:ascii="Cambria Math" w:hAnsi="Cambria Math"/>
              </w:rPr>
              <m:t>​</m:t>
            </m:r>
          </m:e>
          <m:sup>
            <m:r>
              <w:rPr>
                <w:rFonts w:ascii="Cambria Math" w:hAnsi="Cambria Math"/>
              </w:rPr>
              <m:t>5</m:t>
            </m:r>
          </m:sup>
        </m:sSup>
      </m:oMath>
      <w:r w:rsidR="00B43936">
        <w:t xml:space="preserve">: National Cancer Institute, Bethesda, 20814, MD, USA; </w:t>
      </w:r>
      <m:oMath>
        <m:sSup>
          <m:sSupPr>
            <m:ctrlPr>
              <w:rPr>
                <w:rFonts w:ascii="Cambria Math" w:hAnsi="Cambria Math"/>
              </w:rPr>
            </m:ctrlPr>
          </m:sSupPr>
          <m:e>
            <m:r>
              <w:rPr>
                <w:rFonts w:ascii="Cambria Math" w:hAnsi="Cambria Math"/>
              </w:rPr>
              <m:t>​</m:t>
            </m:r>
          </m:e>
          <m:sup>
            <m:r>
              <w:rPr>
                <w:rFonts w:ascii="Cambria Math" w:hAnsi="Cambria Math"/>
              </w:rPr>
              <m:t>6</m:t>
            </m:r>
          </m:sup>
        </m:sSup>
      </m:oMath>
      <w:r w:rsidR="00B43936">
        <w:t xml:space="preserve">: St. Jude Children’s Research Hospital, Memphis, 38105, TN, USA; </w:t>
      </w:r>
      <m:oMath>
        <m:sSup>
          <m:sSupPr>
            <m:ctrlPr>
              <w:rPr>
                <w:rFonts w:ascii="Cambria Math" w:hAnsi="Cambria Math"/>
              </w:rPr>
            </m:ctrlPr>
          </m:sSupPr>
          <m:e>
            <m:r>
              <w:rPr>
                <w:rFonts w:ascii="Cambria Math" w:hAnsi="Cambria Math"/>
              </w:rPr>
              <m:t>​</m:t>
            </m:r>
          </m:e>
          <m:sup>
            <m:r>
              <w:rPr>
                <w:rFonts w:ascii="Cambria Math" w:hAnsi="Cambria Math"/>
              </w:rPr>
              <m:t>7</m:t>
            </m:r>
          </m:sup>
        </m:sSup>
      </m:oMath>
      <w:r w:rsidR="00B43936">
        <w:t xml:space="preserve">: Center for Vaccines and Immunology, The University of Georgia, Athens, 30606, GA, USA; </w:t>
      </w:r>
      <m:oMath>
        <m:sSup>
          <m:sSupPr>
            <m:ctrlPr>
              <w:rPr>
                <w:rFonts w:ascii="Cambria Math" w:hAnsi="Cambria Math"/>
              </w:rPr>
            </m:ctrlPr>
          </m:sSupPr>
          <m:e>
            <m:r>
              <w:rPr>
                <w:rFonts w:ascii="Cambria Math" w:hAnsi="Cambria Math"/>
              </w:rPr>
              <m:t>​</m:t>
            </m:r>
          </m:e>
          <m:sup>
            <m:r>
              <w:rPr>
                <w:rFonts w:ascii="Cambria Math" w:hAnsi="Cambria Math"/>
              </w:rPr>
              <m:t>8</m:t>
            </m:r>
          </m:sup>
        </m:sSup>
      </m:oMath>
      <w:r w:rsidR="00B43936">
        <w:t>: Cleveland Clinic, Port St. Lucie, 34952, FL, USA;</w:t>
      </w:r>
    </w:p>
    <w:p w14:paraId="694A66EB" w14:textId="77777777" w:rsidR="00C976D9" w:rsidRDefault="00B43936" w:rsidP="00A560F1">
      <w:pPr>
        <w:pStyle w:val="BodyText"/>
      </w:pPr>
      <w:r>
        <w:t xml:space="preserve">^ Corresponding authors: </w:t>
      </w:r>
      <w:hyperlink r:id="rId8">
        <w:r>
          <w:rPr>
            <w:rStyle w:val="Hyperlink"/>
          </w:rPr>
          <w:t>yang.ge@usm.edu</w:t>
        </w:r>
      </w:hyperlink>
      <w:r>
        <w:t xml:space="preserve">, </w:t>
      </w:r>
      <w:hyperlink r:id="rId9">
        <w:r>
          <w:rPr>
            <w:rStyle w:val="Hyperlink"/>
          </w:rPr>
          <w:t>ahandel@uga.edu</w:t>
        </w:r>
      </w:hyperlink>
    </w:p>
    <w:p w14:paraId="694A66EC" w14:textId="77777777" w:rsidR="00C976D9" w:rsidRDefault="00B43936" w:rsidP="00A560F1">
      <w:pPr>
        <w:pStyle w:val="BodyText"/>
      </w:pPr>
      <w:r>
        <w:t>Abstract word count:</w:t>
      </w:r>
    </w:p>
    <w:p w14:paraId="694A66ED" w14:textId="77777777" w:rsidR="00C976D9" w:rsidRDefault="00B43936" w:rsidP="00A560F1">
      <w:pPr>
        <w:pStyle w:val="BodyText"/>
      </w:pPr>
      <w:r>
        <w:t>Text word count:</w:t>
      </w:r>
    </w:p>
    <w:p w14:paraId="694A66EE" w14:textId="77777777" w:rsidR="00C976D9" w:rsidRDefault="00B43936" w:rsidP="00A560F1">
      <w:pPr>
        <w:pStyle w:val="BodyText"/>
      </w:pPr>
      <w:r>
        <w:rPr>
          <w:b/>
          <w:bCs/>
        </w:rPr>
        <w:t>Conflicts of interest</w:t>
      </w:r>
      <w:r>
        <w:t>: None of the authors declare any conflicts of interest.</w:t>
      </w:r>
    </w:p>
    <w:p w14:paraId="694A66EF" w14:textId="77777777" w:rsidR="00C976D9" w:rsidRDefault="00B43936" w:rsidP="00A560F1">
      <w:pPr>
        <w:pStyle w:val="BodyText"/>
      </w:pPr>
      <w:r>
        <w:rPr>
          <w:b/>
          <w:bCs/>
        </w:rPr>
        <w:lastRenderedPageBreak/>
        <w:t>Funding sources</w:t>
      </w:r>
      <w:r>
        <w:t>: Yang Ge was supported by the Start-up Grant from the University of Southern Mississippi and NIH contract 75N93019C00052. Ted M. Ross is supported by the Georgia Research Alliance as an Eminent Scholar. Andreas Handel received partial support from NIH grants/contracts U01AI150747, R01AI170116, 75N93019C00052 and 75N93021C00018. Ye Shen received partial support from NIH grants/contracts R35GM146612, R01AI170116 and 75N93019C00052. The funders had no role in the study design, data collection and analysis, decision to publish, or preparation of the manuscript.</w:t>
      </w:r>
    </w:p>
    <w:p w14:paraId="694A66F0" w14:textId="77777777" w:rsidR="00C976D9" w:rsidRDefault="00B43936">
      <w:r>
        <w:br w:type="page"/>
      </w:r>
    </w:p>
    <w:p w14:paraId="694A66F1" w14:textId="77777777" w:rsidR="00C976D9" w:rsidRDefault="00B43936">
      <w:pPr>
        <w:pStyle w:val="Heading1"/>
      </w:pPr>
      <w:bookmarkStart w:id="0" w:name="abstract"/>
      <w:r>
        <w:lastRenderedPageBreak/>
        <w:t>Abstract</w:t>
      </w:r>
    </w:p>
    <w:p w14:paraId="694A66F2" w14:textId="77777777" w:rsidR="00C976D9" w:rsidRDefault="00B43936" w:rsidP="00A560F1">
      <w:pPr>
        <w:pStyle w:val="FirstParagraph"/>
      </w:pPr>
      <w:r>
        <w:rPr>
          <w:b/>
          <w:bCs/>
        </w:rPr>
        <w:t>Background</w:t>
      </w:r>
      <w:r>
        <w:t xml:space="preserve">: The high-dose (HD) </w:t>
      </w:r>
      <w:proofErr w:type="spellStart"/>
      <w:r>
        <w:t>Fluzone</w:t>
      </w:r>
      <w:proofErr w:type="spellEnd"/>
      <w:r>
        <w:t xml:space="preserve"> influenza vaccine is provided to the elderly population due to the limited effectiveness of the standard-dose (SD) version. While HD may enhance protection against the same vaccine strain (homologous protection), research on its impact regarding protection against different strains (heterologous protection) is limited. We aim to compare the antibody immune responses for both homologous and heterologous protection between SD and HD vaccines using human vaccine cohort study</w:t>
      </w:r>
    </w:p>
    <w:p w14:paraId="694A66F3" w14:textId="77777777" w:rsidR="00C976D9" w:rsidRDefault="00B43936" w:rsidP="00A560F1">
      <w:pPr>
        <w:pStyle w:val="BodyText"/>
      </w:pPr>
      <w:r>
        <w:rPr>
          <w:b/>
          <w:bCs/>
        </w:rPr>
        <w:t>Methods</w:t>
      </w:r>
      <w:r>
        <w:t xml:space="preserve">: We extracted data from a human vaccine cohort study involving volunteers who received either the SD or HD </w:t>
      </w:r>
      <w:proofErr w:type="spellStart"/>
      <w:r>
        <w:t>Fluzone</w:t>
      </w:r>
      <w:proofErr w:type="spellEnd"/>
      <w:r>
        <w:t xml:space="preserve"> vaccine during five flu seasons from 2014 to 2018. After transforming the data into log2 titer units, we employed a Bayesian multilevel modeling framework to investigate how the vaccine dosage affects the levels of serological hemagglutination inhibition titer (HAI) for both homologous and heterologous immunogenicity.</w:t>
      </w:r>
    </w:p>
    <w:p w14:paraId="694A66F4" w14:textId="77777777" w:rsidR="00C976D9" w:rsidRDefault="00B43936" w:rsidP="00A560F1">
      <w:pPr>
        <w:pStyle w:val="BodyText"/>
      </w:pPr>
      <w:r>
        <w:rPr>
          <w:b/>
          <w:bCs/>
        </w:rPr>
        <w:t>Results</w:t>
      </w:r>
      <w:r>
        <w:t>: During these five flu seasons, HD and SD vaccine were given 198 and 160 times, respectively. Despite updates to vaccine strains during these seasons, our analysis revealed that the HD vaccine generally exhibited slightly better homologous immunogenicity compared to the SD vaccine. Specifically, across all seasons, the HD vaccine showed an overall increase in homologous HAI titer by 0.26 (95%CrIs, -0.42 to 0.92) (</w:t>
      </w:r>
      <w:proofErr w:type="spellStart"/>
      <w:r>
        <w:t>CrIs</w:t>
      </w:r>
      <w:proofErr w:type="spellEnd"/>
      <w:r>
        <w:t xml:space="preserve">: equal-tailed credible interval). However, the superiority of the HD vaccine was not consistent when it came to heterologous immunogenicity. For instance, in the case of the H1N1-California-2009 strain, the HD vaccine demonstrated lower heterologous immunogenicity than the SD vaccine, with a titer increase difference (HD - SD) of -0.08 (95%CrIs, -0.18 to 0.03). Furthermore, we observed that the HD vaccine had lower titer increases compared to the SD vaccine in the 2016/17 (-0.32 (95%CrIs, -0.45 to -0.18)) and </w:t>
      </w:r>
      <w:r>
        <w:lastRenderedPageBreak/>
        <w:t xml:space="preserve">2018/19 (-0.2 (95%CrIs, -0.5 to 0.08)) flu seasons. These findings remained similar across various outcomes (seroconversion and </w:t>
      </w:r>
      <w:proofErr w:type="spellStart"/>
      <w:r>
        <w:t>seroprotection</w:t>
      </w:r>
      <w:proofErr w:type="spellEnd"/>
      <w:r>
        <w:t>) and different analytical methods (non-multilevel models).</w:t>
      </w:r>
    </w:p>
    <w:p w14:paraId="694A66F5" w14:textId="77777777" w:rsidR="00C976D9" w:rsidRDefault="00B43936" w:rsidP="00A560F1">
      <w:pPr>
        <w:pStyle w:val="BodyText"/>
      </w:pPr>
      <w:r>
        <w:rPr>
          <w:b/>
          <w:bCs/>
        </w:rPr>
        <w:t>Conclusions</w:t>
      </w:r>
      <w:r>
        <w:t>: The HD influenza vaccine consistently enhances homologous protection but varies significantly in its effectiveness against different strains. When there’s a significant vaccine-strain mismatch in a season, HD might not be the best option. Further dose optimization studies are required.</w:t>
      </w:r>
    </w:p>
    <w:p w14:paraId="694A66F6" w14:textId="77777777" w:rsidR="00C976D9" w:rsidRDefault="00B43936">
      <w:r>
        <w:br w:type="page"/>
      </w:r>
    </w:p>
    <w:p w14:paraId="694A66F7" w14:textId="77777777" w:rsidR="00C976D9" w:rsidRDefault="00B43936">
      <w:pPr>
        <w:pStyle w:val="Heading1"/>
      </w:pPr>
      <w:bookmarkStart w:id="1" w:name="introduction"/>
      <w:bookmarkEnd w:id="0"/>
      <w:r>
        <w:lastRenderedPageBreak/>
        <w:t>Introduction</w:t>
      </w:r>
    </w:p>
    <w:p w14:paraId="694A66F8" w14:textId="77777777" w:rsidR="00C976D9" w:rsidRDefault="00B43936" w:rsidP="00A560F1">
      <w:pPr>
        <w:pStyle w:val="FirstParagraph"/>
      </w:pPr>
      <w:r>
        <w:t xml:space="preserve">Influenza vaccines are widely used to protect humans against influenza infections, but the average effectiveness is only around 50% [1]. The licensed standard-dose (SD) split-inactivated virion vaccine, containing 15 micrograms of HA antigen for each strain, exhibited low immunogenicity and limited protection, especially in the elderly population [2]. To address this, a high-dose (HD) influenza vaccine, Sanofi Pasteur </w:t>
      </w:r>
      <w:proofErr w:type="spellStart"/>
      <w:r>
        <w:t>Fluzone</w:t>
      </w:r>
      <w:proofErr w:type="spellEnd"/>
      <w:r>
        <w:t xml:space="preserve"> HD, was developed, having 60 micrograms of HA for each vaccine strain [3,4]. This increased dosage improved homologous protection against the vaccine strain, leading to its licensing in the US in 2009 and subsequent administration to individuals aged 65 years and older [4–8].</w:t>
      </w:r>
    </w:p>
    <w:p w14:paraId="694A66F9" w14:textId="77777777" w:rsidR="00C976D9" w:rsidRDefault="00B43936" w:rsidP="00A560F1">
      <w:pPr>
        <w:pStyle w:val="BodyText"/>
      </w:pPr>
      <w:r>
        <w:t>Maximizing both homologous and heterologous protection is a key goal in developing a universal influenza vaccine, as recognized in previous research [9,10]. Increasing the vaccine dose appears to enhance homologous immunogenicity [5,11], but its impact on heterologous immunogenicity remains uncertain. Notably, several antigens have shown non-monotone patterns in dose-dependent immune responses [12–15], indicating that vaccine dosage can produce diverse effects. For instance, a higher dose might trigger a broader B-cell or T-cell response, simultaneously enhancing both strength and breadth of protection. However, it could also selectively stimulate B-cell or T-cell responses only to specific strains, resulting in strong yet narrower protection. Therefore ,the potential competition among HD vaccine-induced B-cells or T-cells might narrow vaccine protection [16], making high-risk populations more vulnerable to vaccine mismatches. Thus, the true impact of the HD influenza vaccine on heterologous protection remains a critical question that has yet to be thoroughly explored.</w:t>
      </w:r>
    </w:p>
    <w:p w14:paraId="694A66FA" w14:textId="77777777" w:rsidR="00C976D9" w:rsidRDefault="00B43936" w:rsidP="00A560F1">
      <w:pPr>
        <w:pStyle w:val="BodyText"/>
      </w:pPr>
      <w:r>
        <w:t xml:space="preserve">The choice of vaccine dose plays a crucial role in efficacy, side effects, costs, and availability [5,15]. To have a dose optimized vaccine, it’s essential to thoroughly assess the </w:t>
      </w:r>
      <w:r>
        <w:lastRenderedPageBreak/>
        <w:t>impact of dosage. In this study, we compared both homologous and heterologous vaccine immunogenicity between HD and SD vaccines, using data from a human vaccine cohort study in which volunteers received either vaccine type across five flu seasons.</w:t>
      </w:r>
    </w:p>
    <w:p w14:paraId="694A66FB" w14:textId="77777777" w:rsidR="00C976D9" w:rsidRDefault="00B43936">
      <w:pPr>
        <w:pStyle w:val="Heading1"/>
      </w:pPr>
      <w:bookmarkStart w:id="2" w:name="methods"/>
      <w:bookmarkEnd w:id="1"/>
      <w:r>
        <w:t>Methods</w:t>
      </w:r>
    </w:p>
    <w:p w14:paraId="694A66FC" w14:textId="77777777" w:rsidR="00C976D9" w:rsidRDefault="00B43936" w:rsidP="00A560F1">
      <w:pPr>
        <w:pStyle w:val="FirstParagraph"/>
      </w:pPr>
      <w:r>
        <w:rPr>
          <w:b/>
          <w:bCs/>
        </w:rPr>
        <w:t>Data source</w:t>
      </w:r>
      <w:r>
        <w:t>. We extracted human vaccination data between the 2014/15 to the 2018/19 flu seasons from our ongoing vaccination cohort study. In this study, investigators annually recruited individuals who hadn’t received an influenza vaccine for the season prior to the flu season’s onset. Individuals aged 65 and older were given the choice between the HD and SD vaccines. The HD vaccine was trivalent, while the SD vaccines were trivalent in 2014 and quadrivalent in subsequent years, with the quadrivalent formulation containing an additional B-strain. Investigators collected serological samples both before vaccination and 21-28 days after vaccination. For a detailed description of the study and data collection methodology, please refer to previous publications [17–19].</w:t>
      </w:r>
    </w:p>
    <w:p w14:paraId="694A66FD" w14:textId="77777777" w:rsidR="00C976D9" w:rsidRDefault="00B43936" w:rsidP="00A560F1">
      <w:pPr>
        <w:pStyle w:val="BodyText"/>
      </w:pPr>
      <w:r>
        <w:rPr>
          <w:b/>
          <w:bCs/>
        </w:rPr>
        <w:t>Data processing</w:t>
      </w:r>
      <w:r>
        <w:t xml:space="preserve">. The amount of hemagglutination-inhibition (HAI) antibody in those serological samples were </w:t>
      </w:r>
      <w:proofErr w:type="spellStart"/>
      <w:proofErr w:type="gramStart"/>
      <w:r>
        <w:t>determinted</w:t>
      </w:r>
      <w:proofErr w:type="spellEnd"/>
      <w:proofErr w:type="gramEnd"/>
      <w:r>
        <w:t xml:space="preserve"> by HAI standard dilution assays. Thus, our raw data include HAI titers before and after vaccination with different testing strains. The assay’s limit of detection (LOD) was 1:10, and values below the LOD were recorded as 1:5 in the raw data. Following previous studies [20,21], we transformed HAI titer measurements using the formula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m:rPr>
                    <m:nor/>
                  </m:rPr>
                  <m:t>HAI</m:t>
                </m:r>
              </m:num>
              <m:den>
                <m:r>
                  <w:rPr>
                    <w:rFonts w:ascii="Cambria Math" w:hAnsi="Cambria Math"/>
                  </w:rPr>
                  <m:t>5</m:t>
                </m:r>
              </m:den>
            </m:f>
          </m:e>
        </m:d>
      </m:oMath>
      <w:r>
        <w:t>. This transformation placed HAI values on a scale from zero (LOD) to 12 (the highest reported dilution of 1:20480). As the trivalent HD vaccine, differ from the SD, only contained a single B strain. To study the impact of influenza A subtypes strains, we excluded results related to all B strains in this study.</w:t>
      </w:r>
    </w:p>
    <w:p w14:paraId="694A66FE" w14:textId="77777777" w:rsidR="00C976D9" w:rsidRDefault="00B43936" w:rsidP="00A560F1">
      <w:pPr>
        <w:pStyle w:val="BodyText"/>
      </w:pPr>
      <w:r>
        <w:rPr>
          <w:b/>
          <w:bCs/>
        </w:rPr>
        <w:t>Outcome definitions</w:t>
      </w:r>
      <w:r>
        <w:t xml:space="preserve">. We calculated four common outcomes used in influenza vaccine studies [4,20]. The first two outcomes are on an integer scale (after transformation of titer </w:t>
      </w:r>
      <w:r>
        <w:lastRenderedPageBreak/>
        <w:t xml:space="preserve">as explained earlier): 1) titer increase, which is the difference between post-vaccination and pre-vaccination titers, and 2) post-vaccination titer. The other two outcomes are categorical versions of the first two, namely: 3) seroconversion, defined as either a pre-vaccination titer of 0 (equal to the LOD) with a post-vaccination titer of at least 3, or a pre-vaccination titer above the LOD with a post-vaccination titer at least 2 units higher (equivalent to a dilution measurement of &lt; 1:10 pre-vaccination and &gt;= 1:40 post-vaccination or a &gt;=4-fold increase from pre- to post-vaccination in dilution units) [4]. Finally, 4) </w:t>
      </w:r>
      <w:proofErr w:type="spellStart"/>
      <w:r>
        <w:t>seroprotection</w:t>
      </w:r>
      <w:proofErr w:type="spellEnd"/>
      <w:r>
        <w:t xml:space="preserve"> is defined as a post-vaccination HAI titer of 3 or greater (equal to or greater than a 1:40 dilution in the original units), which is widely considered a threshold for protection [22].</w:t>
      </w:r>
    </w:p>
    <w:p w14:paraId="694A66FF" w14:textId="77777777" w:rsidR="00C976D9" w:rsidRDefault="00B43936" w:rsidP="00A560F1">
      <w:pPr>
        <w:pStyle w:val="BodyText"/>
      </w:pPr>
      <w:r>
        <w:rPr>
          <w:b/>
          <w:bCs/>
        </w:rPr>
        <w:t>Statistical analyses</w:t>
      </w:r>
      <w:r>
        <w:t xml:space="preserve">. In the descriptive analyses, we report mean and standard deviation for the continuous outcomes of titer increase and post-vaccination titer, and counts and percentages for the binary outcomes, including seroconversion and </w:t>
      </w:r>
      <w:proofErr w:type="spellStart"/>
      <w:r>
        <w:t>seroprotection</w:t>
      </w:r>
      <w:proofErr w:type="spellEnd"/>
      <w:r>
        <w:t>. To estimate the impact of vaccine dose while considering study multilevel features (Supplementary material), we employed a Bayesian multilevel modeling approach. Our models also included age and pre-vaccination titer as covariates. Finally, we estimated the strain-specific and vaccine-specific effects of vaccine dose using multilevel models [23]. Notably, the inclusion of pre-vaccination titer as a covariate led to mathematically identical dose coefficient estimations for titer increase and post-vaccination titer outcomes, and therefore, we did not fit multivariable models for the post-vaccination titer outcome.</w:t>
      </w:r>
    </w:p>
    <w:p w14:paraId="694A6700" w14:textId="77777777" w:rsidR="00C976D9" w:rsidRDefault="00B43936" w:rsidP="00A560F1">
      <w:pPr>
        <w:pStyle w:val="BodyText"/>
      </w:pPr>
      <w:r>
        <w:t>We summarized the impact of the HD vaccine relative to the SD vaccine using the Highest Maximum A Posteriori probability estimate (MAP) and a 95% Equal-Tailed Credible Interval (</w:t>
      </w:r>
      <w:proofErr w:type="spellStart"/>
      <w:r>
        <w:t>CrIs</w:t>
      </w:r>
      <w:proofErr w:type="spellEnd"/>
      <w:r>
        <w:t xml:space="preserve">) [24,25]. To assess the robustness of our multilevel models, we compared </w:t>
      </w:r>
      <w:r>
        <w:lastRenderedPageBreak/>
        <w:t>them to generalized linear models (GLM), and the results are available in the supplementary material.</w:t>
      </w:r>
    </w:p>
    <w:p w14:paraId="694A6701" w14:textId="77777777" w:rsidR="00C976D9" w:rsidRDefault="00B43936" w:rsidP="00A560F1">
      <w:pPr>
        <w:pStyle w:val="BodyText"/>
      </w:pPr>
      <w:r>
        <w:rPr>
          <w:b/>
          <w:bCs/>
        </w:rPr>
        <w:t>Implementation</w:t>
      </w:r>
      <w:r>
        <w:t>. All analyses were completed using R [26]. The package of brms [27] was used for the Bayesian multilevel analysis. Detailed descriptions of all models and the code for running the analyses can be found in the supplementary material.</w:t>
      </w:r>
    </w:p>
    <w:p w14:paraId="694A6702" w14:textId="77777777" w:rsidR="00C976D9" w:rsidRDefault="00B43936">
      <w:pPr>
        <w:pStyle w:val="Heading1"/>
      </w:pPr>
      <w:bookmarkStart w:id="3" w:name="results"/>
      <w:bookmarkEnd w:id="2"/>
      <w:r>
        <w:t>Results</w:t>
      </w:r>
    </w:p>
    <w:p w14:paraId="694A6703" w14:textId="77777777" w:rsidR="00C976D9" w:rsidRDefault="00B43936">
      <w:pPr>
        <w:pStyle w:val="Heading2"/>
      </w:pPr>
      <w:bookmarkStart w:id="4" w:name="data-description"/>
      <w:r>
        <w:t>Data Description</w:t>
      </w:r>
    </w:p>
    <w:p w14:paraId="694A6704" w14:textId="77777777" w:rsidR="00C976D9" w:rsidRDefault="00B43936" w:rsidP="00A560F1">
      <w:pPr>
        <w:pStyle w:val="FirstParagraph"/>
      </w:pPr>
      <w:r>
        <w:t>Our samples cover the influenza seasons from 2014 to 2018. During this period, the HD and SD vaccines were given 198 and 160 time, respectively to individuals aged 65 years and older (Table 1). Throughout the study’s duration, two H1N1 vaccine strains (H1N1-California-2009 in the 2014/15 and 2015/16 seasons and H1N1-Michigan-2015 in the 2017/18 and 2018/19 seasons) and four H3N2 strains (H3N2-Texas-2012 in the 2014/15 season, H3N2-Switzerland-2013 in the 2015/16 season, H3N2-Hong Kong-2014 in the 2016/17 and 2017/18 seasons, H3N2-Singapore-2016 in the 2018/19 season) were included in the vaccines.</w:t>
      </w:r>
    </w:p>
    <w:p w14:paraId="694A6705" w14:textId="77777777" w:rsidR="00C976D9" w:rsidRDefault="00B43936">
      <w:pPr>
        <w:pStyle w:val="TableCaption"/>
      </w:pPr>
      <w:bookmarkStart w:id="5" w:name="tab:tab1"/>
      <w:bookmarkEnd w:id="5"/>
      <w:r>
        <w:t>Table 1: Description of the study and homologous response in High-dose (HD) and Standard-dose (SD) group. Sample size and vaccine seasons are indicated for each vaccine strain.</w:t>
      </w:r>
    </w:p>
    <w:tbl>
      <w:tblPr>
        <w:tblW w:w="0" w:type="auto"/>
        <w:jc w:val="center"/>
        <w:tblLayout w:type="fixed"/>
        <w:tblLook w:val="0420" w:firstRow="1" w:lastRow="0" w:firstColumn="0" w:lastColumn="0" w:noHBand="0" w:noVBand="1"/>
      </w:tblPr>
      <w:tblGrid>
        <w:gridCol w:w="3601"/>
        <w:gridCol w:w="2485"/>
        <w:gridCol w:w="2485"/>
      </w:tblGrid>
      <w:tr w:rsidR="00C976D9" w14:paraId="694A6709" w14:textId="77777777">
        <w:trPr>
          <w:jc w:val="center"/>
        </w:trPr>
        <w:tc>
          <w:tcPr>
            <w:tcW w:w="3601"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0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Variables</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0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Standard-dose vaccine</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0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High-dose vaccine</w:t>
            </w:r>
          </w:p>
        </w:tc>
      </w:tr>
      <w:tr w:rsidR="00C976D9" w14:paraId="694A670D" w14:textId="77777777">
        <w:trPr>
          <w:jc w:val="center"/>
        </w:trPr>
        <w:tc>
          <w:tcPr>
            <w:tcW w:w="3601"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Sample size (N)</w:t>
            </w:r>
          </w:p>
        </w:tc>
        <w:tc>
          <w:tcPr>
            <w:tcW w:w="2485"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160</w:t>
            </w:r>
          </w:p>
        </w:tc>
        <w:tc>
          <w:tcPr>
            <w:tcW w:w="2485"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198</w:t>
            </w:r>
          </w:p>
        </w:tc>
      </w:tr>
      <w:tr w:rsidR="00C976D9" w14:paraId="694A671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Age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0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68.00 [66.00, 74.00]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70.00 [68.00, 75.00]</w:t>
            </w:r>
          </w:p>
        </w:tc>
      </w:tr>
      <w:tr w:rsidR="00C976D9" w14:paraId="694A671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H1N1-California-2009</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90 (2014, 2015, 2016)</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94 (2014, 2015, 2016)</w:t>
            </w:r>
          </w:p>
        </w:tc>
      </w:tr>
      <w:tr w:rsidR="00C976D9" w14:paraId="694A671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[5.00, 40.00]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[10.00, 40.00]</w:t>
            </w:r>
          </w:p>
        </w:tc>
      </w:tr>
      <w:tr w:rsidR="00C976D9" w14:paraId="694A671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[20.00,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80.00 [40.00, 160.00]</w:t>
            </w:r>
          </w:p>
        </w:tc>
      </w:tr>
      <w:tr w:rsidR="00C976D9" w14:paraId="694A672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1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1.13 (1.11)</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1.53 (1.34)</w:t>
            </w:r>
          </w:p>
        </w:tc>
      </w:tr>
      <w:tr w:rsidR="00C976D9" w14:paraId="694A672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29 (22.8)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69 (39.7) </w:t>
            </w:r>
          </w:p>
        </w:tc>
      </w:tr>
      <w:tr w:rsidR="00C976D9" w14:paraId="694A672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76 (59.8)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138 (79.3) </w:t>
            </w:r>
          </w:p>
        </w:tc>
      </w:tr>
      <w:tr w:rsidR="00C976D9" w14:paraId="694A672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H1N1-Michigan-2015</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25 (2017, 2018)</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19 (2017, 2018)</w:t>
            </w:r>
          </w:p>
        </w:tc>
      </w:tr>
      <w:tr w:rsidR="00C976D9" w14:paraId="694A673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lastRenderedPageBreak/>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2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[10.00, 40.00]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20.00 [10.00, 40.00]</w:t>
            </w:r>
          </w:p>
        </w:tc>
      </w:tr>
      <w:tr w:rsidR="00C976D9" w14:paraId="694A673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[40.00,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[40.00, 100.00]</w:t>
            </w:r>
          </w:p>
        </w:tc>
      </w:tr>
      <w:tr w:rsidR="00C976D9" w14:paraId="694A673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0.85 (1.06)</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1.38 (1.21)</w:t>
            </w:r>
          </w:p>
        </w:tc>
      </w:tr>
      <w:tr w:rsidR="00C976D9" w14:paraId="694A673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7 (21.2)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10 (41.7) </w:t>
            </w:r>
          </w:p>
        </w:tc>
      </w:tr>
      <w:tr w:rsidR="00C976D9" w14:paraId="694A674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3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26 (78.8)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22 (91.7) </w:t>
            </w:r>
          </w:p>
        </w:tc>
      </w:tr>
      <w:tr w:rsidR="00C976D9" w14:paraId="694A674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H3N2-Texas-2012</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53 (2014)</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39 (2014)</w:t>
            </w:r>
          </w:p>
        </w:tc>
      </w:tr>
      <w:tr w:rsidR="00C976D9" w14:paraId="694A674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160.00]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80.00]</w:t>
            </w:r>
          </w:p>
        </w:tc>
      </w:tr>
      <w:tr w:rsidR="00C976D9" w14:paraId="694A674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160.00 [80.00, 320.00]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160.00 [80.00, 160.00]</w:t>
            </w:r>
          </w:p>
        </w:tc>
      </w:tr>
      <w:tr w:rsidR="00C976D9" w14:paraId="694A675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4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1.77 (1.93)</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1.69 (1.66)</w:t>
            </w:r>
          </w:p>
        </w:tc>
      </w:tr>
      <w:tr w:rsidR="00C976D9" w14:paraId="694A675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27 (50.9)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20 (51.3) </w:t>
            </w:r>
          </w:p>
        </w:tc>
      </w:tr>
      <w:tr w:rsidR="00C976D9" w14:paraId="694A675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48 (90.6)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36 (92.3) </w:t>
            </w:r>
          </w:p>
        </w:tc>
      </w:tr>
      <w:tr w:rsidR="00C976D9" w14:paraId="694A675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H3N2-Switzerland-2013</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40 (2015)</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58 (2015)</w:t>
            </w:r>
          </w:p>
        </w:tc>
      </w:tr>
      <w:tr w:rsidR="00C976D9" w14:paraId="694A676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5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[17.50,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80.00]</w:t>
            </w:r>
          </w:p>
        </w:tc>
      </w:tr>
      <w:tr w:rsidR="00C976D9" w14:paraId="694A676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320.00 [80.00, 320.00]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320.00 [80.00, 640.00]</w:t>
            </w:r>
          </w:p>
        </w:tc>
      </w:tr>
      <w:tr w:rsidR="00C976D9" w14:paraId="694A676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2.92 (1.77)</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2.97 (1.68)</w:t>
            </w:r>
          </w:p>
        </w:tc>
      </w:tr>
      <w:tr w:rsidR="00C976D9" w14:paraId="694A676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31 (77.5)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45 (77.6) </w:t>
            </w:r>
          </w:p>
        </w:tc>
      </w:tr>
      <w:tr w:rsidR="00C976D9" w14:paraId="694A677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6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38 (95.0)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57 (98.3) </w:t>
            </w:r>
          </w:p>
        </w:tc>
      </w:tr>
      <w:tr w:rsidR="00C976D9" w14:paraId="694A677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H3N2-Hong Kong-2014</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48 (2016, 2017)</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92 (2016, 2017)</w:t>
            </w:r>
          </w:p>
        </w:tc>
      </w:tr>
      <w:tr w:rsidR="00C976D9" w14:paraId="694A677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[20.00,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40.00 [20.00, 80.00]</w:t>
            </w:r>
          </w:p>
        </w:tc>
      </w:tr>
      <w:tr w:rsidR="00C976D9" w14:paraId="694A677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80.00 [40.00, 320.00]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160.00 [80.00, 320.00]</w:t>
            </w:r>
          </w:p>
        </w:tc>
      </w:tr>
      <w:tr w:rsidR="00C976D9" w14:paraId="694A678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7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1.41 (1.73)</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2.13 (1.53)</w:t>
            </w:r>
          </w:p>
        </w:tc>
      </w:tr>
      <w:tr w:rsidR="00C976D9" w14:paraId="694A678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19 (33.9)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53 (57.0) </w:t>
            </w:r>
          </w:p>
        </w:tc>
      </w:tr>
      <w:tr w:rsidR="00C976D9" w14:paraId="694A678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51 (91.1)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86 (92.5) </w:t>
            </w:r>
          </w:p>
        </w:tc>
      </w:tr>
      <w:tr w:rsidR="00C976D9" w14:paraId="694A678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b/>
                <w:color w:val="000000"/>
                <w:sz w:val="20"/>
                <w:szCs w:val="20"/>
              </w:rPr>
              <w:t>H3N2-Singapore-2016</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11 (2018)</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N = 8 (2018)</w:t>
            </w:r>
          </w:p>
        </w:tc>
      </w:tr>
      <w:tr w:rsidR="00C976D9" w14:paraId="694A6791"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Prior-vaccination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8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40.00 [15.00,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10.00 [5.00, 40.00]</w:t>
            </w:r>
          </w:p>
        </w:tc>
      </w:tr>
      <w:tr w:rsidR="00C976D9" w14:paraId="694A6795"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2"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Post-vaccination titer, median [IQR]</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3"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80.00 [30.00, 80.00]</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4"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30.00 [16.25, 50.00]</w:t>
            </w:r>
          </w:p>
        </w:tc>
      </w:tr>
      <w:tr w:rsidR="00C976D9" w14:paraId="694A6799"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6"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Titer increase, mean (SD)</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7"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0.55 (0.69)</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8"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0.75 (0.89)</w:t>
            </w:r>
          </w:p>
        </w:tc>
      </w:tr>
      <w:tr w:rsidR="00C976D9" w14:paraId="694A679D" w14:textId="77777777">
        <w:trPr>
          <w:jc w:val="center"/>
        </w:trPr>
        <w:tc>
          <w:tcPr>
            <w:tcW w:w="3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A"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Seroconversion, n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B"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 ( 9.1) </w:t>
            </w:r>
          </w:p>
        </w:tc>
        <w:tc>
          <w:tcPr>
            <w:tcW w:w="2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679C"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1 (12.5) </w:t>
            </w:r>
          </w:p>
        </w:tc>
      </w:tr>
      <w:tr w:rsidR="00C976D9" w14:paraId="694A67A1" w14:textId="77777777">
        <w:trPr>
          <w:jc w:val="center"/>
        </w:trPr>
        <w:tc>
          <w:tcPr>
            <w:tcW w:w="3601"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9E"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 </w:t>
            </w:r>
            <w:proofErr w:type="spellStart"/>
            <w:r>
              <w:rPr>
                <w:rFonts w:ascii="Arial" w:eastAsia="Arial" w:hAnsi="Arial" w:cs="Arial"/>
                <w:color w:val="000000"/>
                <w:sz w:val="20"/>
                <w:szCs w:val="20"/>
              </w:rPr>
              <w:t>Seroprotection</w:t>
            </w:r>
            <w:proofErr w:type="spellEnd"/>
            <w:r>
              <w:rPr>
                <w:rFonts w:ascii="Arial" w:eastAsia="Arial" w:hAnsi="Arial" w:cs="Arial"/>
                <w:color w:val="000000"/>
                <w:sz w:val="20"/>
                <w:szCs w:val="20"/>
              </w:rPr>
              <w:t>, n (%)</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9F"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8 (72.7) </w:t>
            </w:r>
          </w:p>
        </w:tc>
        <w:tc>
          <w:tcPr>
            <w:tcW w:w="2485"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94A67A0" w14:textId="77777777" w:rsidR="00C976D9" w:rsidRDefault="00B43936">
            <w:pPr>
              <w:pBdr>
                <w:top w:val="none" w:sz="0" w:space="0" w:color="000000"/>
                <w:left w:val="none" w:sz="0" w:space="0" w:color="000000"/>
                <w:bottom w:val="none" w:sz="0" w:space="0" w:color="000000"/>
                <w:right w:val="none" w:sz="0" w:space="0" w:color="000000"/>
              </w:pBdr>
              <w:spacing w:line="240" w:lineRule="auto"/>
            </w:pPr>
            <w:r>
              <w:rPr>
                <w:rFonts w:ascii="Arial" w:eastAsia="Arial" w:hAnsi="Arial" w:cs="Arial"/>
                <w:color w:val="000000"/>
                <w:sz w:val="20"/>
                <w:szCs w:val="20"/>
              </w:rPr>
              <w:t xml:space="preserve">    4 (50.0) </w:t>
            </w:r>
          </w:p>
        </w:tc>
      </w:tr>
    </w:tbl>
    <w:p w14:paraId="694A67A2" w14:textId="77777777" w:rsidR="00C976D9" w:rsidRDefault="00B43936" w:rsidP="00A560F1">
      <w:pPr>
        <w:pStyle w:val="BodyText"/>
      </w:pPr>
      <w:r>
        <w:t>When comparing HD and SD vaccines for each season, we observed variations in titer increase. Overall, the HD vaccine showed higher titer increases against homologous strains, but lower responses to heterologous strains in the 2016 and 2018 seasons (Supplementary material).</w:t>
      </w:r>
    </w:p>
    <w:p w14:paraId="694A67A3" w14:textId="77777777" w:rsidR="00C976D9" w:rsidRDefault="00B43936">
      <w:r>
        <w:br w:type="page"/>
      </w:r>
    </w:p>
    <w:p w14:paraId="694A67A4" w14:textId="77777777" w:rsidR="00C976D9" w:rsidRDefault="00B43936">
      <w:pPr>
        <w:pStyle w:val="Heading2"/>
      </w:pPr>
      <w:bookmarkStart w:id="6" w:name="Xca0a2d95702b9111de84ca5e71476b6d29710a5"/>
      <w:bookmarkEnd w:id="4"/>
      <w:r>
        <w:lastRenderedPageBreak/>
        <w:t>HD vaccines led to increased strain-specific homologous responses</w:t>
      </w:r>
    </w:p>
    <w:p w14:paraId="694A67A5" w14:textId="77777777" w:rsidR="00C976D9" w:rsidRDefault="00B43936" w:rsidP="00A560F1">
      <w:pPr>
        <w:pStyle w:val="FirstParagraph"/>
      </w:pPr>
      <w:r>
        <w:t>Following vaccination with the HD vaccine, we observed stronger homologous HAI responses specific to the vaccine strains compared to the SD vaccine (Figure 1). Both H1N1 vaccine strains demonstrated an increased response with HD. The impact of HD on H3N2 vaccine strains showed more variability, with the titer increase outcome for the Texas-2012 vaccine showing a slightly reduced impact of the HD vaccine, although it was very close to the no-effect line.</w:t>
      </w:r>
    </w:p>
    <w:p w14:paraId="694A67A6" w14:textId="77777777" w:rsidR="00C976D9" w:rsidRDefault="00B43936">
      <w:pPr>
        <w:pStyle w:val="CaptionedFigure"/>
      </w:pPr>
      <w:r>
        <w:rPr>
          <w:noProof/>
        </w:rPr>
        <w:drawing>
          <wp:inline distT="0" distB="0" distL="0" distR="0" wp14:anchorId="694A67E2" wp14:editId="694A67E3">
            <wp:extent cx="5943600" cy="2971800"/>
            <wp:effectExtent l="0" t="0" r="0" b="0"/>
            <wp:docPr id="29" name="Picture" descr="Figure S1: The impact of HD vaccine compared to SD on strain-specific, homologous HAI responses. The MAP and 95% equal-tailed credible interval (CrIs) of the overall effect (HD vs. SD) are shown. The numbers under each line show the sample size (H: HD; S: SD) for that specific strain or the overall effect size."/>
            <wp:cNvGraphicFramePr/>
            <a:graphic xmlns:a="http://schemas.openxmlformats.org/drawingml/2006/main">
              <a:graphicData uri="http://schemas.openxmlformats.org/drawingml/2006/picture">
                <pic:pic xmlns:pic="http://schemas.openxmlformats.org/drawingml/2006/picture">
                  <pic:nvPicPr>
                    <pic:cNvPr id="30" name="Picture" descr="../R_codes/my_plots/mix_homo_strain_plot.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694A67C0" w14:textId="06A2CFDA" w:rsidR="00C976D9" w:rsidRDefault="00B43936" w:rsidP="00E852AE">
      <w:pPr>
        <w:pStyle w:val="ImageCaption"/>
      </w:pPr>
      <w:bookmarkStart w:id="7" w:name="fig:homo-tss-outcomes"/>
      <w:bookmarkEnd w:id="7"/>
      <w:r>
        <w:t>Figure 1: The impact of HD vaccine compared to SD on strain-specific, homologous HAI responses. The MAP and 95% equal-tailed credible interval (</w:t>
      </w:r>
      <w:proofErr w:type="spellStart"/>
      <w:r>
        <w:t>CrIs</w:t>
      </w:r>
      <w:proofErr w:type="spellEnd"/>
      <w:r>
        <w:t>) of the overall effect (HD vs. SD) are shown. The numbers under each line show the sample size (H: HD; S: SD) for that specific strain or the overall effect size.</w:t>
      </w:r>
      <w:bookmarkStart w:id="8" w:name="discussion"/>
      <w:bookmarkEnd w:id="3"/>
      <w:bookmarkEnd w:id="6"/>
      <w:r>
        <w:br w:type="page"/>
      </w:r>
    </w:p>
    <w:p w14:paraId="694A67C1" w14:textId="77777777" w:rsidR="00C976D9" w:rsidRDefault="00B43936">
      <w:pPr>
        <w:pStyle w:val="Heading1"/>
      </w:pPr>
      <w:bookmarkStart w:id="9" w:name="reference"/>
      <w:bookmarkEnd w:id="8"/>
      <w:r>
        <w:lastRenderedPageBreak/>
        <w:t>Reference</w:t>
      </w:r>
    </w:p>
    <w:p w14:paraId="694A67C2" w14:textId="77777777" w:rsidR="00C976D9" w:rsidRDefault="00B43936">
      <w:pPr>
        <w:pStyle w:val="Bibliography"/>
      </w:pPr>
      <w:bookmarkStart w:id="10" w:name="X63324e975f678f9e68c6316b8a6ffe8041e117a"/>
      <w:bookmarkStart w:id="11" w:name="refs"/>
      <w:r>
        <w:t xml:space="preserve">[1] </w:t>
      </w:r>
      <w:r>
        <w:tab/>
        <w:t>Centers for Disease Control and Prevention. Past Seasons Vaccine Effectiveness Estimates. Past Seasons Vaccine Effectiveness Estimates. https://www.cdc.gov/flu/vaccines-work/past-seasons-estimates.html; 2021.</w:t>
      </w:r>
    </w:p>
    <w:p w14:paraId="694A67C3" w14:textId="77777777" w:rsidR="00C976D9" w:rsidRDefault="00B43936">
      <w:pPr>
        <w:pStyle w:val="Bibliography"/>
      </w:pPr>
      <w:bookmarkStart w:id="12" w:name="ref-grohskopf2021prevention"/>
      <w:bookmarkEnd w:id="10"/>
      <w:r>
        <w:t xml:space="preserve">[2] </w:t>
      </w:r>
      <w:r>
        <w:tab/>
      </w:r>
      <w:proofErr w:type="spellStart"/>
      <w:r>
        <w:t>Grohskopf</w:t>
      </w:r>
      <w:proofErr w:type="spellEnd"/>
      <w:r>
        <w:t xml:space="preserve"> LA. </w:t>
      </w:r>
      <w:hyperlink r:id="rId11">
        <w:r>
          <w:rPr>
            <w:rStyle w:val="Hyperlink"/>
          </w:rPr>
          <w:t>Prevention and Control of Seasonal Influenza with Vaccines: Recommendations of the Advisory Committee on Immunization Practices, United States, 2021 Influenza Season</w:t>
        </w:r>
      </w:hyperlink>
      <w:r>
        <w:t>. MMWR Recommendations and Reports. 2021;70.</w:t>
      </w:r>
    </w:p>
    <w:p w14:paraId="694A67C4" w14:textId="77777777" w:rsidR="00C976D9" w:rsidRDefault="00B43936">
      <w:pPr>
        <w:pStyle w:val="Bibliography"/>
      </w:pPr>
      <w:bookmarkStart w:id="13" w:name="X2968b08ee22f2231d1bfad410d6e44a84e3e5a3"/>
      <w:bookmarkEnd w:id="12"/>
      <w:r>
        <w:t xml:space="preserve">[3] </w:t>
      </w:r>
      <w:r>
        <w:tab/>
        <w:t xml:space="preserve">Centers for Disease Control and Prevention (CDC). </w:t>
      </w:r>
      <w:hyperlink r:id="rId12">
        <w:r>
          <w:rPr>
            <w:rStyle w:val="Hyperlink"/>
          </w:rPr>
          <w:t xml:space="preserve">Licensure of a high-dose inactivated influenza vaccine for persons aged </w:t>
        </w:r>
        <m:oMath>
          <m:r>
            <m:rPr>
              <m:sty m:val="p"/>
            </m:rPr>
            <w:rPr>
              <w:rFonts w:ascii="Cambria Math" w:hAnsi="Cambria Math"/>
            </w:rPr>
            <m:t>&gt;</m:t>
          </m:r>
        </m:oMath>
        <w:r>
          <w:rPr>
            <w:rStyle w:val="Hyperlink"/>
          </w:rPr>
          <w:t>or=65 years (Fluzone High-Dose) and guidance for use - United States, 2010</w:t>
        </w:r>
      </w:hyperlink>
      <w:r>
        <w:t>. MMWR Morbidity and mortality weekly report. 2010;59:485–486.</w:t>
      </w:r>
    </w:p>
    <w:p w14:paraId="694A67C5" w14:textId="77777777" w:rsidR="00C976D9" w:rsidRDefault="00B43936">
      <w:pPr>
        <w:pStyle w:val="Bibliography"/>
      </w:pPr>
      <w:bookmarkStart w:id="14" w:name="ref-falsey2009randomized"/>
      <w:bookmarkEnd w:id="13"/>
      <w:r>
        <w:t xml:space="preserve">[4] </w:t>
      </w:r>
      <w:r>
        <w:tab/>
        <w:t xml:space="preserve">Falsey AR, Treanor JJ, </w:t>
      </w:r>
      <w:proofErr w:type="spellStart"/>
      <w:r>
        <w:t>Tornieporth</w:t>
      </w:r>
      <w:proofErr w:type="spellEnd"/>
      <w:r>
        <w:t xml:space="preserve"> N, et al. </w:t>
      </w:r>
      <w:hyperlink r:id="rId13">
        <w:r>
          <w:rPr>
            <w:rStyle w:val="Hyperlink"/>
          </w:rPr>
          <w:t>Randomized, double-blind controlled phase 3 trial comparing the immunogenicity of high-dose and standard-dose influenza vaccine in adults 65 years of age and older</w:t>
        </w:r>
      </w:hyperlink>
      <w:r>
        <w:t>. The Journal of Infectious Diseases. 2009;200:172–180.</w:t>
      </w:r>
    </w:p>
    <w:p w14:paraId="694A67C6" w14:textId="77777777" w:rsidR="00C976D9" w:rsidRDefault="00B43936">
      <w:pPr>
        <w:pStyle w:val="Bibliography"/>
      </w:pPr>
      <w:bookmarkStart w:id="15" w:name="ref-couch2007safety"/>
      <w:bookmarkEnd w:id="14"/>
      <w:r>
        <w:t xml:space="preserve">[5] </w:t>
      </w:r>
      <w:r>
        <w:tab/>
        <w:t xml:space="preserve">Couch RB, Winokur P, Brady R, et al. </w:t>
      </w:r>
      <w:hyperlink r:id="rId14">
        <w:r>
          <w:rPr>
            <w:rStyle w:val="Hyperlink"/>
          </w:rPr>
          <w:t>Safety and immunogenicity of a high dosage trivalent influenza vaccine among elderly subjects</w:t>
        </w:r>
      </w:hyperlink>
      <w:r>
        <w:t>. Vaccine. 2007;25:7656–7663.</w:t>
      </w:r>
    </w:p>
    <w:p w14:paraId="694A67C7" w14:textId="77777777" w:rsidR="00C976D9" w:rsidRDefault="00B43936">
      <w:pPr>
        <w:pStyle w:val="Bibliography"/>
      </w:pPr>
      <w:bookmarkStart w:id="16" w:name="ref-diazgranados2013highdose"/>
      <w:bookmarkEnd w:id="15"/>
      <w:r>
        <w:t xml:space="preserve">[6] </w:t>
      </w:r>
      <w:r>
        <w:tab/>
        <w:t xml:space="preserve">DiazGranados CA, Dunning AJ, Jordanov E, et al. </w:t>
      </w:r>
      <w:hyperlink r:id="rId15">
        <w:r>
          <w:rPr>
            <w:rStyle w:val="Hyperlink"/>
          </w:rPr>
          <w:t>High-dose trivalent influenza vaccine compared to standard dose vaccine in elderly adults: Safety, immunogenicity and relative efficacy during the 2009 season</w:t>
        </w:r>
      </w:hyperlink>
      <w:r>
        <w:t>. Vaccine. 2013;31:861–866.</w:t>
      </w:r>
    </w:p>
    <w:p w14:paraId="694A67C8" w14:textId="77777777" w:rsidR="00C976D9" w:rsidRDefault="00B43936">
      <w:pPr>
        <w:pStyle w:val="Bibliography"/>
      </w:pPr>
      <w:bookmarkStart w:id="17" w:name="ref-diazgranados2014efficacy"/>
      <w:bookmarkEnd w:id="16"/>
      <w:r>
        <w:t xml:space="preserve">[7] </w:t>
      </w:r>
      <w:r>
        <w:tab/>
        <w:t xml:space="preserve">DiazGranados CA, Dunning AJ, Kimmel M, et al. </w:t>
      </w:r>
      <w:hyperlink r:id="rId16">
        <w:r>
          <w:rPr>
            <w:rStyle w:val="Hyperlink"/>
          </w:rPr>
          <w:t>Efficacy of High-Dose versus Standard-Dose Influenza Vaccine in Older Adults</w:t>
        </w:r>
      </w:hyperlink>
      <w:r>
        <w:t>. New England Journal of Medicine. 2014;371:635–645.</w:t>
      </w:r>
    </w:p>
    <w:p w14:paraId="694A67C9" w14:textId="77777777" w:rsidR="00C976D9" w:rsidRDefault="00B43936">
      <w:pPr>
        <w:pStyle w:val="Bibliography"/>
      </w:pPr>
      <w:bookmarkStart w:id="18" w:name="ref-lee2021efficacy"/>
      <w:bookmarkEnd w:id="17"/>
      <w:r>
        <w:t xml:space="preserve">[8] </w:t>
      </w:r>
      <w:r>
        <w:tab/>
        <w:t xml:space="preserve">Lee JKH, Lam GKL, Shin T, et al. </w:t>
      </w:r>
      <w:hyperlink r:id="rId17">
        <w:r>
          <w:rPr>
            <w:rStyle w:val="Hyperlink"/>
          </w:rPr>
          <w:t>Efficacy and effectiveness of high-dose influenza vaccine in older adults by circulating strain and antigenic match: An updated systematic review and meta-analysis</w:t>
        </w:r>
      </w:hyperlink>
      <w:r>
        <w:t>. Vaccine. 2021;39:A24–A35.</w:t>
      </w:r>
    </w:p>
    <w:p w14:paraId="694A67CA" w14:textId="77777777" w:rsidR="00C976D9" w:rsidRDefault="00B43936">
      <w:pPr>
        <w:pStyle w:val="Bibliography"/>
      </w:pPr>
      <w:bookmarkStart w:id="19" w:name="ref-erbelding2018universal"/>
      <w:bookmarkEnd w:id="18"/>
      <w:r>
        <w:t xml:space="preserve">[9] </w:t>
      </w:r>
      <w:r>
        <w:tab/>
      </w:r>
      <w:proofErr w:type="spellStart"/>
      <w:r>
        <w:t>Erbelding</w:t>
      </w:r>
      <w:proofErr w:type="spellEnd"/>
      <w:r>
        <w:t xml:space="preserve"> EJ, Post DJ, Stemmy EJ, et al. </w:t>
      </w:r>
      <w:hyperlink r:id="rId18">
        <w:r>
          <w:rPr>
            <w:rStyle w:val="Hyperlink"/>
          </w:rPr>
          <w:t>A Universal Influenza Vaccine: The Strategic Plan for the National Institute of Allergy and Infectious Diseases</w:t>
        </w:r>
      </w:hyperlink>
      <w:r>
        <w:t>. The Journal of Infectious Diseases. 2018;218:347–354.</w:t>
      </w:r>
    </w:p>
    <w:p w14:paraId="694A67CB" w14:textId="77777777" w:rsidR="00C976D9" w:rsidRDefault="00B43936">
      <w:pPr>
        <w:pStyle w:val="Bibliography"/>
      </w:pPr>
      <w:bookmarkStart w:id="20" w:name="ref-paules2018chasing"/>
      <w:bookmarkEnd w:id="19"/>
      <w:r>
        <w:t xml:space="preserve">[10] </w:t>
      </w:r>
      <w:r>
        <w:tab/>
        <w:t xml:space="preserve">Paules CI, Sullivan SG, Subbarao K, et al. </w:t>
      </w:r>
      <w:hyperlink r:id="rId19">
        <w:r>
          <w:rPr>
            <w:rStyle w:val="Hyperlink"/>
          </w:rPr>
          <w:t xml:space="preserve">Chasing Seasonal Influenza  </w:t>
        </w:r>
        <w:proofErr w:type="gramStart"/>
        <w:r>
          <w:rPr>
            <w:rStyle w:val="Hyperlink"/>
          </w:rPr>
          <w:t>The</w:t>
        </w:r>
        <w:proofErr w:type="gramEnd"/>
        <w:r>
          <w:rPr>
            <w:rStyle w:val="Hyperlink"/>
          </w:rPr>
          <w:t xml:space="preserve"> Need for a Universal Influenza Vaccine</w:t>
        </w:r>
      </w:hyperlink>
      <w:r>
        <w:t>. New England Journal of Medicine. 2018;378:7–9.</w:t>
      </w:r>
    </w:p>
    <w:p w14:paraId="694A67CC" w14:textId="77777777" w:rsidR="00C976D9" w:rsidRDefault="00B43936">
      <w:pPr>
        <w:pStyle w:val="Bibliography"/>
      </w:pPr>
      <w:bookmarkStart w:id="21" w:name="ref-hilleman1958antibody"/>
      <w:bookmarkEnd w:id="20"/>
      <w:r>
        <w:lastRenderedPageBreak/>
        <w:t xml:space="preserve">[11] </w:t>
      </w:r>
      <w:r>
        <w:tab/>
        <w:t xml:space="preserve">Hilleman MR. </w:t>
      </w:r>
      <w:hyperlink r:id="rId20">
        <w:r>
          <w:rPr>
            <w:rStyle w:val="Hyperlink"/>
          </w:rPr>
          <w:t>Antibody response in volunteers to Asian influenza vaccine</w:t>
        </w:r>
      </w:hyperlink>
      <w:r>
        <w:t>. Journal of the American Medical Association. 1958;166:1134.</w:t>
      </w:r>
    </w:p>
    <w:p w14:paraId="694A67CD" w14:textId="77777777" w:rsidR="00C976D9" w:rsidRDefault="00B43936">
      <w:pPr>
        <w:pStyle w:val="Bibliography"/>
      </w:pPr>
      <w:bookmarkStart w:id="22" w:name="ref-campi-azevedo2014subdoses"/>
      <w:bookmarkEnd w:id="21"/>
      <w:r>
        <w:t xml:space="preserve">[12] </w:t>
      </w:r>
      <w:r>
        <w:tab/>
        <w:t xml:space="preserve">Campi-Azevedo AC, de Almeida </w:t>
      </w:r>
      <w:proofErr w:type="spellStart"/>
      <w:r>
        <w:t>Estevam</w:t>
      </w:r>
      <w:proofErr w:type="spellEnd"/>
      <w:r>
        <w:t xml:space="preserve"> P, Coelho-dos-Reis JG, et al. </w:t>
      </w:r>
      <w:hyperlink r:id="rId21">
        <w:proofErr w:type="spellStart"/>
        <w:r>
          <w:rPr>
            <w:rStyle w:val="Hyperlink"/>
          </w:rPr>
          <w:t>Subdoses</w:t>
        </w:r>
        <w:proofErr w:type="spellEnd"/>
        <w:r>
          <w:rPr>
            <w:rStyle w:val="Hyperlink"/>
          </w:rPr>
          <w:t xml:space="preserve"> of 17DD yellow fever vaccine elicit equivalent virological/immunological kinetics timeline</w:t>
        </w:r>
      </w:hyperlink>
      <w:r>
        <w:t>. BMC Infectious Diseases. 2014;14:391.</w:t>
      </w:r>
    </w:p>
    <w:p w14:paraId="694A67CE" w14:textId="77777777" w:rsidR="00C976D9" w:rsidRDefault="00B43936">
      <w:pPr>
        <w:pStyle w:val="Bibliography"/>
      </w:pPr>
      <w:bookmarkStart w:id="23" w:name="ref-regules2016fractional"/>
      <w:bookmarkEnd w:id="22"/>
      <w:r>
        <w:t xml:space="preserve">[13] </w:t>
      </w:r>
      <w:r>
        <w:tab/>
        <w:t xml:space="preserve">Regules JA, Cicatelli SB, Bennett JW, et al. </w:t>
      </w:r>
      <w:hyperlink r:id="rId22">
        <w:r>
          <w:rPr>
            <w:rStyle w:val="Hyperlink"/>
          </w:rPr>
          <w:t>Fractional Third and Fourth Dose of RTS,S/AS01 Malaria Candidate Vaccine: A Phase 2a Controlled Human Malaria Parasite Infection and Immunogenicity Study</w:t>
        </w:r>
      </w:hyperlink>
      <w:r>
        <w:t>. The Journal of Infectious Diseases. 2016;214:762–771.</w:t>
      </w:r>
    </w:p>
    <w:p w14:paraId="694A67CF" w14:textId="77777777" w:rsidR="00C976D9" w:rsidRDefault="00B43936">
      <w:pPr>
        <w:pStyle w:val="Bibliography"/>
      </w:pPr>
      <w:bookmarkStart w:id="24" w:name="ref-handel2018exploring"/>
      <w:bookmarkEnd w:id="23"/>
      <w:r>
        <w:t xml:space="preserve">[14] </w:t>
      </w:r>
      <w:r>
        <w:tab/>
        <w:t xml:space="preserve">Handel A, Li Y, McKay B, et al. </w:t>
      </w:r>
      <w:hyperlink r:id="rId23">
        <w:r>
          <w:rPr>
            <w:rStyle w:val="Hyperlink"/>
          </w:rPr>
          <w:t>Exploring the impact of inoculum dose on host immunity and morbidity to inform model-based vaccine design</w:t>
        </w:r>
      </w:hyperlink>
      <w:r>
        <w:t xml:space="preserve">. </w:t>
      </w:r>
      <w:proofErr w:type="spellStart"/>
      <w:r>
        <w:t>PLoS</w:t>
      </w:r>
      <w:proofErr w:type="spellEnd"/>
      <w:r>
        <w:t xml:space="preserve"> computational biology. 2018;14:e1006505.</w:t>
      </w:r>
    </w:p>
    <w:p w14:paraId="694A67D0" w14:textId="77777777" w:rsidR="00C976D9" w:rsidRDefault="00B43936">
      <w:pPr>
        <w:pStyle w:val="Bibliography"/>
      </w:pPr>
      <w:bookmarkStart w:id="25" w:name="ref-rhodes2019dose"/>
      <w:bookmarkEnd w:id="24"/>
      <w:r>
        <w:t xml:space="preserve">[15] </w:t>
      </w:r>
      <w:r>
        <w:tab/>
        <w:t xml:space="preserve">Rhodes SJ, Knight GM, Kirschner DE, et al. </w:t>
      </w:r>
      <w:hyperlink r:id="rId24">
        <w:r>
          <w:rPr>
            <w:rStyle w:val="Hyperlink"/>
          </w:rPr>
          <w:t xml:space="preserve">Dose finding for new vaccines: The role for </w:t>
        </w:r>
        <w:proofErr w:type="spellStart"/>
        <w:r>
          <w:rPr>
            <w:rStyle w:val="Hyperlink"/>
          </w:rPr>
          <w:t>immunostimulation</w:t>
        </w:r>
        <w:proofErr w:type="spellEnd"/>
        <w:r>
          <w:rPr>
            <w:rStyle w:val="Hyperlink"/>
          </w:rPr>
          <w:t>/immunodynamic modelling</w:t>
        </w:r>
      </w:hyperlink>
      <w:r>
        <w:t>. Journal of Theoretical Biology. 2019;465:51–55.</w:t>
      </w:r>
    </w:p>
    <w:p w14:paraId="694A67D1" w14:textId="77777777" w:rsidR="00C976D9" w:rsidRDefault="00B43936">
      <w:pPr>
        <w:pStyle w:val="Bibliography"/>
      </w:pPr>
      <w:bookmarkStart w:id="26" w:name="ref-angeletti2018understanding"/>
      <w:bookmarkEnd w:id="25"/>
      <w:r>
        <w:t xml:space="preserve">[16] </w:t>
      </w:r>
      <w:r>
        <w:tab/>
        <w:t xml:space="preserve">Angeletti D, </w:t>
      </w:r>
      <w:proofErr w:type="spellStart"/>
      <w:r>
        <w:t>Yewdell</w:t>
      </w:r>
      <w:proofErr w:type="spellEnd"/>
      <w:r>
        <w:t xml:space="preserve"> JW. </w:t>
      </w:r>
      <w:hyperlink r:id="rId25">
        <w:r>
          <w:rPr>
            <w:rStyle w:val="Hyperlink"/>
          </w:rPr>
          <w:t>Understanding and Manipulating Viral Immunity: Antibody Immunodominance Enters Center Stage</w:t>
        </w:r>
      </w:hyperlink>
      <w:r>
        <w:t>. Trends in Immunology. 2018;39:549–561.</w:t>
      </w:r>
    </w:p>
    <w:p w14:paraId="694A67D2" w14:textId="77777777" w:rsidR="00C976D9" w:rsidRDefault="00B43936">
      <w:pPr>
        <w:pStyle w:val="Bibliography"/>
      </w:pPr>
      <w:bookmarkStart w:id="27" w:name="ref-nunez2017impact"/>
      <w:bookmarkEnd w:id="26"/>
      <w:r>
        <w:t xml:space="preserve">[17] </w:t>
      </w:r>
      <w:r>
        <w:tab/>
        <w:t xml:space="preserve">Nuñez IA, Carlock MA, Allen JD, et al. </w:t>
      </w:r>
      <w:hyperlink r:id="rId26">
        <w:r>
          <w:rPr>
            <w:rStyle w:val="Hyperlink"/>
          </w:rPr>
          <w:t>Impact of age and pre-existing influenza immune responses in humans receiving split inactivated influenza vaccine on the induction of the breadth of antibodies to influenza A strains</w:t>
        </w:r>
      </w:hyperlink>
      <w:r>
        <w:t>. Huber VC, editor. PLOS ONE. 2017;12:e0185666.</w:t>
      </w:r>
    </w:p>
    <w:p w14:paraId="694A67D3" w14:textId="77777777" w:rsidR="00C976D9" w:rsidRDefault="00B43936">
      <w:pPr>
        <w:pStyle w:val="Bibliography"/>
      </w:pPr>
      <w:bookmarkStart w:id="28" w:name="ref-carlock2019impact"/>
      <w:bookmarkEnd w:id="27"/>
      <w:r>
        <w:t xml:space="preserve">[18] </w:t>
      </w:r>
      <w:r>
        <w:tab/>
        <w:t xml:space="preserve">Carlock MA, Ingram JG, Clutter EF, et al. </w:t>
      </w:r>
      <w:hyperlink r:id="rId27">
        <w:r>
          <w:rPr>
            <w:rStyle w:val="Hyperlink"/>
          </w:rPr>
          <w:t>Impact of age and pre-existing immunity on the induction of human antibody responses against influenza B viruses</w:t>
        </w:r>
      </w:hyperlink>
      <w:r>
        <w:t xml:space="preserve">. Human Vaccines &amp; </w:t>
      </w:r>
      <w:proofErr w:type="spellStart"/>
      <w:r>
        <w:t>Immunotherapeutics</w:t>
      </w:r>
      <w:proofErr w:type="spellEnd"/>
      <w:r>
        <w:t>. 2019;15:2030–2043.</w:t>
      </w:r>
    </w:p>
    <w:p w14:paraId="694A67D4" w14:textId="77777777" w:rsidR="00C976D9" w:rsidRDefault="00B43936">
      <w:pPr>
        <w:pStyle w:val="Bibliography"/>
      </w:pPr>
      <w:bookmarkStart w:id="29" w:name="ref-abreu2020iga"/>
      <w:bookmarkEnd w:id="28"/>
      <w:r>
        <w:t xml:space="preserve">[19] </w:t>
      </w:r>
      <w:r>
        <w:tab/>
        <w:t xml:space="preserve">Abreu RB, Clutter EF, Attari S, et al. </w:t>
      </w:r>
      <w:hyperlink r:id="rId28">
        <w:r>
          <w:rPr>
            <w:rStyle w:val="Hyperlink"/>
          </w:rPr>
          <w:t>IgA Responses Following Recurrent Influenza Virus Vaccination</w:t>
        </w:r>
      </w:hyperlink>
      <w:r>
        <w:t>. Frontiers in Immunology. 2020;11:902.</w:t>
      </w:r>
    </w:p>
    <w:p w14:paraId="694A67D5" w14:textId="77777777" w:rsidR="00C976D9" w:rsidRDefault="00B43936">
      <w:pPr>
        <w:pStyle w:val="Bibliography"/>
      </w:pPr>
      <w:bookmarkStart w:id="30" w:name="ref-beyer2004seroprotection"/>
      <w:bookmarkEnd w:id="29"/>
      <w:r>
        <w:t xml:space="preserve">[20] </w:t>
      </w:r>
      <w:r>
        <w:tab/>
        <w:t xml:space="preserve">Beyer WEP, Palache AM, </w:t>
      </w:r>
      <w:proofErr w:type="spellStart"/>
      <w:r>
        <w:t>Lüchters</w:t>
      </w:r>
      <w:proofErr w:type="spellEnd"/>
      <w:r>
        <w:t xml:space="preserve"> G, et al. </w:t>
      </w:r>
      <w:hyperlink r:id="rId29">
        <w:proofErr w:type="spellStart"/>
        <w:r>
          <w:rPr>
            <w:rStyle w:val="Hyperlink"/>
          </w:rPr>
          <w:t>Seroprotection</w:t>
        </w:r>
        <w:proofErr w:type="spellEnd"/>
        <w:r>
          <w:rPr>
            <w:rStyle w:val="Hyperlink"/>
          </w:rPr>
          <w:t xml:space="preserve"> rate, mean fold increase, seroconversion rate: Which parameter adequately expresses </w:t>
        </w:r>
        <w:proofErr w:type="spellStart"/>
        <w:r>
          <w:rPr>
            <w:rStyle w:val="Hyperlink"/>
          </w:rPr>
          <w:t>seroresponse</w:t>
        </w:r>
        <w:proofErr w:type="spellEnd"/>
        <w:r>
          <w:rPr>
            <w:rStyle w:val="Hyperlink"/>
          </w:rPr>
          <w:t xml:space="preserve"> to influenza vaccination?</w:t>
        </w:r>
      </w:hyperlink>
      <w:r>
        <w:t xml:space="preserve"> Virus Research. 2004;103:125–132.</w:t>
      </w:r>
    </w:p>
    <w:p w14:paraId="694A67D6" w14:textId="77777777" w:rsidR="00C976D9" w:rsidRDefault="00B43936">
      <w:pPr>
        <w:pStyle w:val="Bibliography"/>
      </w:pPr>
      <w:bookmarkStart w:id="31" w:name="ref-ranjeva2019agespecific"/>
      <w:bookmarkEnd w:id="30"/>
      <w:r>
        <w:t xml:space="preserve">[21] </w:t>
      </w:r>
      <w:r>
        <w:tab/>
      </w:r>
      <w:proofErr w:type="spellStart"/>
      <w:r>
        <w:t>Ranjeva</w:t>
      </w:r>
      <w:proofErr w:type="spellEnd"/>
      <w:r>
        <w:t xml:space="preserve"> S, Subramanian R, Fang VJ, et al. </w:t>
      </w:r>
      <w:hyperlink r:id="rId30">
        <w:r>
          <w:rPr>
            <w:rStyle w:val="Hyperlink"/>
          </w:rPr>
          <w:t>Age-specific differences in the dynamics of protective immunity to influenza.</w:t>
        </w:r>
      </w:hyperlink>
      <w:r>
        <w:t xml:space="preserve"> Nature communications. 2019;10:1660.</w:t>
      </w:r>
    </w:p>
    <w:p w14:paraId="694A67D7" w14:textId="77777777" w:rsidR="00C976D9" w:rsidRDefault="00B43936">
      <w:pPr>
        <w:pStyle w:val="Bibliography"/>
      </w:pPr>
      <w:bookmarkStart w:id="32" w:name="ref-coudeville2010relationship"/>
      <w:bookmarkEnd w:id="31"/>
      <w:r>
        <w:lastRenderedPageBreak/>
        <w:t xml:space="preserve">[22] </w:t>
      </w:r>
      <w:r>
        <w:tab/>
      </w:r>
      <w:proofErr w:type="spellStart"/>
      <w:r>
        <w:t>Coudeville</w:t>
      </w:r>
      <w:proofErr w:type="spellEnd"/>
      <w:r>
        <w:t xml:space="preserve"> L, </w:t>
      </w:r>
      <w:proofErr w:type="spellStart"/>
      <w:r>
        <w:t>Bailleux</w:t>
      </w:r>
      <w:proofErr w:type="spellEnd"/>
      <w:r>
        <w:t xml:space="preserve"> F, Riche B, et al. </w:t>
      </w:r>
      <w:hyperlink r:id="rId31">
        <w:r>
          <w:rPr>
            <w:rStyle w:val="Hyperlink"/>
          </w:rPr>
          <w:t xml:space="preserve">Relationship between </w:t>
        </w:r>
        <w:proofErr w:type="spellStart"/>
        <w:r>
          <w:rPr>
            <w:rStyle w:val="Hyperlink"/>
          </w:rPr>
          <w:t>haemagglutination</w:t>
        </w:r>
        <w:proofErr w:type="spellEnd"/>
        <w:r>
          <w:rPr>
            <w:rStyle w:val="Hyperlink"/>
          </w:rPr>
          <w:t xml:space="preserve">-inhibiting antibody </w:t>
        </w:r>
        <w:proofErr w:type="spellStart"/>
        <w:r>
          <w:rPr>
            <w:rStyle w:val="Hyperlink"/>
          </w:rPr>
          <w:t>titres</w:t>
        </w:r>
        <w:proofErr w:type="spellEnd"/>
        <w:r>
          <w:rPr>
            <w:rStyle w:val="Hyperlink"/>
          </w:rPr>
          <w:t xml:space="preserve"> and clinical protection against influenza: Development and application of a </w:t>
        </w:r>
        <w:proofErr w:type="spellStart"/>
        <w:r>
          <w:rPr>
            <w:rStyle w:val="Hyperlink"/>
          </w:rPr>
          <w:t>bayesian</w:t>
        </w:r>
        <w:proofErr w:type="spellEnd"/>
        <w:r>
          <w:rPr>
            <w:rStyle w:val="Hyperlink"/>
          </w:rPr>
          <w:t xml:space="preserve"> random-effects model.</w:t>
        </w:r>
      </w:hyperlink>
      <w:r>
        <w:t xml:space="preserve"> BMC medical research methodology. 2010;10:18.</w:t>
      </w:r>
    </w:p>
    <w:p w14:paraId="694A67D8" w14:textId="77777777" w:rsidR="00C976D9" w:rsidRDefault="00B43936">
      <w:pPr>
        <w:pStyle w:val="Bibliography"/>
      </w:pPr>
      <w:bookmarkStart w:id="33" w:name="ref-faraway2016extending"/>
      <w:bookmarkEnd w:id="32"/>
      <w:r>
        <w:t xml:space="preserve">[23] </w:t>
      </w:r>
      <w:r>
        <w:tab/>
        <w:t>Faraway JJ. Extending the Linear Model with R: Generalized Linear, Mixed Effects and Nonparametric Regression Models, Second Edition. 2016.</w:t>
      </w:r>
    </w:p>
    <w:p w14:paraId="694A67D9" w14:textId="77777777" w:rsidR="00C976D9" w:rsidRDefault="00B43936">
      <w:pPr>
        <w:pStyle w:val="Bibliography"/>
      </w:pPr>
      <w:bookmarkStart w:id="34" w:name="ref-mcelreath2020statistical"/>
      <w:bookmarkEnd w:id="33"/>
      <w:r>
        <w:t xml:space="preserve">[24] </w:t>
      </w:r>
      <w:r>
        <w:tab/>
        <w:t>McElreath R. Statistical rethinking: A Bayesian course with examples in R and Stan. 2nd ed. Boca Raton: Taylor and Francis, CRC Press; 2020.</w:t>
      </w:r>
    </w:p>
    <w:p w14:paraId="694A67DA" w14:textId="77777777" w:rsidR="00C976D9" w:rsidRDefault="00B43936">
      <w:pPr>
        <w:pStyle w:val="Bibliography"/>
      </w:pPr>
      <w:bookmarkStart w:id="35" w:name="ref-makowski2019bayestestr"/>
      <w:bookmarkEnd w:id="34"/>
      <w:r>
        <w:t xml:space="preserve">[25] </w:t>
      </w:r>
      <w:r>
        <w:tab/>
        <w:t xml:space="preserve">Makowski D, Ben-Shachar MS, </w:t>
      </w:r>
      <w:proofErr w:type="spellStart"/>
      <w:r>
        <w:t>Lüdecke</w:t>
      </w:r>
      <w:proofErr w:type="spellEnd"/>
      <w:r>
        <w:t xml:space="preserve"> D. </w:t>
      </w:r>
      <w:hyperlink r:id="rId32">
        <w:proofErr w:type="spellStart"/>
        <w:r>
          <w:rPr>
            <w:rStyle w:val="Hyperlink"/>
          </w:rPr>
          <w:t>bayestestR</w:t>
        </w:r>
        <w:proofErr w:type="spellEnd"/>
        <w:r>
          <w:rPr>
            <w:rStyle w:val="Hyperlink"/>
          </w:rPr>
          <w:t>: Describing Effects and their Uncertainty, Existence and Significance within the Bayesian Framework</w:t>
        </w:r>
      </w:hyperlink>
      <w:r>
        <w:t xml:space="preserve">. Journal of </w:t>
      </w:r>
      <w:proofErr w:type="gramStart"/>
      <w:r>
        <w:t>Open Source</w:t>
      </w:r>
      <w:proofErr w:type="gramEnd"/>
      <w:r>
        <w:t xml:space="preserve"> Software. 2019;4:1541.</w:t>
      </w:r>
    </w:p>
    <w:p w14:paraId="694A67DB" w14:textId="77777777" w:rsidR="00C976D9" w:rsidRDefault="00B43936">
      <w:pPr>
        <w:pStyle w:val="Bibliography"/>
      </w:pPr>
      <w:bookmarkStart w:id="36" w:name="ref-rcoreteam2019language"/>
      <w:bookmarkEnd w:id="35"/>
      <w:r>
        <w:t xml:space="preserve">[26] </w:t>
      </w:r>
      <w:r>
        <w:tab/>
        <w:t>R Core Team. R: A language and environment for statistical computing. Vienna, Austria: R Foundation for Statistical Computing; 2019.</w:t>
      </w:r>
    </w:p>
    <w:p w14:paraId="694A67DC" w14:textId="77777777" w:rsidR="00C976D9" w:rsidRDefault="00B43936">
      <w:pPr>
        <w:pStyle w:val="Bibliography"/>
      </w:pPr>
      <w:bookmarkStart w:id="37" w:name="ref-burkner2018advanced"/>
      <w:bookmarkEnd w:id="36"/>
      <w:r>
        <w:t xml:space="preserve">[27] </w:t>
      </w:r>
      <w:r>
        <w:tab/>
      </w:r>
      <w:proofErr w:type="spellStart"/>
      <w:r>
        <w:t>Bürkner</w:t>
      </w:r>
      <w:proofErr w:type="spellEnd"/>
      <w:r>
        <w:t xml:space="preserve"> P-C. </w:t>
      </w:r>
      <w:hyperlink r:id="rId33">
        <w:r>
          <w:rPr>
            <w:rStyle w:val="Hyperlink"/>
          </w:rPr>
          <w:t>Advanced Bayesian Multilevel Modeling with the R Package brms</w:t>
        </w:r>
      </w:hyperlink>
      <w:r>
        <w:t>. The R Journal. 2018;10:395.</w:t>
      </w:r>
    </w:p>
    <w:p w14:paraId="694A67DD" w14:textId="77777777" w:rsidR="00C976D9" w:rsidRDefault="00B43936">
      <w:pPr>
        <w:pStyle w:val="Bibliography"/>
      </w:pPr>
      <w:bookmarkStart w:id="38" w:name="ref-doyle2021relative"/>
      <w:bookmarkEnd w:id="37"/>
      <w:r>
        <w:t xml:space="preserve">[28] </w:t>
      </w:r>
      <w:r>
        <w:tab/>
        <w:t xml:space="preserve">Doyle JD, Beacham L, Martin ET, et al. </w:t>
      </w:r>
      <w:hyperlink r:id="rId34">
        <w:r>
          <w:rPr>
            <w:rStyle w:val="Hyperlink"/>
          </w:rPr>
          <w:t>Relative and Absolute Effectiveness of High-Dose and Standard-Dose Influenza Vaccine Against Influenza-Related Hospitalization Among Older Adults, 2015</w:t>
        </w:r>
      </w:hyperlink>
      <w:r>
        <w:t>. Clinical Infectious Diseases. 2021;72:995–1003.</w:t>
      </w:r>
    </w:p>
    <w:p w14:paraId="694A67DE" w14:textId="77777777" w:rsidR="00C976D9" w:rsidRDefault="00B43936">
      <w:pPr>
        <w:pStyle w:val="Bibliography"/>
      </w:pPr>
      <w:bookmarkStart w:id="39" w:name="ref-keitel2006safety"/>
      <w:bookmarkEnd w:id="38"/>
      <w:r>
        <w:t xml:space="preserve">[29] </w:t>
      </w:r>
      <w:r>
        <w:tab/>
        <w:t xml:space="preserve">Keitel WA, Atmar RL, Cate TR, et al. </w:t>
      </w:r>
      <w:hyperlink r:id="rId35">
        <w:r>
          <w:rPr>
            <w:rStyle w:val="Hyperlink"/>
          </w:rPr>
          <w:t>Safety of high doses of influenza vaccine and effect on antibody responses in elderly persons</w:t>
        </w:r>
      </w:hyperlink>
      <w:r>
        <w:t>. Archives of Internal Medicine. 2006;166:1121–1127.</w:t>
      </w:r>
    </w:p>
    <w:p w14:paraId="694A67DF" w14:textId="77777777" w:rsidR="00C976D9" w:rsidRDefault="00B43936">
      <w:pPr>
        <w:pStyle w:val="Bibliography"/>
      </w:pPr>
      <w:bookmarkStart w:id="40" w:name="ref-zheng2022cutting"/>
      <w:bookmarkEnd w:id="39"/>
      <w:r>
        <w:t xml:space="preserve">[30] </w:t>
      </w:r>
      <w:r>
        <w:tab/>
        <w:t xml:space="preserve">Zheng MZM, </w:t>
      </w:r>
      <w:proofErr w:type="spellStart"/>
      <w:r>
        <w:t>Fritzlar</w:t>
      </w:r>
      <w:proofErr w:type="spellEnd"/>
      <w:r>
        <w:t xml:space="preserve"> S, Wang Z, et al. </w:t>
      </w:r>
      <w:hyperlink r:id="rId36">
        <w:r>
          <w:rPr>
            <w:rStyle w:val="Hyperlink"/>
          </w:rPr>
          <w:t>Cutting Edge: High-Dose Live Attenuated Influenza Vaccines Elicit Pulmonary Tissue-Resident Memory CD8+ T Cells in the Face of Pre-Existing Humoral Immunity</w:t>
        </w:r>
      </w:hyperlink>
      <w:r>
        <w:t>. The Journal of Immunology. 2022;209:1832–1836.</w:t>
      </w:r>
    </w:p>
    <w:p w14:paraId="694A67E0" w14:textId="77777777" w:rsidR="00C976D9" w:rsidRDefault="00B43936">
      <w:pPr>
        <w:pStyle w:val="Bibliography"/>
      </w:pPr>
      <w:bookmarkStart w:id="41" w:name="ref-levine2022influenza"/>
      <w:bookmarkEnd w:id="40"/>
      <w:r>
        <w:t xml:space="preserve">[31] </w:t>
      </w:r>
      <w:r>
        <w:tab/>
        <w:t xml:space="preserve">Levine MZ, Holiday C, Bai Y, et al. </w:t>
      </w:r>
      <w:hyperlink r:id="rId37">
        <w:r>
          <w:rPr>
            <w:rStyle w:val="Hyperlink"/>
          </w:rPr>
          <w:t>Influenza A(H7N9) Pandemic Preparedness: Assessment of the Breadth of Heterologous Antibody Responses to Emerging Viruses from Multiple Pre-Pandemic Vaccines and Population Immunity</w:t>
        </w:r>
      </w:hyperlink>
      <w:r>
        <w:t>. Vaccines. 2022;10:1856.</w:t>
      </w:r>
    </w:p>
    <w:p w14:paraId="694A67E1" w14:textId="77777777" w:rsidR="00C976D9" w:rsidRDefault="00B43936">
      <w:pPr>
        <w:pStyle w:val="Bibliography"/>
      </w:pPr>
      <w:bookmarkStart w:id="42" w:name="ref-tambyah2012safety"/>
      <w:bookmarkEnd w:id="41"/>
      <w:r>
        <w:t xml:space="preserve">[32] </w:t>
      </w:r>
      <w:r>
        <w:tab/>
      </w:r>
      <w:proofErr w:type="spellStart"/>
      <w:r>
        <w:t>Tambyah</w:t>
      </w:r>
      <w:proofErr w:type="spellEnd"/>
      <w:r>
        <w:t xml:space="preserve"> PA, Wilder-Smith A, Pavlova BG, et al. </w:t>
      </w:r>
      <w:hyperlink r:id="rId38">
        <w:r>
          <w:rPr>
            <w:rStyle w:val="Hyperlink"/>
          </w:rPr>
          <w:t>Safety and immunogenicity of two different doses of a Vero cell-derived, whole virus clade 2 H5N1 (A/Indonesia/05/2005) influenza vaccine</w:t>
        </w:r>
      </w:hyperlink>
      <w:r>
        <w:t>. Vaccine. 2012;30:329–335.</w:t>
      </w:r>
      <w:bookmarkEnd w:id="9"/>
      <w:bookmarkEnd w:id="11"/>
      <w:bookmarkEnd w:id="42"/>
    </w:p>
    <w:sectPr w:rsidR="00C976D9" w:rsidSect="0076799E">
      <w:pgSz w:w="12240" w:h="15840"/>
      <w:pgMar w:top="1440" w:right="1440" w:bottom="1440" w:left="1440" w:header="720" w:footer="720" w:gutter="0"/>
      <w:lnNumType w:countBy="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C0AB5" w14:textId="77777777" w:rsidR="001E4988" w:rsidRDefault="001E4988">
      <w:pPr>
        <w:spacing w:line="240" w:lineRule="auto"/>
      </w:pPr>
      <w:r>
        <w:separator/>
      </w:r>
    </w:p>
  </w:endnote>
  <w:endnote w:type="continuationSeparator" w:id="0">
    <w:p w14:paraId="4FE77D0B" w14:textId="77777777" w:rsidR="001E4988" w:rsidRDefault="001E4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B278B" w14:textId="77777777" w:rsidR="001E4988" w:rsidRDefault="001E4988">
      <w:r>
        <w:separator/>
      </w:r>
    </w:p>
  </w:footnote>
  <w:footnote w:type="continuationSeparator" w:id="0">
    <w:p w14:paraId="105F5F71" w14:textId="77777777" w:rsidR="001E4988" w:rsidRDefault="001E4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6A44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0737251">
    <w:abstractNumId w:val="0"/>
  </w:num>
  <w:num w:numId="2" w16cid:durableId="1164853806">
    <w:abstractNumId w:val="0"/>
  </w:num>
  <w:num w:numId="3" w16cid:durableId="945498356">
    <w:abstractNumId w:val="0"/>
  </w:num>
  <w:num w:numId="4" w16cid:durableId="2052067664">
    <w:abstractNumId w:val="0"/>
  </w:num>
  <w:num w:numId="5" w16cid:durableId="1487284241">
    <w:abstractNumId w:val="0"/>
  </w:num>
  <w:num w:numId="6" w16cid:durableId="1358238943">
    <w:abstractNumId w:val="0"/>
  </w:num>
  <w:num w:numId="7" w16cid:durableId="542836772">
    <w:abstractNumId w:val="0"/>
  </w:num>
  <w:num w:numId="8" w16cid:durableId="139828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D9"/>
    <w:rsid w:val="001E4988"/>
    <w:rsid w:val="00251222"/>
    <w:rsid w:val="0032048A"/>
    <w:rsid w:val="0076799E"/>
    <w:rsid w:val="00A36AED"/>
    <w:rsid w:val="00A560F1"/>
    <w:rsid w:val="00B43936"/>
    <w:rsid w:val="00BB5DCE"/>
    <w:rsid w:val="00C976D9"/>
    <w:rsid w:val="00D1559C"/>
    <w:rsid w:val="00D902FE"/>
    <w:rsid w:val="00E852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A66E6"/>
  <w15:docId w15:val="{82FE4FB1-E9A3-46A8-B492-1248A3A7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6DD"/>
    <w:pPr>
      <w:spacing w:after="0" w:line="360" w:lineRule="auto"/>
    </w:pPr>
    <w:rPr>
      <w:rFonts w:ascii="Segoe UI" w:hAnsi="Segoe UI"/>
    </w:rPr>
  </w:style>
  <w:style w:type="paragraph" w:styleId="Heading1">
    <w:name w:val="heading 1"/>
    <w:basedOn w:val="Normal"/>
    <w:next w:val="BodyText"/>
    <w:autoRedefine/>
    <w:uiPriority w:val="9"/>
    <w:qFormat/>
    <w:rsid w:val="00AB6E32"/>
    <w:pPr>
      <w:keepNext/>
      <w:keepLines/>
      <w:spacing w:before="240" w:after="240"/>
      <w:jc w:val="center"/>
      <w:outlineLvl w:val="0"/>
    </w:pPr>
    <w:rPr>
      <w:rFonts w:eastAsiaTheme="majorEastAsia" w:cstheme="majorBidi"/>
      <w:b/>
      <w:bCs/>
      <w:sz w:val="26"/>
      <w:szCs w:val="32"/>
    </w:rPr>
  </w:style>
  <w:style w:type="paragraph" w:styleId="Heading2">
    <w:name w:val="heading 2"/>
    <w:basedOn w:val="Normal"/>
    <w:next w:val="BodyText"/>
    <w:autoRedefine/>
    <w:uiPriority w:val="9"/>
    <w:unhideWhenUsed/>
    <w:qFormat/>
    <w:rsid w:val="00AB6E32"/>
    <w:pPr>
      <w:keepNext/>
      <w:keepLines/>
      <w:spacing w:before="240" w:after="240"/>
      <w:outlineLvl w:val="1"/>
    </w:pPr>
    <w:rPr>
      <w:rFonts w:eastAsiaTheme="majorEastAsia" w:cstheme="majorBidi"/>
      <w:b/>
      <w:bCs/>
      <w:szCs w:val="32"/>
    </w:rPr>
  </w:style>
  <w:style w:type="paragraph" w:styleId="Heading3">
    <w:name w:val="heading 3"/>
    <w:basedOn w:val="Normal"/>
    <w:next w:val="BodyText"/>
    <w:autoRedefine/>
    <w:uiPriority w:val="9"/>
    <w:unhideWhenUsed/>
    <w:qFormat/>
    <w:rsid w:val="00996D12"/>
    <w:pPr>
      <w:keepNext/>
      <w:keepLines/>
      <w:spacing w:before="240" w:after="240"/>
      <w:outlineLvl w:val="2"/>
    </w:pPr>
    <w:rPr>
      <w:rFonts w:ascii="Arial" w:eastAsiaTheme="majorEastAsia" w:hAnsi="Arial" w:cstheme="majorBidi"/>
      <w:b/>
      <w:bCs/>
      <w:szCs w:val="28"/>
    </w:rPr>
  </w:style>
  <w:style w:type="paragraph" w:styleId="Heading4">
    <w:name w:val="heading 4"/>
    <w:basedOn w:val="Normal"/>
    <w:next w:val="BodyText"/>
    <w:uiPriority w:val="9"/>
    <w:unhideWhenUsed/>
    <w:qFormat/>
    <w:rsid w:val="00CA4131"/>
    <w:pPr>
      <w:keepNext/>
      <w:keepLines/>
      <w:spacing w:after="120" w:line="324" w:lineRule="auto"/>
      <w:outlineLvl w:val="3"/>
    </w:pPr>
    <w:rPr>
      <w:rFonts w:eastAsiaTheme="majorEastAsia" w:cstheme="majorBidi"/>
      <w:bCs/>
    </w:rPr>
  </w:style>
  <w:style w:type="paragraph" w:styleId="Heading5">
    <w:name w:val="heading 5"/>
    <w:basedOn w:val="Normal"/>
    <w:next w:val="BodyText"/>
    <w:uiPriority w:val="9"/>
    <w:unhideWhenUsed/>
    <w:qFormat/>
    <w:rsid w:val="00B10CB5"/>
    <w:pPr>
      <w:keepNext/>
      <w:keepLines/>
      <w:outlineLvl w:val="4"/>
    </w:pPr>
    <w:rPr>
      <w:rFonts w:eastAsiaTheme="majorEastAsia" w:cstheme="majorBidi"/>
      <w:i/>
      <w:iCs/>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560F1"/>
    <w:pPr>
      <w:spacing w:before="360" w:after="360"/>
      <w:jc w:val="both"/>
    </w:pPr>
  </w:style>
  <w:style w:type="paragraph" w:customStyle="1" w:styleId="FirstParagraph">
    <w:name w:val="First Paragraph"/>
    <w:basedOn w:val="BodyText"/>
    <w:next w:val="BodyText"/>
    <w:autoRedefine/>
    <w:qFormat/>
    <w:rsid w:val="00E76C85"/>
  </w:style>
  <w:style w:type="paragraph" w:customStyle="1" w:styleId="Compact">
    <w:name w:val="Compact"/>
    <w:basedOn w:val="BodyText"/>
    <w:link w:val="CompactChar"/>
    <w:qFormat/>
    <w:pPr>
      <w:spacing w:before="36" w:after="36"/>
    </w:pPr>
  </w:style>
  <w:style w:type="paragraph" w:styleId="Title">
    <w:name w:val="Title"/>
    <w:basedOn w:val="Normal"/>
    <w:next w:val="BodyText"/>
    <w:autoRedefine/>
    <w:qFormat/>
    <w:rsid w:val="003D60A0"/>
    <w:pPr>
      <w:keepNext/>
      <w:keepLines/>
      <w:spacing w:before="240" w:after="240"/>
      <w:jc w:val="center"/>
    </w:pPr>
    <w:rPr>
      <w:rFonts w:eastAsiaTheme="majorEastAsia" w:cs="Segoe UI"/>
      <w:b/>
      <w:bCs/>
      <w:sz w:val="28"/>
      <w:szCs w:val="36"/>
    </w:rPr>
  </w:style>
  <w:style w:type="paragraph" w:styleId="Subtitle">
    <w:name w:val="Subtitle"/>
    <w:basedOn w:val="Title"/>
    <w:next w:val="BodyText"/>
    <w:qFormat/>
    <w:rPr>
      <w:sz w:val="30"/>
      <w:szCs w:val="30"/>
    </w:rPr>
  </w:style>
  <w:style w:type="paragraph" w:customStyle="1" w:styleId="Author">
    <w:name w:val="Author"/>
    <w:next w:val="BodyText"/>
    <w:qFormat/>
    <w:rsid w:val="00BD68B4"/>
    <w:pPr>
      <w:keepNext/>
      <w:keepLines/>
      <w:spacing w:line="480" w:lineRule="auto"/>
      <w:jc w:val="center"/>
    </w:pPr>
    <w:rPr>
      <w:rFonts w:ascii="Calibri" w:hAnsi="Calibri"/>
    </w:rPr>
  </w:style>
  <w:style w:type="paragraph" w:styleId="Date">
    <w:name w:val="Date"/>
    <w:next w:val="BodyText"/>
    <w:qFormat/>
    <w:rsid w:val="00AC6135"/>
    <w:pPr>
      <w:keepNext/>
      <w:keepLines/>
      <w:jc w:val="center"/>
    </w:pPr>
    <w:rPr>
      <w:rFonts w:ascii="Calibri" w:hAnsi="Calibri"/>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1B12D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AB6E32"/>
    <w:pPr>
      <w:keepNext/>
      <w:spacing w:before="480"/>
      <w:jc w:val="center"/>
    </w:pPr>
    <w:rPr>
      <w:i w:val="0"/>
    </w:rPr>
  </w:style>
  <w:style w:type="paragraph" w:customStyle="1" w:styleId="ImageCaption">
    <w:name w:val="Image Caption"/>
    <w:basedOn w:val="Caption"/>
    <w:link w:val="ImageCaptionChar"/>
    <w:autoRedefine/>
    <w:qFormat/>
    <w:rsid w:val="00D902FE"/>
    <w:pPr>
      <w:spacing w:before="120" w:after="480"/>
      <w:jc w:val="center"/>
    </w:pPr>
    <w:rPr>
      <w:i w:val="0"/>
    </w:rPr>
  </w:style>
  <w:style w:type="paragraph" w:customStyle="1" w:styleId="Figure">
    <w:name w:val="Figure"/>
    <w:basedOn w:val="Normal"/>
  </w:style>
  <w:style w:type="paragraph" w:customStyle="1" w:styleId="CaptionedFigure">
    <w:name w:val="Captioned Figure"/>
    <w:basedOn w:val="Figure"/>
    <w:autoRedefine/>
    <w:qFormat/>
    <w:rsid w:val="00026338"/>
    <w:pPr>
      <w:keepNext/>
      <w:spacing w:before="48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9207B2"/>
    <w:rPr>
      <w:rFonts w:ascii="Segoe UI" w:hAnsi="Segoe UI"/>
      <w:i w:val="0"/>
      <w:color w:val="0000FF"/>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figure0">
    <w:name w:val="figure"/>
    <w:basedOn w:val="ImageCaption"/>
    <w:link w:val="figureChar"/>
    <w:qFormat/>
    <w:rsid w:val="00AC6135"/>
  </w:style>
  <w:style w:type="paragraph" w:customStyle="1" w:styleId="tabs">
    <w:name w:val="tabs"/>
    <w:basedOn w:val="Compact"/>
    <w:link w:val="tabsChar"/>
    <w:qFormat/>
    <w:rsid w:val="009D6381"/>
    <w:pPr>
      <w:spacing w:before="0" w:after="0"/>
      <w:jc w:val="right"/>
    </w:pPr>
    <w:rPr>
      <w:sz w:val="20"/>
      <w:szCs w:val="20"/>
    </w:rPr>
  </w:style>
  <w:style w:type="character" w:customStyle="1" w:styleId="ImageCaptionChar">
    <w:name w:val="Image Caption Char"/>
    <w:basedOn w:val="CaptionChar"/>
    <w:link w:val="ImageCaption"/>
    <w:rsid w:val="00D902FE"/>
    <w:rPr>
      <w:rFonts w:ascii="Segoe UI" w:hAnsi="Segoe UI"/>
    </w:rPr>
  </w:style>
  <w:style w:type="character" w:customStyle="1" w:styleId="figureChar">
    <w:name w:val="figure Char"/>
    <w:basedOn w:val="ImageCaptionChar"/>
    <w:link w:val="figure0"/>
    <w:rsid w:val="00AC6135"/>
    <w:rPr>
      <w:rFonts w:ascii="Calibri" w:hAnsi="Calibri"/>
      <w:i w:val="0"/>
      <w:sz w:val="22"/>
    </w:rPr>
  </w:style>
  <w:style w:type="character" w:styleId="LineNumber">
    <w:name w:val="line number"/>
    <w:basedOn w:val="DefaultParagraphFont"/>
    <w:semiHidden/>
    <w:unhideWhenUsed/>
    <w:rsid w:val="0046123A"/>
  </w:style>
  <w:style w:type="character" w:customStyle="1" w:styleId="BodyTextChar">
    <w:name w:val="Body Text Char"/>
    <w:basedOn w:val="DefaultParagraphFont"/>
    <w:link w:val="BodyText"/>
    <w:rsid w:val="00A560F1"/>
    <w:rPr>
      <w:rFonts w:ascii="Segoe UI" w:hAnsi="Segoe UI"/>
    </w:rPr>
  </w:style>
  <w:style w:type="character" w:customStyle="1" w:styleId="CompactChar">
    <w:name w:val="Compact Char"/>
    <w:basedOn w:val="BodyTextChar"/>
    <w:link w:val="Compact"/>
    <w:rsid w:val="009D6381"/>
    <w:rPr>
      <w:rFonts w:ascii="Arial" w:hAnsi="Arial"/>
      <w:sz w:val="26"/>
    </w:rPr>
  </w:style>
  <w:style w:type="character" w:customStyle="1" w:styleId="tabsChar">
    <w:name w:val="tabs Char"/>
    <w:basedOn w:val="CompactChar"/>
    <w:link w:val="tabs"/>
    <w:rsid w:val="009D6381"/>
    <w:rPr>
      <w:rFonts w:ascii="Arial" w:hAnsi="Arial"/>
      <w:sz w:val="20"/>
      <w:szCs w:val="20"/>
    </w:rPr>
  </w:style>
  <w:style w:type="paragraph" w:styleId="Header">
    <w:name w:val="header"/>
    <w:basedOn w:val="Normal"/>
    <w:link w:val="HeaderChar"/>
    <w:unhideWhenUsed/>
    <w:rsid w:val="00AB1C85"/>
    <w:pPr>
      <w:tabs>
        <w:tab w:val="center" w:pos="4320"/>
        <w:tab w:val="right" w:pos="8640"/>
      </w:tabs>
    </w:pPr>
  </w:style>
  <w:style w:type="character" w:customStyle="1" w:styleId="HeaderChar">
    <w:name w:val="Header Char"/>
    <w:basedOn w:val="DefaultParagraphFont"/>
    <w:link w:val="Header"/>
    <w:rsid w:val="00AB1C85"/>
  </w:style>
  <w:style w:type="paragraph" w:styleId="Footer">
    <w:name w:val="footer"/>
    <w:basedOn w:val="Normal"/>
    <w:link w:val="FooterChar"/>
    <w:unhideWhenUsed/>
    <w:rsid w:val="00AB1C85"/>
    <w:pPr>
      <w:tabs>
        <w:tab w:val="center" w:pos="4320"/>
        <w:tab w:val="right" w:pos="8640"/>
      </w:tabs>
    </w:pPr>
  </w:style>
  <w:style w:type="character" w:customStyle="1" w:styleId="FooterChar">
    <w:name w:val="Footer Char"/>
    <w:basedOn w:val="DefaultParagraphFont"/>
    <w:link w:val="Footer"/>
    <w:rsid w:val="00AB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599790" TargetMode="External"/><Relationship Id="rId18" Type="http://schemas.openxmlformats.org/officeDocument/2006/relationships/hyperlink" Target="https://doi.org/10.1093/infdis/jiy103" TargetMode="External"/><Relationship Id="rId26" Type="http://schemas.openxmlformats.org/officeDocument/2006/relationships/hyperlink" Target="https://doi.org/10.1371/journal.pone.0185666" TargetMode="External"/><Relationship Id="rId39" Type="http://schemas.openxmlformats.org/officeDocument/2006/relationships/fontTable" Target="fontTable.xml"/><Relationship Id="rId21" Type="http://schemas.openxmlformats.org/officeDocument/2006/relationships/hyperlink" Target="https://doi.org/10.1186/1471-2334-14-391" TargetMode="External"/><Relationship Id="rId34" Type="http://schemas.openxmlformats.org/officeDocument/2006/relationships/hyperlink" Target="https://doi.org/10.1093/cid/ciaa160" TargetMode="External"/><Relationship Id="rId7" Type="http://schemas.openxmlformats.org/officeDocument/2006/relationships/hyperlink" Target="https://orcid.org/0000-0001-5100-0703" TargetMode="External"/><Relationship Id="rId12" Type="http://schemas.openxmlformats.org/officeDocument/2006/relationships/hyperlink" Target="https://www.ncbi.nlm.nih.gov/pubmed/20431524" TargetMode="External"/><Relationship Id="rId17" Type="http://schemas.openxmlformats.org/officeDocument/2006/relationships/hyperlink" Target="https://doi.org/10.1016/j.vaccine.2020.09.004" TargetMode="External"/><Relationship Id="rId25" Type="http://schemas.openxmlformats.org/officeDocument/2006/relationships/hyperlink" Target="https://doi.org/10.1016/j.it.2018.04.008" TargetMode="External"/><Relationship Id="rId33" Type="http://schemas.openxmlformats.org/officeDocument/2006/relationships/hyperlink" Target="https://doi.org/10.32614/RJ-2018-017" TargetMode="External"/><Relationship Id="rId38" Type="http://schemas.openxmlformats.org/officeDocument/2006/relationships/hyperlink" Target="https://doi.org/10.1016/j.vaccine.2011.10.088" TargetMode="External"/><Relationship Id="rId2" Type="http://schemas.openxmlformats.org/officeDocument/2006/relationships/styles" Target="styles.xml"/><Relationship Id="rId16" Type="http://schemas.openxmlformats.org/officeDocument/2006/relationships/hyperlink" Target="https://doi.org/10.1056/NEJMoa1315727" TargetMode="External"/><Relationship Id="rId20" Type="http://schemas.openxmlformats.org/officeDocument/2006/relationships/hyperlink" Target="https://doi.org/10.1001/jama.1958.02990100022005" TargetMode="External"/><Relationship Id="rId29" Type="http://schemas.openxmlformats.org/officeDocument/2006/relationships/hyperlink" Target="https://doi.org/10.1016/j.virusres.2004.02.0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585/mmwr.rr7005a1" TargetMode="External"/><Relationship Id="rId24" Type="http://schemas.openxmlformats.org/officeDocument/2006/relationships/hyperlink" Target="https://doi.org/10.1016/j.jtbi.2019.01.017" TargetMode="External"/><Relationship Id="rId32" Type="http://schemas.openxmlformats.org/officeDocument/2006/relationships/hyperlink" Target="https://doi.org/10.21105/joss.01541" TargetMode="External"/><Relationship Id="rId37" Type="http://schemas.openxmlformats.org/officeDocument/2006/relationships/hyperlink" Target="https://doi.org/10.3390/vaccines10111856"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vaccine.2012.12.013" TargetMode="External"/><Relationship Id="rId23" Type="http://schemas.openxmlformats.org/officeDocument/2006/relationships/hyperlink" Target="https://doi.org/10.1371/journal.pcbi.1006505" TargetMode="External"/><Relationship Id="rId28" Type="http://schemas.openxmlformats.org/officeDocument/2006/relationships/hyperlink" Target="https://doi.org/10.3389/fimmu.2020.00902" TargetMode="External"/><Relationship Id="rId36" Type="http://schemas.openxmlformats.org/officeDocument/2006/relationships/hyperlink" Target="https://doi.org/10.4049/jimmunol.2200577" TargetMode="External"/><Relationship Id="rId10" Type="http://schemas.openxmlformats.org/officeDocument/2006/relationships/image" Target="media/image1.png"/><Relationship Id="rId19" Type="http://schemas.openxmlformats.org/officeDocument/2006/relationships/hyperlink" Target="https://doi.org/10.1056/NEJMp1714916" TargetMode="External"/><Relationship Id="rId31" Type="http://schemas.openxmlformats.org/officeDocument/2006/relationships/hyperlink" Target="https://doi.org/10.1186/1471-2288-10-18" TargetMode="External"/><Relationship Id="rId4" Type="http://schemas.openxmlformats.org/officeDocument/2006/relationships/webSettings" Target="webSettings.xml"/><Relationship Id="rId9" Type="http://schemas.openxmlformats.org/officeDocument/2006/relationships/hyperlink" Target="mailto:ahandel@uga.edu" TargetMode="External"/><Relationship Id="rId14" Type="http://schemas.openxmlformats.org/officeDocument/2006/relationships/hyperlink" Target="https://doi.org/10.1016/j.vaccine.2007.08.042" TargetMode="External"/><Relationship Id="rId22" Type="http://schemas.openxmlformats.org/officeDocument/2006/relationships/hyperlink" Target="https://doi.org/10.1093/infdis/jiw237" TargetMode="External"/><Relationship Id="rId27" Type="http://schemas.openxmlformats.org/officeDocument/2006/relationships/hyperlink" Target="https://doi.org/10.1080/21645515.2019.1642056" TargetMode="External"/><Relationship Id="rId30" Type="http://schemas.openxmlformats.org/officeDocument/2006/relationships/hyperlink" Target="https://doi.org/10.1038/s41467-019-09652-6" TargetMode="External"/><Relationship Id="rId35" Type="http://schemas.openxmlformats.org/officeDocument/2006/relationships/hyperlink" Target="https://doi.org/10.1001/archinte.166.10.1121" TargetMode="External"/><Relationship Id="rId8" Type="http://schemas.openxmlformats.org/officeDocument/2006/relationships/hyperlink" Target="mailto:yang.ge@usm.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3065</Words>
  <Characters>18076</Characters>
  <Application>Microsoft Office Word</Application>
  <DocSecurity>0</DocSecurity>
  <Lines>382</Lines>
  <Paragraphs>184</Paragraphs>
  <ScaleCrop>false</ScaleCrop>
  <HeadingPairs>
    <vt:vector size="2" baseType="variant">
      <vt:variant>
        <vt:lpstr>Title</vt:lpstr>
      </vt:variant>
      <vt:variant>
        <vt:i4>1</vt:i4>
      </vt:variant>
    </vt:vector>
  </HeadingPairs>
  <TitlesOfParts>
    <vt:vector size="1" baseType="lpstr">
      <vt:lpstr>Assessing the impact of limit of detection on hai titer increase estimation in vaccine studies</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seasonal influenza vaccine dose on homologous and heterologous immunity</dc:title>
  <dc:creator>Young Ge</dc:creator>
  <cp:keywords/>
  <cp:lastModifiedBy>Wesley Billings</cp:lastModifiedBy>
  <cp:revision>8</cp:revision>
  <dcterms:created xsi:type="dcterms:W3CDTF">2023-10-30T18:37:00Z</dcterms:created>
  <dcterms:modified xsi:type="dcterms:W3CDTF">2024-07-01T18:52:00Z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mybib.bib</vt:lpwstr>
  </property>
  <property fmtid="{D5CDD505-2E9C-101B-9397-08002B2CF9AE}" pid="3" name="bookdown">
    <vt:lpwstr/>
  </property>
  <property fmtid="{D5CDD505-2E9C-101B-9397-08002B2CF9AE}" pid="4" name="csl">
    <vt:lpwstr>nlm_csl.csl</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GrammarlyDocumentId">
    <vt:lpwstr>c7d7f42e23ab66df975f5b387a8f39bf49f0c406159699f6de0c305cc2c4ea30</vt:lpwstr>
  </property>
</Properties>
</file>