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26.png" ContentType="image/png"/>
  <Override PartName="/word/media/rId5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Calculating breadth statistics</w:t>
      </w:r>
    </w:p>
    <w:p>
      <w:pPr>
        <w:pStyle w:val="Author"/>
      </w:pPr>
      <w:r>
        <w:t xml:space="preserve">Zane Billings</w:t>
      </w:r>
    </w:p>
    <w:p>
      <w:pPr>
        <w:pStyle w:val="Date"/>
      </w:pPr>
      <w:r>
        <w:t xml:space="preserve">2025-05-15</w:t>
      </w:r>
    </w:p>
    <w:p>
      <w:pPr>
        <w:pStyle w:val="FirstParagraph"/>
      </w:pPr>
      <w:r>
        <w:t xml:space="preserve">In this document, we will use an example to show how our summary statistics are calculated. Note that using our method requires adopting a Bayesian approach.</w:t>
      </w:r>
      <w:r>
        <w:t xml:space="preserve"> </w:t>
      </w:r>
      <w:r>
        <w:rPr>
          <w:b/>
          <w:bCs/>
        </w:rPr>
        <w:t xml:space="preserve">At this time, it is quite difficult to fit a frequentist model that simultaneously accounts for censoring and incorporates random effects.</w:t>
      </w:r>
      <w:r>
        <w:t xml:space="preserve"> </w:t>
      </w:r>
      <w:r>
        <w:t xml:space="preserve">Because the censoring correction seems to be incredibly important for our results, we</w:t>
      </w:r>
      <w:r>
        <w:t xml:space="preserve"> </w:t>
      </w:r>
      <w:r>
        <w:rPr>
          <w:i/>
          <w:iCs/>
        </w:rPr>
        <w:t xml:space="preserve">strongly</w:t>
      </w:r>
      <w:r>
        <w:t xml:space="preserve"> </w:t>
      </w:r>
      <w:r>
        <w:t xml:space="preserve">recommend using the Bayesian approach.</w:t>
      </w:r>
    </w:p>
    <w:p>
      <w:pPr>
        <w:pStyle w:val="BodyText"/>
      </w:pPr>
      <w:r>
        <w:t xml:space="preserve">However, if you</w:t>
      </w:r>
      <w:r>
        <w:t xml:space="preserve"> </w:t>
      </w:r>
      <w:r>
        <w:rPr>
          <w:i/>
          <w:iCs/>
        </w:rPr>
        <w:t xml:space="preserve">must</w:t>
      </w:r>
      <w:r>
        <w:t xml:space="preserve"> </w:t>
      </w:r>
      <w:r>
        <w:t xml:space="preserve">use a frequentist method for some reason, you could apply frequentist mixed-effects models to our data and use bootstrapping produces to get confidence intervals for the statistics of interest. If you know of an</w:t>
      </w:r>
      <w:r>
        <w:t xml:space="preserve"> </w:t>
      </w:r>
      <w:r>
        <w:rPr>
          <w:rStyle w:val="VerbatimChar"/>
        </w:rPr>
        <w:t xml:space="preserve">R</w:t>
      </w:r>
      <w:r>
        <w:t xml:space="preserve"> </w:t>
      </w:r>
      <w:r>
        <w:t xml:space="preserve">package which can fit mixed-effects models with censored outcomes, please let us know so we can update these instructions.</w:t>
      </w:r>
    </w:p>
    <w:bookmarkStart w:id="24" w:name="data-description-and-format"/>
    <w:p>
      <w:pPr>
        <w:pStyle w:val="Heading1"/>
      </w:pPr>
      <w:r>
        <w:t xml:space="preserve">Data description and format</w:t>
      </w:r>
    </w:p>
    <w:p>
      <w:pPr>
        <w:pStyle w:val="FirstParagraph"/>
      </w:pPr>
      <w:r>
        <w:t xml:space="preserve">The type of data that our methods apply to are panels of immunological assays to multiple different influenza strains. The following example data are a completely randomized, anonymized subset of the UGAFluVac HAI data from Ted Ross’s lab group. So our results in this document might not make sense, but they are used for a calculation example, not to draw any conclusions.</w:t>
      </w:r>
      <w:r>
        <w:t xml:space="preserve"> </w:t>
      </w:r>
      <w:hyperlink w:anchor="tbl-ex">
        <w:r>
          <w:rPr>
            <w:rStyle w:val="Hyperlink"/>
          </w:rPr>
          <w:t xml:space="preserve">Table 1</w:t>
        </w:r>
      </w:hyperlink>
      <w:r>
        <w:t xml:space="preserve"> </w:t>
      </w:r>
      <w:r>
        <w:t xml:space="preserve">shows the example dataset before preprocessing. We do not include any pre-titer or demographic information in these calculations right now.</w:t>
      </w:r>
    </w:p>
    <w:p>
      <w:pPr>
        <w:pStyle w:val="BodyText"/>
      </w:pPr>
      <w:r>
        <w:t xml:space="preserve">We store the data in</w:t>
      </w:r>
      <w:r>
        <w:t xml:space="preserve"> </w:t>
      </w:r>
      <w:r>
        <w:t xml:space="preserve">“long form”</w:t>
      </w:r>
      <w:r>
        <w:t xml:space="preserve"> </w:t>
      </w:r>
      <w:r>
        <w:t xml:space="preserve">so that each immunological assay represents one record in the dataset (i.e., one row of data). Before we can fit any models there are several preprocessing steps that should be performed first.</w:t>
      </w:r>
    </w:p>
    <w:p>
      <w:pPr>
        <w:pStyle w:val="Compact"/>
        <w:numPr>
          <w:ilvl w:val="0"/>
          <w:numId w:val="1001"/>
        </w:numPr>
      </w:pPr>
      <w:r>
        <w:t xml:space="preserve">Post-vaccination titer should be transformed to the log-scale. We always normalize the HAI titers based on the limit of detection (LoD) of 10 also, so that the values coded as 5 (below LoD) become</w:t>
      </w:r>
      <w:r>
        <w:t xml:space="preserve"> </w:t>
      </w:r>
      <m:oMath>
        <m:r>
          <m:t>0</m:t>
        </m:r>
      </m:oMath>
      <w:r>
        <w:t xml:space="preserve"> </w:t>
      </w:r>
      <w:r>
        <w:t xml:space="preserve">on the log scale. If</w:t>
      </w:r>
      <w:r>
        <w:t xml:space="preserve"> </w:t>
      </w:r>
      <m:oMath>
        <m:r>
          <m:t>x</m:t>
        </m:r>
      </m:oMath>
      <w:r>
        <w:t xml:space="preserve"> </w:t>
      </w:r>
      <w:r>
        <w:t xml:space="preserve">is the natural scale HAI titer, like the ones shwon in</w:t>
      </w:r>
      <w:r>
        <w:t xml:space="preserve"> </w:t>
      </w:r>
      <w:hyperlink w:anchor="tbl-ex">
        <w:r>
          <w:rPr>
            <w:rStyle w:val="Hyperlink"/>
          </w:rPr>
          <w:t xml:space="preserve">Table 1</w:t>
        </w:r>
      </w:hyperlink>
      <w:r>
        <w:t xml:space="preserve">, you can get the log-scale values</w:t>
      </w:r>
      <w:r>
        <w:t xml:space="preserve"> </w:t>
      </w:r>
      <m:oMath>
        <m:r>
          <m:t>y</m:t>
        </m:r>
      </m:oMath>
      <w:r>
        <w:t xml:space="preserve"> </w:t>
      </w:r>
      <w:r>
        <w:t xml:space="preserve">using the transformation</w:t>
      </w:r>
    </w:p>
    <w:p>
      <w:pPr>
        <w:pStyle w:val="Compact"/>
      </w:pPr>
      <m:oMathPara>
        <m:oMathParaPr>
          <m:jc m:val="center"/>
        </m:oMathParaPr>
        <m:oMath>
          <m:r>
            <m:t>y</m:t>
          </m:r>
          <m:r>
            <m:rPr>
              <m:sty m:val="p"/>
            </m:rPr>
            <m:t>=</m:t>
          </m:r>
          <m:sSub>
            <m:e>
              <m:r>
                <m:rPr>
                  <m:sty m:val="p"/>
                </m:rPr>
                <m:t>log</m:t>
              </m:r>
            </m:e>
            <m:sub>
              <m:r>
                <m:t>2</m:t>
              </m:r>
            </m:sub>
          </m:sSub>
          <m:d>
            <m:dPr>
              <m:begChr m:val="("/>
              <m:endChr m:val=")"/>
              <m:sepChr m:val=""/>
              <m:grow/>
            </m:dPr>
            <m:e>
              <m:f>
                <m:fPr>
                  <m:type m:val="bar"/>
                </m:fPr>
                <m:num>
                  <m:r>
                    <m:t>x</m:t>
                  </m:r>
                </m:num>
                <m:den>
                  <m:r>
                    <m:t>5</m:t>
                  </m:r>
                </m:den>
              </m:f>
            </m:e>
          </m:d>
          <m:r>
            <m:rPr>
              <m:sty m:val="p"/>
            </m:rPr>
            <m:t>.</m:t>
          </m:r>
        </m:oMath>
      </m:oMathPara>
    </w:p>
    <w:p>
      <w:pPr>
        <w:pStyle w:val="Compact"/>
        <w:numPr>
          <w:ilvl w:val="0"/>
          <w:numId w:val="1001"/>
        </w:numPr>
      </w:pPr>
      <w:r>
        <w:t xml:space="preserve">The antigenic distance should be normalized. We use min-max normalization</w:t>
      </w:r>
      <w:r>
        <w:rPr>
          <w:rStyle w:val="FootnoteReference"/>
        </w:rPr>
        <w:footnoteReference w:id="20"/>
      </w:r>
      <w:r>
        <w:t xml:space="preserve"> </w:t>
      </w:r>
      <w:r>
        <w:t xml:space="preserve">to ensure that the range of the datapoints is transformed to</w:t>
      </w:r>
      <w:r>
        <w:t xml:space="preserve"> </w:t>
      </w:r>
      <m:oMath>
        <m:d>
          <m:dPr>
            <m:begChr m:val="["/>
            <m:endChr m:val="]"/>
            <m:sepChr m:val=""/>
            <m:grow/>
          </m:dPr>
          <m:e>
            <m:r>
              <m:t>0</m:t>
            </m:r>
            <m:r>
              <m:rPr>
                <m:sty m:val="p"/>
              </m:rPr>
              <m:t>,</m:t>
            </m:r>
            <m:r>
              <m:t>1</m:t>
            </m:r>
          </m:e>
        </m:d>
      </m:oMath>
      <w:r>
        <w:t xml:space="preserve">. If</w:t>
      </w:r>
      <w:r>
        <w:t xml:space="preserve"> </w:t>
      </w:r>
      <m:oMath>
        <m:r>
          <m:t>d</m:t>
        </m:r>
      </m:oMath>
      <w:r>
        <w:t xml:space="preserve"> </w:t>
      </w:r>
      <w:r>
        <w:t xml:space="preserve">is a raw distance value like you see in</w:t>
      </w:r>
      <w:r>
        <w:t xml:space="preserve"> </w:t>
      </w:r>
      <w:hyperlink w:anchor="tbl-ex">
        <w:r>
          <w:rPr>
            <w:rStyle w:val="Hyperlink"/>
          </w:rPr>
          <w:t xml:space="preserve">Table 1</w:t>
        </w:r>
      </w:hyperlink>
      <w:r>
        <w:t xml:space="preserve">, and</w:t>
      </w:r>
      <w:r>
        <w:t xml:space="preserve"> </w:t>
      </w:r>
      <m:oMath>
        <m:sSub>
          <m:e>
            <m:r>
              <m:t>d</m:t>
            </m:r>
          </m:e>
          <m:sub>
            <m:r>
              <m:rPr>
                <m:nor/>
                <m:sty m:val="p"/>
              </m:rPr>
              <m:t>norm</m:t>
            </m:r>
          </m:sub>
        </m:sSub>
      </m:oMath>
      <w:r>
        <w:t xml:space="preserve"> </w:t>
      </w:r>
      <w:r>
        <w:t xml:space="preserve">is the normalized antigenic distance, the formula for min-max normalization is</w:t>
      </w:r>
    </w:p>
    <w:p>
      <w:pPr>
        <w:pStyle w:val="Compact"/>
      </w:pPr>
      <m:oMathPara>
        <m:oMathParaPr>
          <m:jc m:val="center"/>
        </m:oMathParaPr>
        <m:oMath>
          <m:sSub>
            <m:e>
              <m:r>
                <m:t>d</m:t>
              </m:r>
            </m:e>
            <m:sub>
              <m:r>
                <m:rPr>
                  <m:nor/>
                  <m:sty m:val="p"/>
                </m:rPr>
                <m:t>norm</m:t>
              </m:r>
            </m:sub>
          </m:sSub>
          <m:r>
            <m:rPr>
              <m:sty m:val="p"/>
            </m:rPr>
            <m:t>=</m:t>
          </m:r>
          <m:f>
            <m:fPr>
              <m:type m:val="bar"/>
            </m:fPr>
            <m:num>
              <m:r>
                <m:t>d</m:t>
              </m:r>
              <m:r>
                <m:rPr>
                  <m:sty m:val="p"/>
                </m:rPr>
                <m:t>−</m:t>
              </m:r>
              <m:r>
                <m:rPr>
                  <m:sty m:val="p"/>
                </m:rPr>
                <m:t>min</m:t>
              </m:r>
              <m:d>
                <m:dPr>
                  <m:begChr m:val="("/>
                  <m:endChr m:val=")"/>
                  <m:sepChr m:val=""/>
                  <m:grow/>
                </m:dPr>
                <m:e>
                  <m:r>
                    <m:t>d</m:t>
                  </m:r>
                </m:e>
              </m:d>
            </m:num>
            <m:den>
              <m:r>
                <m:rPr>
                  <m:sty m:val="p"/>
                </m:rPr>
                <m:t>max</m:t>
              </m:r>
              <m:d>
                <m:dPr>
                  <m:begChr m:val="("/>
                  <m:endChr m:val=")"/>
                  <m:sepChr m:val=""/>
                  <m:grow/>
                </m:dPr>
                <m:e>
                  <m:r>
                    <m:t>d</m:t>
                  </m:r>
                </m:e>
              </m:d>
              <m:r>
                <m:rPr>
                  <m:sty m:val="p"/>
                </m:rPr>
                <m:t>−</m:t>
              </m:r>
              <m:r>
                <m:rPr>
                  <m:sty m:val="p"/>
                </m:rPr>
                <m:t>min</m:t>
              </m:r>
              <m:d>
                <m:dPr>
                  <m:begChr m:val="("/>
                  <m:endChr m:val=")"/>
                  <m:sepChr m:val=""/>
                  <m:grow/>
                </m:dPr>
                <m:e>
                  <m:r>
                    <m:t>d</m:t>
                  </m:r>
                </m:e>
              </m:d>
            </m:den>
          </m:f>
          <m:r>
            <m:rPr>
              <m:sty m:val="p"/>
            </m:rPr>
            <m:t>.</m:t>
          </m:r>
        </m:oMath>
      </m:oMathPara>
    </w:p>
    <w:tbl>
      <w:tblPr>
        <w:tblStyle w:val="Table"/>
        <w:tblW w:type="pct" w:w="5000"/>
        <w:tblLayout w:type="fixed"/>
        <w:tblLook w:firstRow="0" w:lastRow="0" w:firstColumn="0" w:lastColumn="0" w:noHBand="0" w:noVBand="0" w:val="0000"/>
      </w:tblPr>
      <w:tblGrid>
        <w:gridCol w:w="7920"/>
      </w:tblGrid>
      <w:tr>
        <w:tc>
          <w:tcPr/>
          <w:bookmarkStart w:id="21" w:name="tbl-ex"/>
          <w:p>
            <w:pPr>
              <w:jc w:val="center"/>
            </w:pPr>
            <w:pPr>
              <w:jc w:val="start"/>
              <w:spacing w:before="200"/>
              <w:pStyle w:val="ImageCaption"/>
            </w:pPr>
            <w:r>
              <w:t xml:space="preserve">Table 1: Example uncleaned dataset for analysis.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ID</w:t>
                  </w:r>
                </w:p>
              </w:tc>
              <w:tc>
                <w:tcPr/>
                <w:p>
                  <w:pPr>
                    <w:pStyle w:val="Compact"/>
                    <w:jc w:val="left"/>
                    <w:jc w:val="center"/>
                  </w:pPr>
                  <w:r>
                    <w:t xml:space="preserve">Assay Strain</w:t>
                  </w:r>
                </w:p>
              </w:tc>
              <w:tc>
                <w:tcPr/>
                <w:p>
                  <w:pPr>
                    <w:pStyle w:val="Compact"/>
                    <w:jc w:val="right"/>
                    <w:jc w:val="center"/>
                  </w:pPr>
                  <w:r>
                    <w:t xml:space="preserve">Post-vac HAI</w:t>
                  </w:r>
                </w:p>
              </w:tc>
              <w:tc>
                <w:tcPr/>
                <w:p>
                  <w:pPr>
                    <w:pStyle w:val="Compact"/>
                    <w:jc w:val="right"/>
                    <w:jc w:val="center"/>
                  </w:pPr>
                  <w:r>
                    <w:t xml:space="preserve">Ag Distance</w:t>
                  </w:r>
                </w:p>
              </w:tc>
            </w:tr>
            <w:tr>
              <w:tc>
                <w:tcPr/>
                <w:p>
                  <w:pPr>
                    <w:pStyle w:val="Compact"/>
                    <w:jc w:val="left"/>
                    <w:jc w:val="center"/>
                  </w:pPr>
                  <w:r>
                    <w:t xml:space="preserve">01</w:t>
                  </w:r>
                </w:p>
              </w:tc>
              <w:tc>
                <w:tcPr/>
                <w:p>
                  <w:pPr>
                    <w:pStyle w:val="Compact"/>
                    <w:jc w:val="left"/>
                    <w:jc w:val="center"/>
                  </w:pPr>
                  <w:r>
                    <w:t xml:space="preserve">HK/68</w:t>
                  </w:r>
                </w:p>
              </w:tc>
              <w:tc>
                <w:tcPr/>
                <w:p>
                  <w:pPr>
                    <w:pStyle w:val="Compact"/>
                    <w:jc w:val="right"/>
                    <w:jc w:val="center"/>
                  </w:pPr>
                  <w:r>
                    <w:t xml:space="preserve">5</w:t>
                  </w:r>
                </w:p>
              </w:tc>
              <w:tc>
                <w:tcPr/>
                <w:p>
                  <w:pPr>
                    <w:pStyle w:val="Compact"/>
                    <w:jc w:val="right"/>
                    <w:jc w:val="center"/>
                  </w:pPr>
                  <w:r>
                    <w:t xml:space="preserve">5.37</w:t>
                  </w:r>
                </w:p>
              </w:tc>
            </w:tr>
            <w:tr>
              <w:tc>
                <w:tcPr/>
                <w:p>
                  <w:pPr>
                    <w:pStyle w:val="Compact"/>
                    <w:jc w:val="left"/>
                    <w:jc w:val="center"/>
                  </w:pPr>
                  <w:r>
                    <w:t xml:space="preserve">01</w:t>
                  </w:r>
                </w:p>
              </w:tc>
              <w:tc>
                <w:tcPr/>
                <w:p>
                  <w:pPr>
                    <w:pStyle w:val="Compact"/>
                    <w:jc w:val="left"/>
                    <w:jc w:val="center"/>
                  </w:pPr>
                  <w:r>
                    <w:t xml:space="preserve">PC/73</w:t>
                  </w:r>
                </w:p>
              </w:tc>
              <w:tc>
                <w:tcPr/>
                <w:p>
                  <w:pPr>
                    <w:pStyle w:val="Compact"/>
                    <w:jc w:val="right"/>
                    <w:jc w:val="center"/>
                  </w:pPr>
                  <w:r>
                    <w:t xml:space="preserve">5</w:t>
                  </w:r>
                </w:p>
              </w:tc>
              <w:tc>
                <w:tcPr/>
                <w:p>
                  <w:pPr>
                    <w:pStyle w:val="Compact"/>
                    <w:jc w:val="right"/>
                    <w:jc w:val="center"/>
                  </w:pPr>
                  <w:r>
                    <w:t xml:space="preserve">6.23</w:t>
                  </w:r>
                </w:p>
              </w:tc>
            </w:tr>
            <w:tr>
              <w:tc>
                <w:tcPr/>
                <w:p>
                  <w:pPr>
                    <w:pStyle w:val="Compact"/>
                    <w:jc w:val="left"/>
                    <w:jc w:val="center"/>
                  </w:pPr>
                  <w:r>
                    <w:t xml:space="preserve">01</w:t>
                  </w:r>
                </w:p>
              </w:tc>
              <w:tc>
                <w:tcPr/>
                <w:p>
                  <w:pPr>
                    <w:pStyle w:val="Compact"/>
                    <w:jc w:val="left"/>
                    <w:jc w:val="center"/>
                  </w:pPr>
                  <w:r>
                    <w:t xml:space="preserve">TX/77</w:t>
                  </w:r>
                </w:p>
              </w:tc>
              <w:tc>
                <w:tcPr/>
                <w:p>
                  <w:pPr>
                    <w:pStyle w:val="Compact"/>
                    <w:jc w:val="right"/>
                    <w:jc w:val="center"/>
                  </w:pPr>
                  <w:r>
                    <w:t xml:space="preserve">5</w:t>
                  </w:r>
                </w:p>
              </w:tc>
              <w:tc>
                <w:tcPr/>
                <w:p>
                  <w:pPr>
                    <w:pStyle w:val="Compact"/>
                    <w:jc w:val="right"/>
                    <w:jc w:val="center"/>
                  </w:pPr>
                  <w:r>
                    <w:t xml:space="preserve">6.29</w:t>
                  </w:r>
                </w:p>
              </w:tc>
            </w:tr>
            <w:tr>
              <w:tc>
                <w:tcPr/>
                <w:p>
                  <w:pPr>
                    <w:pStyle w:val="Compact"/>
                    <w:jc w:val="left"/>
                    <w:jc w:val="center"/>
                  </w:pPr>
                  <w:r>
                    <w:t xml:space="preserve">01</w:t>
                  </w:r>
                </w:p>
              </w:tc>
              <w:tc>
                <w:tcPr/>
                <w:p>
                  <w:pPr>
                    <w:pStyle w:val="Compact"/>
                    <w:jc w:val="left"/>
                    <w:jc w:val="center"/>
                  </w:pPr>
                  <w:r>
                    <w:t xml:space="preserve">MI/85</w:t>
                  </w:r>
                </w:p>
              </w:tc>
              <w:tc>
                <w:tcPr/>
                <w:p>
                  <w:pPr>
                    <w:pStyle w:val="Compact"/>
                    <w:jc w:val="right"/>
                    <w:jc w:val="center"/>
                  </w:pPr>
                  <w:r>
                    <w:t xml:space="preserve">5</w:t>
                  </w:r>
                </w:p>
              </w:tc>
              <w:tc>
                <w:tcPr/>
                <w:p>
                  <w:pPr>
                    <w:pStyle w:val="Compact"/>
                    <w:jc w:val="right"/>
                    <w:jc w:val="center"/>
                  </w:pPr>
                  <w:r>
                    <w:t xml:space="preserve">4.78</w:t>
                  </w:r>
                </w:p>
              </w:tc>
            </w:tr>
            <w:tr>
              <w:tc>
                <w:tcPr/>
                <w:p>
                  <w:pPr>
                    <w:pStyle w:val="Compact"/>
                    <w:jc w:val="left"/>
                    <w:jc w:val="center"/>
                  </w:pPr>
                  <w:r>
                    <w:t xml:space="preserve">01</w:t>
                  </w:r>
                </w:p>
              </w:tc>
              <w:tc>
                <w:tcPr/>
                <w:p>
                  <w:pPr>
                    <w:pStyle w:val="Compact"/>
                    <w:jc w:val="left"/>
                    <w:jc w:val="center"/>
                  </w:pPr>
                  <w:r>
                    <w:t xml:space="preserve">Sich/87</w:t>
                  </w:r>
                </w:p>
              </w:tc>
              <w:tc>
                <w:tcPr/>
                <w:p>
                  <w:pPr>
                    <w:pStyle w:val="Compact"/>
                    <w:jc w:val="right"/>
                    <w:jc w:val="center"/>
                  </w:pPr>
                  <w:r>
                    <w:t xml:space="preserve">20</w:t>
                  </w:r>
                </w:p>
              </w:tc>
              <w:tc>
                <w:tcPr/>
                <w:p>
                  <w:pPr>
                    <w:pStyle w:val="Compact"/>
                    <w:jc w:val="right"/>
                    <w:jc w:val="center"/>
                  </w:pPr>
                  <w:r>
                    <w:t xml:space="preserve">4.68</w:t>
                  </w:r>
                </w:p>
              </w:tc>
            </w:tr>
            <w:tr>
              <w:tc>
                <w:tcPr/>
                <w:p>
                  <w:pPr>
                    <w:pStyle w:val="Compact"/>
                    <w:jc w:val="left"/>
                    <w:jc w:val="center"/>
                  </w:pPr>
                  <w:r>
                    <w:t xml:space="preserve">01</w:t>
                  </w:r>
                </w:p>
              </w:tc>
              <w:tc>
                <w:tcPr/>
                <w:p>
                  <w:pPr>
                    <w:pStyle w:val="Compact"/>
                    <w:jc w:val="left"/>
                    <w:jc w:val="center"/>
                  </w:pPr>
                  <w:r>
                    <w:t xml:space="preserve">Shan/93</w:t>
                  </w:r>
                </w:p>
              </w:tc>
              <w:tc>
                <w:tcPr/>
                <w:p>
                  <w:pPr>
                    <w:pStyle w:val="Compact"/>
                    <w:jc w:val="right"/>
                    <w:jc w:val="center"/>
                  </w:pPr>
                  <w:r>
                    <w:t xml:space="preserve">40</w:t>
                  </w:r>
                </w:p>
              </w:tc>
              <w:tc>
                <w:tcPr/>
                <w:p>
                  <w:pPr>
                    <w:pStyle w:val="Compact"/>
                    <w:jc w:val="right"/>
                    <w:jc w:val="center"/>
                  </w:pPr>
                  <w:r>
                    <w:t xml:space="preserve">4.55</w:t>
                  </w:r>
                </w:p>
              </w:tc>
            </w:tr>
            <w:tr>
              <w:tc>
                <w:tcPr/>
                <w:p>
                  <w:pPr>
                    <w:pStyle w:val="Compact"/>
                    <w:jc w:val="left"/>
                    <w:jc w:val="center"/>
                  </w:pPr>
                  <m:oMath>
                    <m:r>
                      <m:t> </m:t>
                    </m:r>
                    <m:r>
                      <m:rPr>
                        <m:sty m:val="p"/>
                      </m:rPr>
                      <m:t>⋮</m:t>
                    </m:r>
                  </m:oMath>
                </w:p>
              </w:tc>
              <w:tc>
                <w:tcPr/>
                <w:p>
                  <w:pPr>
                    <w:pStyle w:val="Compact"/>
                  </w:pPr>
                </w:p>
              </w:tc>
              <w:tc>
                <w:tcPr/>
                <w:p>
                  <w:pPr>
                    <w:pStyle w:val="Compact"/>
                  </w:pPr>
                </w:p>
              </w:tc>
              <w:tc>
                <w:tcPr/>
                <w:p>
                  <w:pPr>
                    <w:pStyle w:val="Compact"/>
                  </w:pPr>
                </w:p>
              </w:tc>
            </w:tr>
            <w:tr>
              <w:tc>
                <w:tcPr/>
                <w:p>
                  <w:pPr>
                    <w:pStyle w:val="Compact"/>
                    <w:jc w:val="left"/>
                    <w:jc w:val="center"/>
                  </w:pPr>
                  <w:r>
                    <w:t xml:space="preserve">83</w:t>
                  </w:r>
                </w:p>
              </w:tc>
              <w:tc>
                <w:tcPr/>
                <w:p>
                  <w:pPr>
                    <w:pStyle w:val="Compact"/>
                    <w:jc w:val="left"/>
                    <w:jc w:val="center"/>
                  </w:pPr>
                  <w:r>
                    <w:t xml:space="preserve">Uru/07</w:t>
                  </w:r>
                </w:p>
              </w:tc>
              <w:tc>
                <w:tcPr/>
                <w:p>
                  <w:pPr>
                    <w:pStyle w:val="Compact"/>
                    <w:jc w:val="right"/>
                    <w:jc w:val="center"/>
                  </w:pPr>
                  <w:r>
                    <w:t xml:space="preserve">1280</w:t>
                  </w:r>
                </w:p>
              </w:tc>
              <w:tc>
                <w:tcPr/>
                <w:p>
                  <w:pPr>
                    <w:pStyle w:val="Compact"/>
                    <w:jc w:val="right"/>
                    <w:jc w:val="center"/>
                  </w:pPr>
                  <w:r>
                    <w:t xml:space="preserve">0.50</w:t>
                  </w:r>
                </w:p>
              </w:tc>
            </w:tr>
            <w:tr>
              <w:tc>
                <w:tcPr/>
                <w:p>
                  <w:pPr>
                    <w:pStyle w:val="Compact"/>
                    <w:jc w:val="left"/>
                    <w:jc w:val="center"/>
                  </w:pPr>
                  <w:r>
                    <w:t xml:space="preserve">83</w:t>
                  </w:r>
                </w:p>
              </w:tc>
              <w:tc>
                <w:tcPr/>
                <w:p>
                  <w:pPr>
                    <w:pStyle w:val="Compact"/>
                    <w:jc w:val="left"/>
                    <w:jc w:val="center"/>
                  </w:pPr>
                  <w:r>
                    <w:t xml:space="preserve">Per/09</w:t>
                  </w:r>
                </w:p>
              </w:tc>
              <w:tc>
                <w:tcPr/>
                <w:p>
                  <w:pPr>
                    <w:pStyle w:val="Compact"/>
                    <w:jc w:val="right"/>
                    <w:jc w:val="center"/>
                  </w:pPr>
                  <w:r>
                    <w:t xml:space="preserve">2560</w:t>
                  </w:r>
                </w:p>
              </w:tc>
              <w:tc>
                <w:tcPr/>
                <w:p>
                  <w:pPr>
                    <w:pStyle w:val="Compact"/>
                    <w:jc w:val="right"/>
                    <w:jc w:val="center"/>
                  </w:pPr>
                  <w:r>
                    <w:t xml:space="preserve">0.35</w:t>
                  </w:r>
                </w:p>
              </w:tc>
            </w:tr>
            <w:tr>
              <w:tc>
                <w:tcPr/>
                <w:p>
                  <w:pPr>
                    <w:pStyle w:val="Compact"/>
                    <w:jc w:val="left"/>
                    <w:jc w:val="center"/>
                  </w:pPr>
                  <w:r>
                    <w:t xml:space="preserve">83</w:t>
                  </w:r>
                </w:p>
              </w:tc>
              <w:tc>
                <w:tcPr/>
                <w:p>
                  <w:pPr>
                    <w:pStyle w:val="Compact"/>
                    <w:jc w:val="left"/>
                    <w:jc w:val="center"/>
                  </w:pPr>
                  <w:r>
                    <w:t xml:space="preserve">Vic/11</w:t>
                  </w:r>
                </w:p>
              </w:tc>
              <w:tc>
                <w:tcPr/>
                <w:p>
                  <w:pPr>
                    <w:pStyle w:val="Compact"/>
                    <w:jc w:val="right"/>
                    <w:jc w:val="center"/>
                  </w:pPr>
                  <w:r>
                    <w:t xml:space="preserve">2560</w:t>
                  </w:r>
                </w:p>
              </w:tc>
              <w:tc>
                <w:tcPr/>
                <w:p>
                  <w:pPr>
                    <w:pStyle w:val="Compact"/>
                    <w:jc w:val="right"/>
                    <w:jc w:val="center"/>
                  </w:pPr>
                  <w:r>
                    <w:t xml:space="preserve">0.70</w:t>
                  </w:r>
                </w:p>
              </w:tc>
            </w:tr>
            <w:tr>
              <w:tc>
                <w:tcPr/>
                <w:p>
                  <w:pPr>
                    <w:pStyle w:val="Compact"/>
                    <w:jc w:val="left"/>
                    <w:jc w:val="center"/>
                  </w:pPr>
                  <w:r>
                    <w:t xml:space="preserve">83</w:t>
                  </w:r>
                </w:p>
              </w:tc>
              <w:tc>
                <w:tcPr/>
                <w:p>
                  <w:pPr>
                    <w:pStyle w:val="Compact"/>
                    <w:jc w:val="left"/>
                    <w:jc w:val="center"/>
                  </w:pPr>
                  <w:r>
                    <w:t xml:space="preserve">TX/12</w:t>
                  </w:r>
                </w:p>
              </w:tc>
              <w:tc>
                <w:tcPr/>
                <w:p>
                  <w:pPr>
                    <w:pStyle w:val="Compact"/>
                    <w:jc w:val="right"/>
                    <w:jc w:val="center"/>
                  </w:pPr>
                  <w:r>
                    <w:t xml:space="preserve">2560</w:t>
                  </w:r>
                </w:p>
              </w:tc>
              <w:tc>
                <w:tcPr/>
                <w:p>
                  <w:pPr>
                    <w:pStyle w:val="Compact"/>
                    <w:jc w:val="right"/>
                    <w:jc w:val="center"/>
                  </w:pPr>
                  <w:r>
                    <w:t xml:space="preserve">0.87</w:t>
                  </w:r>
                </w:p>
              </w:tc>
            </w:tr>
            <w:tr>
              <w:tc>
                <w:tcPr/>
                <w:p>
                  <w:pPr>
                    <w:pStyle w:val="Compact"/>
                    <w:jc w:val="left"/>
                    <w:jc w:val="center"/>
                  </w:pPr>
                  <w:r>
                    <w:t xml:space="preserve">83</w:t>
                  </w:r>
                </w:p>
              </w:tc>
              <w:tc>
                <w:tcPr/>
                <w:p>
                  <w:pPr>
                    <w:pStyle w:val="Compact"/>
                    <w:jc w:val="left"/>
                    <w:jc w:val="center"/>
                  </w:pPr>
                  <w:r>
                    <w:t xml:space="preserve">Switz/13</w:t>
                  </w:r>
                </w:p>
              </w:tc>
              <w:tc>
                <w:tcPr/>
                <w:p>
                  <w:pPr>
                    <w:pStyle w:val="Compact"/>
                    <w:jc w:val="right"/>
                    <w:jc w:val="center"/>
                  </w:pPr>
                  <w:r>
                    <w:t xml:space="preserve">2560</w:t>
                  </w:r>
                </w:p>
              </w:tc>
              <w:tc>
                <w:tcPr/>
                <w:p>
                  <w:pPr>
                    <w:pStyle w:val="Compact"/>
                    <w:jc w:val="right"/>
                    <w:jc w:val="center"/>
                  </w:pPr>
                  <w:r>
                    <w:t xml:space="preserve">0.88</w:t>
                  </w:r>
                </w:p>
              </w:tc>
            </w:tr>
            <w:tr>
              <w:tc>
                <w:tcPr/>
                <w:p>
                  <w:pPr>
                    <w:pStyle w:val="Compact"/>
                    <w:jc w:val="left"/>
                    <w:jc w:val="center"/>
                  </w:pPr>
                  <w:r>
                    <w:t xml:space="preserve">83</w:t>
                  </w:r>
                </w:p>
              </w:tc>
              <w:tc>
                <w:tcPr/>
                <w:p>
                  <w:pPr>
                    <w:pStyle w:val="Compact"/>
                    <w:jc w:val="left"/>
                    <w:jc w:val="center"/>
                  </w:pPr>
                  <w:r>
                    <w:t xml:space="preserve">HK/14</w:t>
                  </w:r>
                </w:p>
              </w:tc>
              <w:tc>
                <w:tcPr/>
                <w:p>
                  <w:pPr>
                    <w:pStyle w:val="Compact"/>
                    <w:jc w:val="right"/>
                    <w:jc w:val="center"/>
                  </w:pPr>
                  <w:r>
                    <w:t xml:space="preserve">1280</w:t>
                  </w:r>
                </w:p>
              </w:tc>
              <w:tc>
                <w:tcPr/>
                <w:p>
                  <w:pPr>
                    <w:pStyle w:val="Compact"/>
                    <w:jc w:val="right"/>
                    <w:jc w:val="center"/>
                  </w:pPr>
                  <w:r>
                    <w:t xml:space="preserve">0.00</w:t>
                  </w:r>
                </w:p>
              </w:tc>
            </w:tr>
          </w:tbl>
          <w:bookmarkEnd w:id="21"/>
          <w:p/>
        </w:tc>
      </w:tr>
    </w:tbl>
    <w:p>
      <w:pPr>
        <w:pStyle w:val="BodyText"/>
      </w:pPr>
      <w:hyperlink w:anchor="tbl-ex-process">
        <w:r>
          <w:rPr>
            <w:rStyle w:val="Hyperlink"/>
          </w:rPr>
          <w:t xml:space="preserve">Table 2</w:t>
        </w:r>
      </w:hyperlink>
      <w:r>
        <w:t xml:space="preserve"> </w:t>
      </w:r>
      <w:r>
        <w:t xml:space="preserve">shows the same example data after processing.</w:t>
      </w:r>
    </w:p>
    <w:p>
      <w:pPr>
        <w:pStyle w:val="BodyText"/>
      </w:pPr>
      <w:r>
        <w:t xml:space="preserve">We also recommend visualizing the data before proceeding to ensure there are no issues. Since the HAI titers are integer-valued, we apply a small amount of random jitter to the data before plotting</w:t>
      </w:r>
      <w:r>
        <w:rPr>
          <w:rStyle w:val="FootnoteReference"/>
        </w:rPr>
        <w:footnoteReference w:id="22"/>
      </w:r>
      <w:r>
        <w:t xml:space="preserve">.</w:t>
      </w:r>
    </w:p>
    <w:p>
      <w:pPr>
        <w:pStyle w:val="BodyText"/>
      </w:pPr>
      <w:r>
        <w:t xml:space="preserve">As you can see in</w:t>
      </w:r>
      <w:r>
        <w:t xml:space="preserve"> </w:t>
      </w:r>
      <w:hyperlink w:anchor="fig-all-ls">
        <w:r>
          <w:rPr>
            <w:rStyle w:val="Hyperlink"/>
          </w:rPr>
          <w:t xml:space="preserve">Figure 1</w:t>
        </w:r>
      </w:hyperlink>
      <w:r>
        <w:t xml:space="preserve">, the individual landscapes are extremely messy. This is due in part to the inherent measurement error in HAI titers, along with the variance induced by strain-specific effects (i.e. some strains tend to work better with HAI than others, regardless of how many antibodies are in the serum sample). The messy appearance of these individual landscapes</w:t>
      </w:r>
      <w:r>
        <w:t xml:space="preserve"> </w:t>
      </w:r>
      <w:r>
        <w:rPr>
          <w:b/>
          <w:bCs/>
        </w:rPr>
        <w:t xml:space="preserve">is to be expected.</w:t>
      </w:r>
      <w:r>
        <w:t xml:space="preserve"> </w:t>
      </w:r>
      <w:r>
        <w:t xml:space="preserve">That is why we need to fit a summary curve.</w:t>
      </w:r>
    </w:p>
    <w:tbl>
      <w:tblPr>
        <w:tblStyle w:val="Table"/>
        <w:tblW w:type="pct" w:w="5000"/>
        <w:tblLayout w:type="fixed"/>
        <w:tblLook w:firstRow="0" w:lastRow="0" w:firstColumn="0" w:lastColumn="0" w:noHBand="0" w:noVBand="0" w:val="0000"/>
      </w:tblPr>
      <w:tblGrid>
        <w:gridCol w:w="7920"/>
      </w:tblGrid>
      <w:tr>
        <w:tc>
          <w:tcPr/>
          <w:bookmarkStart w:id="23" w:name="tbl-ex-process"/>
          <w:p>
            <w:pPr>
              <w:jc w:val="center"/>
            </w:pPr>
            <w:pPr>
              <w:jc w:val="start"/>
              <w:spacing w:before="200"/>
              <w:pStyle w:val="ImageCaption"/>
            </w:pPr>
            <w:r>
              <w:t xml:space="preserve">Table 2: Example pre-processed dataset for analysis.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ID</w:t>
                  </w:r>
                </w:p>
              </w:tc>
              <w:tc>
                <w:tcPr/>
                <w:p>
                  <w:pPr>
                    <w:pStyle w:val="Compact"/>
                    <w:jc w:val="left"/>
                    <w:jc w:val="center"/>
                  </w:pPr>
                  <w:r>
                    <w:t xml:space="preserve">Assay Strain</w:t>
                  </w:r>
                </w:p>
              </w:tc>
              <w:tc>
                <w:tcPr/>
                <w:p>
                  <w:pPr>
                    <w:pStyle w:val="Compact"/>
                    <w:jc w:val="right"/>
                    <w:jc w:val="center"/>
                  </w:pPr>
                  <w:r>
                    <w:t xml:space="preserve">Post-vac HAI</w:t>
                  </w:r>
                </w:p>
              </w:tc>
              <w:tc>
                <w:tcPr/>
                <w:p>
                  <w:pPr>
                    <w:pStyle w:val="Compact"/>
                    <w:jc w:val="right"/>
                    <w:jc w:val="center"/>
                  </w:pPr>
                  <w:r>
                    <w:t xml:space="preserve">Ag Distance</w:t>
                  </w:r>
                </w:p>
              </w:tc>
            </w:tr>
            <w:tr>
              <w:tc>
                <w:tcPr/>
                <w:p>
                  <w:pPr>
                    <w:pStyle w:val="Compact"/>
                    <w:jc w:val="left"/>
                    <w:jc w:val="center"/>
                  </w:pPr>
                  <w:r>
                    <w:t xml:space="preserve">01</w:t>
                  </w:r>
                </w:p>
              </w:tc>
              <w:tc>
                <w:tcPr/>
                <w:p>
                  <w:pPr>
                    <w:pStyle w:val="Compact"/>
                    <w:jc w:val="left"/>
                    <w:jc w:val="center"/>
                  </w:pPr>
                  <w:r>
                    <w:t xml:space="preserve">HK/68</w:t>
                  </w:r>
                </w:p>
              </w:tc>
              <w:tc>
                <w:tcPr/>
                <w:p>
                  <w:pPr>
                    <w:pStyle w:val="Compact"/>
                    <w:jc w:val="right"/>
                    <w:jc w:val="center"/>
                  </w:pPr>
                  <w:r>
                    <w:t xml:space="preserve">0</w:t>
                  </w:r>
                </w:p>
              </w:tc>
              <w:tc>
                <w:tcPr/>
                <w:p>
                  <w:pPr>
                    <w:pStyle w:val="Compact"/>
                    <w:jc w:val="right"/>
                    <w:jc w:val="center"/>
                  </w:pPr>
                  <w:r>
                    <w:t xml:space="preserve">0.85</w:t>
                  </w:r>
                </w:p>
              </w:tc>
            </w:tr>
            <w:tr>
              <w:tc>
                <w:tcPr/>
                <w:p>
                  <w:pPr>
                    <w:pStyle w:val="Compact"/>
                    <w:jc w:val="left"/>
                    <w:jc w:val="center"/>
                  </w:pPr>
                  <w:r>
                    <w:t xml:space="preserve">01</w:t>
                  </w:r>
                </w:p>
              </w:tc>
              <w:tc>
                <w:tcPr/>
                <w:p>
                  <w:pPr>
                    <w:pStyle w:val="Compact"/>
                    <w:jc w:val="left"/>
                    <w:jc w:val="center"/>
                  </w:pPr>
                  <w:r>
                    <w:t xml:space="preserve">PC/73</w:t>
                  </w:r>
                </w:p>
              </w:tc>
              <w:tc>
                <w:tcPr/>
                <w:p>
                  <w:pPr>
                    <w:pStyle w:val="Compact"/>
                    <w:jc w:val="right"/>
                    <w:jc w:val="center"/>
                  </w:pPr>
                  <w:r>
                    <w:t xml:space="preserve">0</w:t>
                  </w:r>
                </w:p>
              </w:tc>
              <w:tc>
                <w:tcPr/>
                <w:p>
                  <w:pPr>
                    <w:pStyle w:val="Compact"/>
                    <w:jc w:val="right"/>
                    <w:jc w:val="center"/>
                  </w:pPr>
                  <w:r>
                    <w:t xml:space="preserve">0.99</w:t>
                  </w:r>
                </w:p>
              </w:tc>
            </w:tr>
            <w:tr>
              <w:tc>
                <w:tcPr/>
                <w:p>
                  <w:pPr>
                    <w:pStyle w:val="Compact"/>
                    <w:jc w:val="left"/>
                    <w:jc w:val="center"/>
                  </w:pPr>
                  <w:r>
                    <w:t xml:space="preserve">01</w:t>
                  </w:r>
                </w:p>
              </w:tc>
              <w:tc>
                <w:tcPr/>
                <w:p>
                  <w:pPr>
                    <w:pStyle w:val="Compact"/>
                    <w:jc w:val="left"/>
                    <w:jc w:val="center"/>
                  </w:pPr>
                  <w:r>
                    <w:t xml:space="preserve">TX/77</w:t>
                  </w:r>
                </w:p>
              </w:tc>
              <w:tc>
                <w:tcPr/>
                <w:p>
                  <w:pPr>
                    <w:pStyle w:val="Compact"/>
                    <w:jc w:val="right"/>
                    <w:jc w:val="center"/>
                  </w:pPr>
                  <w:r>
                    <w:t xml:space="preserve">0</w:t>
                  </w:r>
                </w:p>
              </w:tc>
              <w:tc>
                <w:tcPr/>
                <w:p>
                  <w:pPr>
                    <w:pStyle w:val="Compact"/>
                    <w:jc w:val="right"/>
                    <w:jc w:val="center"/>
                  </w:pPr>
                  <w:r>
                    <w:t xml:space="preserve">1.00</w:t>
                  </w:r>
                </w:p>
              </w:tc>
            </w:tr>
            <w:tr>
              <w:tc>
                <w:tcPr/>
                <w:p>
                  <w:pPr>
                    <w:pStyle w:val="Compact"/>
                    <w:jc w:val="left"/>
                    <w:jc w:val="center"/>
                  </w:pPr>
                  <w:r>
                    <w:t xml:space="preserve">01</w:t>
                  </w:r>
                </w:p>
              </w:tc>
              <w:tc>
                <w:tcPr/>
                <w:p>
                  <w:pPr>
                    <w:pStyle w:val="Compact"/>
                    <w:jc w:val="left"/>
                    <w:jc w:val="center"/>
                  </w:pPr>
                  <w:r>
                    <w:t xml:space="preserve">MI/85</w:t>
                  </w:r>
                </w:p>
              </w:tc>
              <w:tc>
                <w:tcPr/>
                <w:p>
                  <w:pPr>
                    <w:pStyle w:val="Compact"/>
                    <w:jc w:val="right"/>
                    <w:jc w:val="center"/>
                  </w:pPr>
                  <w:r>
                    <w:t xml:space="preserve">0</w:t>
                  </w:r>
                </w:p>
              </w:tc>
              <w:tc>
                <w:tcPr/>
                <w:p>
                  <w:pPr>
                    <w:pStyle w:val="Compact"/>
                    <w:jc w:val="right"/>
                    <w:jc w:val="center"/>
                  </w:pPr>
                  <w:r>
                    <w:t xml:space="preserve">0.76</w:t>
                  </w:r>
                </w:p>
              </w:tc>
            </w:tr>
            <w:tr>
              <w:tc>
                <w:tcPr/>
                <w:p>
                  <w:pPr>
                    <w:pStyle w:val="Compact"/>
                    <w:jc w:val="left"/>
                    <w:jc w:val="center"/>
                  </w:pPr>
                  <w:r>
                    <w:t xml:space="preserve">01</w:t>
                  </w:r>
                </w:p>
              </w:tc>
              <w:tc>
                <w:tcPr/>
                <w:p>
                  <w:pPr>
                    <w:pStyle w:val="Compact"/>
                    <w:jc w:val="left"/>
                    <w:jc w:val="center"/>
                  </w:pPr>
                  <w:r>
                    <w:t xml:space="preserve">Sich/87</w:t>
                  </w:r>
                </w:p>
              </w:tc>
              <w:tc>
                <w:tcPr/>
                <w:p>
                  <w:pPr>
                    <w:pStyle w:val="Compact"/>
                    <w:jc w:val="right"/>
                    <w:jc w:val="center"/>
                  </w:pPr>
                  <w:r>
                    <w:t xml:space="preserve">2</w:t>
                  </w:r>
                </w:p>
              </w:tc>
              <w:tc>
                <w:tcPr/>
                <w:p>
                  <w:pPr>
                    <w:pStyle w:val="Compact"/>
                    <w:jc w:val="right"/>
                    <w:jc w:val="center"/>
                  </w:pPr>
                  <w:r>
                    <w:t xml:space="preserve">0.74</w:t>
                  </w:r>
                </w:p>
              </w:tc>
            </w:tr>
            <w:tr>
              <w:tc>
                <w:tcPr/>
                <w:p>
                  <w:pPr>
                    <w:pStyle w:val="Compact"/>
                    <w:jc w:val="left"/>
                    <w:jc w:val="center"/>
                  </w:pPr>
                  <w:r>
                    <w:t xml:space="preserve">01</w:t>
                  </w:r>
                </w:p>
              </w:tc>
              <w:tc>
                <w:tcPr/>
                <w:p>
                  <w:pPr>
                    <w:pStyle w:val="Compact"/>
                    <w:jc w:val="left"/>
                    <w:jc w:val="center"/>
                  </w:pPr>
                  <w:r>
                    <w:t xml:space="preserve">Shan/93</w:t>
                  </w:r>
                </w:p>
              </w:tc>
              <w:tc>
                <w:tcPr/>
                <w:p>
                  <w:pPr>
                    <w:pStyle w:val="Compact"/>
                    <w:jc w:val="right"/>
                    <w:jc w:val="center"/>
                  </w:pPr>
                  <w:r>
                    <w:t xml:space="preserve">3</w:t>
                  </w:r>
                </w:p>
              </w:tc>
              <w:tc>
                <w:tcPr/>
                <w:p>
                  <w:pPr>
                    <w:pStyle w:val="Compact"/>
                    <w:jc w:val="right"/>
                    <w:jc w:val="center"/>
                  </w:pPr>
                  <w:r>
                    <w:t xml:space="preserve">0.72</w:t>
                  </w:r>
                </w:p>
              </w:tc>
            </w:tr>
            <w:tr>
              <w:tc>
                <w:tcPr/>
                <w:p>
                  <w:pPr>
                    <w:pStyle w:val="Compact"/>
                    <w:jc w:val="left"/>
                    <w:jc w:val="center"/>
                  </w:pPr>
                  <m:oMath>
                    <m:r>
                      <m:t> </m:t>
                    </m:r>
                    <m:r>
                      <m:rPr>
                        <m:sty m:val="p"/>
                      </m:rPr>
                      <m:t>⋮</m:t>
                    </m:r>
                  </m:oMath>
                </w:p>
              </w:tc>
              <w:tc>
                <w:tcPr/>
                <w:p>
                  <w:pPr>
                    <w:pStyle w:val="Compact"/>
                  </w:pPr>
                </w:p>
              </w:tc>
              <w:tc>
                <w:tcPr/>
                <w:p>
                  <w:pPr>
                    <w:pStyle w:val="Compact"/>
                  </w:pPr>
                </w:p>
              </w:tc>
              <w:tc>
                <w:tcPr/>
                <w:p>
                  <w:pPr>
                    <w:pStyle w:val="Compact"/>
                  </w:pPr>
                </w:p>
              </w:tc>
            </w:tr>
            <w:tr>
              <w:tc>
                <w:tcPr/>
                <w:p>
                  <w:pPr>
                    <w:pStyle w:val="Compact"/>
                    <w:jc w:val="left"/>
                    <w:jc w:val="center"/>
                  </w:pPr>
                  <w:r>
                    <w:t xml:space="preserve">83</w:t>
                  </w:r>
                </w:p>
              </w:tc>
              <w:tc>
                <w:tcPr/>
                <w:p>
                  <w:pPr>
                    <w:pStyle w:val="Compact"/>
                    <w:jc w:val="left"/>
                    <w:jc w:val="center"/>
                  </w:pPr>
                  <w:r>
                    <w:t xml:space="preserve">Uru/07</w:t>
                  </w:r>
                </w:p>
              </w:tc>
              <w:tc>
                <w:tcPr/>
                <w:p>
                  <w:pPr>
                    <w:pStyle w:val="Compact"/>
                    <w:jc w:val="right"/>
                    <w:jc w:val="center"/>
                  </w:pPr>
                  <w:r>
                    <w:t xml:space="preserve">8</w:t>
                  </w:r>
                </w:p>
              </w:tc>
              <w:tc>
                <w:tcPr/>
                <w:p>
                  <w:pPr>
                    <w:pStyle w:val="Compact"/>
                    <w:jc w:val="right"/>
                    <w:jc w:val="center"/>
                  </w:pPr>
                  <w:r>
                    <w:t xml:space="preserve">0.08</w:t>
                  </w:r>
                </w:p>
              </w:tc>
            </w:tr>
            <w:tr>
              <w:tc>
                <w:tcPr/>
                <w:p>
                  <w:pPr>
                    <w:pStyle w:val="Compact"/>
                    <w:jc w:val="left"/>
                    <w:jc w:val="center"/>
                  </w:pPr>
                  <w:r>
                    <w:t xml:space="preserve">83</w:t>
                  </w:r>
                </w:p>
              </w:tc>
              <w:tc>
                <w:tcPr/>
                <w:p>
                  <w:pPr>
                    <w:pStyle w:val="Compact"/>
                    <w:jc w:val="left"/>
                    <w:jc w:val="center"/>
                  </w:pPr>
                  <w:r>
                    <w:t xml:space="preserve">Per/09</w:t>
                  </w:r>
                </w:p>
              </w:tc>
              <w:tc>
                <w:tcPr/>
                <w:p>
                  <w:pPr>
                    <w:pStyle w:val="Compact"/>
                    <w:jc w:val="right"/>
                    <w:jc w:val="center"/>
                  </w:pPr>
                  <w:r>
                    <w:t xml:space="preserve">9</w:t>
                  </w:r>
                </w:p>
              </w:tc>
              <w:tc>
                <w:tcPr/>
                <w:p>
                  <w:pPr>
                    <w:pStyle w:val="Compact"/>
                    <w:jc w:val="right"/>
                    <w:jc w:val="center"/>
                  </w:pPr>
                  <w:r>
                    <w:t xml:space="preserve">0.06</w:t>
                  </w:r>
                </w:p>
              </w:tc>
            </w:tr>
            <w:tr>
              <w:tc>
                <w:tcPr/>
                <w:p>
                  <w:pPr>
                    <w:pStyle w:val="Compact"/>
                    <w:jc w:val="left"/>
                    <w:jc w:val="center"/>
                  </w:pPr>
                  <w:r>
                    <w:t xml:space="preserve">83</w:t>
                  </w:r>
                </w:p>
              </w:tc>
              <w:tc>
                <w:tcPr/>
                <w:p>
                  <w:pPr>
                    <w:pStyle w:val="Compact"/>
                    <w:jc w:val="left"/>
                    <w:jc w:val="center"/>
                  </w:pPr>
                  <w:r>
                    <w:t xml:space="preserve">Vic/11</w:t>
                  </w:r>
                </w:p>
              </w:tc>
              <w:tc>
                <w:tcPr/>
                <w:p>
                  <w:pPr>
                    <w:pStyle w:val="Compact"/>
                    <w:jc w:val="right"/>
                    <w:jc w:val="center"/>
                  </w:pPr>
                  <w:r>
                    <w:t xml:space="preserve">9</w:t>
                  </w:r>
                </w:p>
              </w:tc>
              <w:tc>
                <w:tcPr/>
                <w:p>
                  <w:pPr>
                    <w:pStyle w:val="Compact"/>
                    <w:jc w:val="right"/>
                    <w:jc w:val="center"/>
                  </w:pPr>
                  <w:r>
                    <w:t xml:space="preserve">0.11</w:t>
                  </w:r>
                </w:p>
              </w:tc>
            </w:tr>
            <w:tr>
              <w:tc>
                <w:tcPr/>
                <w:p>
                  <w:pPr>
                    <w:pStyle w:val="Compact"/>
                    <w:jc w:val="left"/>
                    <w:jc w:val="center"/>
                  </w:pPr>
                  <w:r>
                    <w:t xml:space="preserve">83</w:t>
                  </w:r>
                </w:p>
              </w:tc>
              <w:tc>
                <w:tcPr/>
                <w:p>
                  <w:pPr>
                    <w:pStyle w:val="Compact"/>
                    <w:jc w:val="left"/>
                    <w:jc w:val="center"/>
                  </w:pPr>
                  <w:r>
                    <w:t xml:space="preserve">TX/12</w:t>
                  </w:r>
                </w:p>
              </w:tc>
              <w:tc>
                <w:tcPr/>
                <w:p>
                  <w:pPr>
                    <w:pStyle w:val="Compact"/>
                    <w:jc w:val="right"/>
                    <w:jc w:val="center"/>
                  </w:pPr>
                  <w:r>
                    <w:t xml:space="preserve">9</w:t>
                  </w:r>
                </w:p>
              </w:tc>
              <w:tc>
                <w:tcPr/>
                <w:p>
                  <w:pPr>
                    <w:pStyle w:val="Compact"/>
                    <w:jc w:val="right"/>
                    <w:jc w:val="center"/>
                  </w:pPr>
                  <w:r>
                    <w:t xml:space="preserve">0.14</w:t>
                  </w:r>
                </w:p>
              </w:tc>
            </w:tr>
            <w:tr>
              <w:tc>
                <w:tcPr/>
                <w:p>
                  <w:pPr>
                    <w:pStyle w:val="Compact"/>
                    <w:jc w:val="left"/>
                    <w:jc w:val="center"/>
                  </w:pPr>
                  <w:r>
                    <w:t xml:space="preserve">83</w:t>
                  </w:r>
                </w:p>
              </w:tc>
              <w:tc>
                <w:tcPr/>
                <w:p>
                  <w:pPr>
                    <w:pStyle w:val="Compact"/>
                    <w:jc w:val="left"/>
                    <w:jc w:val="center"/>
                  </w:pPr>
                  <w:r>
                    <w:t xml:space="preserve">Switz/13</w:t>
                  </w:r>
                </w:p>
              </w:tc>
              <w:tc>
                <w:tcPr/>
                <w:p>
                  <w:pPr>
                    <w:pStyle w:val="Compact"/>
                    <w:jc w:val="right"/>
                    <w:jc w:val="center"/>
                  </w:pPr>
                  <w:r>
                    <w:t xml:space="preserve">9</w:t>
                  </w:r>
                </w:p>
              </w:tc>
              <w:tc>
                <w:tcPr/>
                <w:p>
                  <w:pPr>
                    <w:pStyle w:val="Compact"/>
                    <w:jc w:val="right"/>
                    <w:jc w:val="center"/>
                  </w:pPr>
                  <w:r>
                    <w:t xml:space="preserve">0.14</w:t>
                  </w:r>
                </w:p>
              </w:tc>
            </w:tr>
            <w:tr>
              <w:tc>
                <w:tcPr/>
                <w:p>
                  <w:pPr>
                    <w:pStyle w:val="Compact"/>
                    <w:jc w:val="left"/>
                    <w:jc w:val="center"/>
                  </w:pPr>
                  <w:r>
                    <w:t xml:space="preserve">83</w:t>
                  </w:r>
                </w:p>
              </w:tc>
              <w:tc>
                <w:tcPr/>
                <w:p>
                  <w:pPr>
                    <w:pStyle w:val="Compact"/>
                    <w:jc w:val="left"/>
                    <w:jc w:val="center"/>
                  </w:pPr>
                  <w:r>
                    <w:t xml:space="preserve">HK/14</w:t>
                  </w:r>
                </w:p>
              </w:tc>
              <w:tc>
                <w:tcPr/>
                <w:p>
                  <w:pPr>
                    <w:pStyle w:val="Compact"/>
                    <w:jc w:val="right"/>
                    <w:jc w:val="center"/>
                  </w:pPr>
                  <w:r>
                    <w:t xml:space="preserve">8</w:t>
                  </w:r>
                </w:p>
              </w:tc>
              <w:tc>
                <w:tcPr/>
                <w:p>
                  <w:pPr>
                    <w:pStyle w:val="Compact"/>
                    <w:jc w:val="right"/>
                    <w:jc w:val="center"/>
                  </w:pPr>
                  <w:r>
                    <w:t xml:space="preserve">0.00</w:t>
                  </w:r>
                </w:p>
              </w:tc>
            </w:tr>
          </w:tbl>
          <w:bookmarkEnd w:id="23"/>
          <w:p/>
        </w:tc>
      </w:tr>
    </w:tbl>
    <w:bookmarkEnd w:id="24"/>
    <w:bookmarkStart w:id="36" w:name="coding-censored-data"/>
    <w:p>
      <w:pPr>
        <w:pStyle w:val="Heading1"/>
      </w:pPr>
      <w:r>
        <w:t xml:space="preserve">Coding censored data</w:t>
      </w:r>
    </w:p>
    <w:p>
      <w:pPr>
        <w:pStyle w:val="FirstParagraph"/>
      </w:pPr>
      <w:r>
        <w:t xml:space="preserve">We still have one more essential data cleaning step, however. We will fit all of our Bayesian models using the accessible and performant</w:t>
      </w:r>
      <w:r>
        <w:t xml:space="preserve"> </w:t>
      </w:r>
      <w:r>
        <w:rPr>
          <w:rStyle w:val="VerbatimChar"/>
        </w:rPr>
        <w:t xml:space="preserve">brms</w:t>
      </w:r>
      <w:r>
        <w:t xml:space="preserve"> </w:t>
      </w:r>
      <w:r>
        <w:t xml:space="preserve">package. However,</w:t>
      </w:r>
      <w:r>
        <w:t xml:space="preserve"> </w:t>
      </w:r>
      <w:r>
        <w:rPr>
          <w:rStyle w:val="VerbatimChar"/>
        </w:rPr>
        <w:t xml:space="preserve">brms</w:t>
      </w:r>
      <w:r>
        <w:t xml:space="preserve"> </w:t>
      </w:r>
      <w:r>
        <w:t xml:space="preserve">requires us to code our censored outcome in a specific way, which is documented in the</w:t>
      </w:r>
      <w:r>
        <w:t xml:space="preserve"> </w:t>
      </w:r>
      <w:hyperlink r:id="rId25">
        <w:r>
          <w:rPr>
            <w:rStyle w:val="VerbatimChar"/>
          </w:rPr>
          <w:t xml:space="preserve">brmsformula</w:t>
        </w:r>
        <w:r>
          <w:rPr>
            <w:rStyle w:val="Hyperlink"/>
          </w:rPr>
          <w:t xml:space="preserve"> </w:t>
        </w:r>
        <w:r>
          <w:rPr>
            <w:rStyle w:val="Hyperlink"/>
          </w:rPr>
          <w:t xml:space="preserve">information</w:t>
        </w:r>
      </w:hyperlink>
      <w:r>
        <w:t xml:space="preserve">.</w:t>
      </w:r>
    </w:p>
    <w:p>
      <w:pPr>
        <w:pStyle w:val="BodyText"/>
      </w:pPr>
      <w:r>
        <w:t xml:space="preserve">We know that our HAI data has both left-censored and interval-censored values, and no completely observed (un-censored).</w:t>
      </w:r>
      <w:r>
        <w:t xml:space="preserve"> </w:t>
      </w:r>
      <w:hyperlink w:anchor="fig-censoring-mechanism">
        <w:r>
          <w:rPr>
            <w:rStyle w:val="Hyperlink"/>
          </w:rPr>
          <w:t xml:space="preserve">Figure 2</w:t>
        </w:r>
      </w:hyperlink>
      <w:r>
        <w:t xml:space="preserve"> </w:t>
      </w:r>
      <w:r>
        <w:t xml:space="preserve">shows an example of the censoring mechanism for HAI. Other immunological assays will have different mechanisms for censoring, so this particular step only applies to HAI.</w:t>
      </w:r>
    </w:p>
    <w:tbl>
      <w:tblPr>
        <w:tblStyle w:val="Table"/>
        <w:tblW w:type="pct" w:w="5000"/>
        <w:tblLayout w:type="fixed"/>
        <w:tblLook w:firstRow="0" w:lastRow="0" w:firstColumn="0" w:lastColumn="0" w:noHBand="0" w:noVBand="0" w:val="0000"/>
      </w:tblPr>
      <w:tblGrid>
        <w:gridCol w:w="7920"/>
      </w:tblGrid>
      <w:tr>
        <w:tc>
          <w:tcPr/>
          <w:bookmarkStart w:id="29" w:name="fig-all-ls"/>
          <w:p>
            <w:pPr>
              <w:pStyle w:val="Compact"/>
              <w:jc w:val="center"/>
            </w:pPr>
            <w:r>
              <w:drawing>
                <wp:inline>
                  <wp:extent cx="4620126" cy="3696101"/>
                  <wp:effectExtent b="0" l="0" r="0" t="0"/>
                  <wp:docPr descr="" title="" id="27" name="Picture"/>
                  <a:graphic>
                    <a:graphicData uri="http://schemas.openxmlformats.org/drawingml/2006/picture">
                      <pic:pic>
                        <pic:nvPicPr>
                          <pic:cNvPr descr="Methods_files/figure-docx/fig-all-l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Transformed titer vs. normalized antigenic distance. Each point represents one HAI titer measurement and each line connects all of the measurements for a particular subject.</w:t>
            </w:r>
          </w:p>
          <w:bookmarkEnd w:id="29"/>
        </w:tc>
      </w:tr>
    </w:tbl>
    <w:tbl>
      <w:tblPr>
        <w:tblStyle w:val="Table"/>
        <w:tblW w:type="pct" w:w="5000"/>
        <w:tblLayout w:type="fixed"/>
        <w:tblLook w:firstRow="0" w:lastRow="0" w:firstColumn="0" w:lastColumn="0" w:noHBand="0" w:noVBand="0" w:val="0000"/>
      </w:tblPr>
      <w:tblGrid>
        <w:gridCol w:w="7920"/>
      </w:tblGrid>
      <w:tr>
        <w:tc>
          <w:tcPr/>
          <w:bookmarkStart w:id="33" w:name="fig-censoring-mechanism"/>
          <w:p>
            <w:pPr>
              <w:pStyle w:val="Compact"/>
              <w:jc w:val="center"/>
            </w:pPr>
            <w:r>
              <w:drawing>
                <wp:inline>
                  <wp:extent cx="5943600" cy="2357377"/>
                  <wp:effectExtent b="0" l="0" r="0" t="0"/>
                  <wp:docPr descr="" title="" id="31" name="Picture"/>
                  <a:graphic>
                    <a:graphicData uri="http://schemas.openxmlformats.org/drawingml/2006/picture">
                      <pic:pic>
                        <pic:nvPicPr>
                          <pic:cNvPr descr="H:/research/billings-breadth-quantification-project/Products/Methods-Doc/censoring_optimized.png" id="32" name="Picture"/>
                          <pic:cNvPicPr>
                            <a:picLocks noChangeArrowheads="1" noChangeAspect="1"/>
                          </pic:cNvPicPr>
                        </pic:nvPicPr>
                        <pic:blipFill>
                          <a:blip r:embed="rId30"/>
                          <a:stretch>
                            <a:fillRect/>
                          </a:stretch>
                        </pic:blipFill>
                        <pic:spPr bwMode="auto">
                          <a:xfrm>
                            <a:off x="0" y="0"/>
                            <a:ext cx="5943600" cy="235737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Censoring mechanisms that apply to the latent or underlying continuous titers (left panel) during the measurement process to produce interval censored observations (middle panel), which are binned continuous values, and left censored observations (right panel), which are below the limit of detection.</w:t>
            </w:r>
          </w:p>
          <w:bookmarkEnd w:id="33"/>
        </w:tc>
      </w:tr>
    </w:tbl>
    <w:p>
      <w:pPr>
        <w:pStyle w:val="BodyText"/>
      </w:pPr>
      <w:r>
        <w:t xml:space="preserve">Coding censored data with mixed censoring types in</w:t>
      </w:r>
      <w:r>
        <w:t xml:space="preserve"> </w:t>
      </w:r>
      <w:r>
        <w:rPr>
          <w:rStyle w:val="VerbatimChar"/>
        </w:rPr>
        <w:t xml:space="preserve">brms</w:t>
      </w:r>
      <w:r>
        <w:t xml:space="preserve"> </w:t>
      </w:r>
      <w:r>
        <w:t xml:space="preserve">format is a bit annoying. Instead of having one</w:t>
      </w:r>
      <w:r>
        <w:t xml:space="preserve"> </w:t>
      </w:r>
      <w:r>
        <w:rPr>
          <w:rStyle w:val="VerbatimChar"/>
        </w:rPr>
        <w:t xml:space="preserve">posttiter</w:t>
      </w:r>
      <w:r>
        <w:t xml:space="preserve"> </w:t>
      </w:r>
      <w:r>
        <w:t xml:space="preserve">variable, we need to have three variables in the data which are called</w:t>
      </w:r>
      <w:r>
        <w:t xml:space="preserve"> </w:t>
      </w:r>
      <w:r>
        <w:rPr>
          <w:rStyle w:val="VerbatimChar"/>
        </w:rPr>
        <w:t xml:space="preserve">y</w:t>
      </w:r>
      <w:r>
        <w:t xml:space="preserve">,</w:t>
      </w:r>
      <w:r>
        <w:t xml:space="preserve"> </w:t>
      </w:r>
      <w:r>
        <w:rPr>
          <w:rStyle w:val="VerbatimChar"/>
        </w:rPr>
        <w:t xml:space="preserve">c</w:t>
      </w:r>
      <w:r>
        <w:t xml:space="preserve">, and</w:t>
      </w:r>
      <w:r>
        <w:t xml:space="preserve"> </w:t>
      </w:r>
      <w:r>
        <w:rPr>
          <w:rStyle w:val="VerbatimChar"/>
        </w:rPr>
        <w:t xml:space="preserve">y2</w:t>
      </w:r>
      <w:r>
        <w:t xml:space="preserve"> </w:t>
      </w:r>
      <w:r>
        <w:t xml:space="preserve">in the</w:t>
      </w:r>
      <w:r>
        <w:t xml:space="preserve"> </w:t>
      </w:r>
      <w:r>
        <w:rPr>
          <w:rStyle w:val="VerbatimChar"/>
        </w:rPr>
        <w:t xml:space="preserve">brms</w:t>
      </w:r>
      <w:r>
        <w:t xml:space="preserve"> </w:t>
      </w:r>
      <w:r>
        <w:t xml:space="preserve">documentation. Since the data below the LoD are coded as 0, but the actual LoD is 10 (or 1 in the transformed HAI data), we have to do some cleanup.</w:t>
      </w:r>
    </w:p>
    <w:p>
      <w:pPr>
        <w:pStyle w:val="Compact"/>
        <w:numPr>
          <w:ilvl w:val="0"/>
          <w:numId w:val="1002"/>
        </w:numPr>
      </w:pPr>
      <w:r>
        <w:t xml:space="preserve">The variable</w:t>
      </w:r>
      <w:r>
        <w:t xml:space="preserve"> </w:t>
      </w:r>
      <w:r>
        <w:rPr>
          <w:rStyle w:val="VerbatimChar"/>
        </w:rPr>
        <w:t xml:space="preserve">c</w:t>
      </w:r>
      <w:r>
        <w:t xml:space="preserve"> </w:t>
      </w:r>
      <w:r>
        <w:t xml:space="preserve">is an indicator for the censoring status. We set it to</w:t>
      </w:r>
      <w:r>
        <w:t xml:space="preserve"> </w:t>
      </w:r>
      <w:r>
        <w:rPr>
          <w:rStyle w:val="VerbatimChar"/>
        </w:rPr>
        <w:t xml:space="preserve">left</w:t>
      </w:r>
      <w:r>
        <w:t xml:space="preserve"> </w:t>
      </w:r>
      <w:r>
        <w:t xml:space="preserve">if our value is left censored, which occurs when the posttiter is</w:t>
      </w:r>
      <w:r>
        <w:t xml:space="preserve"> </w:t>
      </w:r>
      <m:oMath>
        <m:r>
          <m:t>0</m:t>
        </m:r>
      </m:oMath>
      <w:r>
        <w:t xml:space="preserve">, and we set it to</w:t>
      </w:r>
      <w:r>
        <w:t xml:space="preserve"> </w:t>
      </w:r>
      <w:r>
        <w:rPr>
          <w:rStyle w:val="VerbatimChar"/>
        </w:rPr>
        <w:t xml:space="preserve">interval</w:t>
      </w:r>
      <w:r>
        <w:t xml:space="preserve"> </w:t>
      </w:r>
      <w:r>
        <w:t xml:space="preserve">otherwise, which is all of our other observations.</w:t>
      </w:r>
    </w:p>
    <w:p>
      <w:pPr>
        <w:pStyle w:val="Compact"/>
        <w:numPr>
          <w:ilvl w:val="0"/>
          <w:numId w:val="1002"/>
        </w:numPr>
      </w:pPr>
      <w:r>
        <w:t xml:space="preserve">The variable</w:t>
      </w:r>
      <w:r>
        <w:t xml:space="preserve"> </w:t>
      </w:r>
      <w:r>
        <w:rPr>
          <w:rStyle w:val="VerbatimChar"/>
        </w:rPr>
        <w:t xml:space="preserve">y</w:t>
      </w:r>
      <w:r>
        <w:t xml:space="preserve"> </w:t>
      </w:r>
      <w:r>
        <w:t xml:space="preserve">should be coded as the lower limit of detection (i.e.,</w:t>
      </w:r>
      <w:r>
        <w:t xml:space="preserve"> </w:t>
      </w:r>
      <m:oMath>
        <m:r>
          <m:t>1</m:t>
        </m:r>
      </m:oMath>
      <w:r>
        <w:t xml:space="preserve"> </w:t>
      </w:r>
      <w:r>
        <w:t xml:space="preserve">on our transformed scale) for left-censored observations, which is easy, because we already did that in the HAI processing transformation. For interval-censored observations,</w:t>
      </w:r>
      <w:r>
        <w:t xml:space="preserve"> </w:t>
      </w:r>
      <w:r>
        <w:rPr>
          <w:rStyle w:val="VerbatimChar"/>
        </w:rPr>
        <w:t xml:space="preserve">y</w:t>
      </w:r>
      <w:r>
        <w:t xml:space="preserve"> </w:t>
      </w:r>
      <w:r>
        <w:t xml:space="preserve">needs to be the lower bound of the interval. Since HAI titers are always rounded down as part of the data generating mechanism, our outcome variable is already correctly coded, so we don’t need to do anything else here.</w:t>
      </w:r>
    </w:p>
    <w:p>
      <w:pPr>
        <w:pStyle w:val="Compact"/>
        <w:numPr>
          <w:ilvl w:val="0"/>
          <w:numId w:val="1002"/>
        </w:numPr>
      </w:pPr>
      <w:r>
        <w:t xml:space="preserve">The variable</w:t>
      </w:r>
      <w:r>
        <w:t xml:space="preserve"> </w:t>
      </w:r>
      <w:r>
        <w:rPr>
          <w:rStyle w:val="VerbatimChar"/>
        </w:rPr>
        <w:t xml:space="preserve">y2</w:t>
      </w:r>
      <w:r>
        <w:t xml:space="preserve"> </w:t>
      </w:r>
      <w:r>
        <w:t xml:space="preserve">represents the upper bound for an interval censored observation, so for left-censored observations it should be the same as</w:t>
      </w:r>
      <w:r>
        <w:t xml:space="preserve"> </w:t>
      </w:r>
      <w:r>
        <w:rPr>
          <w:rStyle w:val="VerbatimChar"/>
        </w:rPr>
        <w:t xml:space="preserve">y</w:t>
      </w:r>
      <w:r>
        <w:t xml:space="preserve">, but for interval-censored observations, it should be</w:t>
      </w:r>
      <w:r>
        <w:t xml:space="preserve"> </w:t>
      </w:r>
      <w:r>
        <w:rPr>
          <w:rStyle w:val="VerbatimChar"/>
        </w:rPr>
        <w:t xml:space="preserve">y + 1</w:t>
      </w:r>
      <w:r>
        <w:t xml:space="preserve">.</w:t>
      </w:r>
    </w:p>
    <w:p>
      <w:pPr>
        <w:pStyle w:val="FirstParagraph"/>
      </w:pPr>
      <w:r>
        <w:t xml:space="preserve">If you use</w:t>
      </w:r>
      <w:r>
        <w:t xml:space="preserve"> </w:t>
      </w:r>
      <w:r>
        <w:rPr>
          <w:rStyle w:val="VerbatimChar"/>
        </w:rPr>
        <w:t xml:space="preserve">R</w:t>
      </w:r>
      <w:r>
        <w:t xml:space="preserve"> </w:t>
      </w:r>
      <w:r>
        <w:t xml:space="preserve">and</w:t>
      </w:r>
      <w:r>
        <w:t xml:space="preserve"> </w:t>
      </w:r>
      <w:r>
        <w:rPr>
          <w:rStyle w:val="VerbatimChar"/>
        </w:rPr>
        <w:t xml:space="preserve">tidyverse</w:t>
      </w:r>
      <w:r>
        <w:t xml:space="preserve">, you can use this code for cleaning up the censored data</w:t>
      </w:r>
      <w:r>
        <w:rPr>
          <w:rStyle w:val="FootnoteReference"/>
        </w:rPr>
        <w:footnoteReference w:id="34"/>
      </w:r>
      <w:r>
        <w:t xml:space="preserve">. In this code,</w:t>
      </w:r>
      <w:r>
        <w:t xml:space="preserve"> </w:t>
      </w:r>
      <w:r>
        <w:rPr>
          <w:rStyle w:val="VerbatimChar"/>
        </w:rPr>
        <w:t xml:space="preserve">titer_data</w:t>
      </w:r>
      <w:r>
        <w:t xml:space="preserve"> </w:t>
      </w:r>
      <w:r>
        <w:t xml:space="preserve">is the dataset shown in</w:t>
      </w:r>
      <w:r>
        <w:t xml:space="preserve"> </w:t>
      </w:r>
      <w:hyperlink w:anchor="tbl-ex-process">
        <w:r>
          <w:rPr>
            <w:rStyle w:val="Hyperlink"/>
          </w:rPr>
          <w:t xml:space="preserve">Table 2</w:t>
        </w:r>
      </w:hyperlink>
      <w:r>
        <w:t xml:space="preserve">, and</w:t>
      </w:r>
      <w:r>
        <w:t xml:space="preserve"> </w:t>
      </w:r>
      <w:r>
        <w:rPr>
          <w:rStyle w:val="VerbatimChar"/>
        </w:rPr>
        <w:t xml:space="preserve">posttiter</w:t>
      </w:r>
      <w:r>
        <w:t xml:space="preserve"> </w:t>
      </w:r>
      <w:r>
        <w:t xml:space="preserve">is the name of the column containing the HAI data.</w:t>
      </w:r>
    </w:p>
    <w:p>
      <w:pPr>
        <w:pStyle w:val="SourceCode"/>
      </w:pPr>
      <w:r>
        <w:rPr>
          <w:rStyle w:val="NormalTok"/>
        </w:rPr>
        <w:t xml:space="preserve">titer_data_cens </w:t>
      </w:r>
      <w:r>
        <w:rPr>
          <w:rStyle w:val="OtherTok"/>
        </w:rPr>
        <w:t xml:space="preserve">&lt;-</w:t>
      </w:r>
      <w:r>
        <w:br/>
      </w:r>
      <w:r>
        <w:rPr>
          <w:rStyle w:val="NormalTok"/>
        </w:rPr>
        <w:t xml:space="preserve">    titer_data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c =</w:t>
      </w:r>
      <w:r>
        <w:rPr>
          <w:rStyle w:val="NormalTok"/>
        </w:rPr>
        <w:t xml:space="preserve"> </w:t>
      </w:r>
      <w:r>
        <w:rPr>
          <w:rStyle w:val="FunctionTok"/>
        </w:rPr>
        <w:t xml:space="preserve">ifelse</w:t>
      </w:r>
      <w:r>
        <w:rPr>
          <w:rStyle w:val="NormalTok"/>
        </w:rPr>
        <w:t xml:space="preserve">(posttiter </w:t>
      </w:r>
      <w:r>
        <w:rPr>
          <w:rStyle w:val="SpecialCharTok"/>
        </w:rPr>
        <w:t xml:space="preserve">==</w:t>
      </w:r>
      <w:r>
        <w:rPr>
          <w:rStyle w:val="NormalTok"/>
        </w:rPr>
        <w:t xml:space="preserve"> </w:t>
      </w:r>
      <w:r>
        <w:rPr>
          <w:rStyle w:val="DecValTok"/>
        </w:rPr>
        <w:t xml:space="preserve">0</w:t>
      </w:r>
      <w:r>
        <w:rPr>
          <w:rStyle w:val="NormalTok"/>
        </w:rPr>
        <w:t xml:space="preserve">, </w:t>
      </w:r>
      <w:r>
        <w:rPr>
          <w:rStyle w:val="StringTok"/>
        </w:rPr>
        <w:t xml:space="preserve">"left"</w:t>
      </w:r>
      <w:r>
        <w:rPr>
          <w:rStyle w:val="NormalTok"/>
        </w:rPr>
        <w:t xml:space="preserve">, </w:t>
      </w:r>
      <w:r>
        <w:rPr>
          <w:rStyle w:val="StringTok"/>
        </w:rPr>
        <w:t xml:space="preserve">"interval"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ifelse</w:t>
      </w:r>
      <w:r>
        <w:rPr>
          <w:rStyle w:val="NormalTok"/>
        </w:rPr>
        <w:t xml:space="preserve">(c </w:t>
      </w:r>
      <w:r>
        <w:rPr>
          <w:rStyle w:val="SpecialCharTok"/>
        </w:rPr>
        <w:t xml:space="preserve">==</w:t>
      </w:r>
      <w:r>
        <w:rPr>
          <w:rStyle w:val="NormalTok"/>
        </w:rPr>
        <w:t xml:space="preserve"> </w:t>
      </w:r>
      <w:r>
        <w:rPr>
          <w:rStyle w:val="StringTok"/>
        </w:rPr>
        <w:t xml:space="preserve">"left"</w:t>
      </w:r>
      <w:r>
        <w:rPr>
          <w:rStyle w:val="NormalTok"/>
        </w:rPr>
        <w:t xml:space="preserve">, </w:t>
      </w:r>
      <w:r>
        <w:rPr>
          <w:rStyle w:val="DecValTok"/>
        </w:rPr>
        <w:t xml:space="preserve">1</w:t>
      </w:r>
      <w:r>
        <w:rPr>
          <w:rStyle w:val="NormalTok"/>
        </w:rPr>
        <w:t xml:space="preserve">, posttiter),</w:t>
      </w:r>
      <w:r>
        <w:br/>
      </w:r>
      <w:r>
        <w:rPr>
          <w:rStyle w:val="NormalTok"/>
        </w:rPr>
        <w:t xml:space="preserve">        </w:t>
      </w:r>
      <w:r>
        <w:rPr>
          <w:rStyle w:val="AttributeTok"/>
        </w:rPr>
        <w:t xml:space="preserve">y2 =</w:t>
      </w:r>
      <w:r>
        <w:rPr>
          <w:rStyle w:val="NormalTok"/>
        </w:rPr>
        <w:t xml:space="preserve"> </w:t>
      </w:r>
      <w:r>
        <w:rPr>
          <w:rStyle w:val="FunctionTok"/>
        </w:rPr>
        <w:t xml:space="preserve">ifelse</w:t>
      </w:r>
      <w:r>
        <w:rPr>
          <w:rStyle w:val="NormalTok"/>
        </w:rPr>
        <w:t xml:space="preserve">(c </w:t>
      </w:r>
      <w:r>
        <w:rPr>
          <w:rStyle w:val="SpecialCharTok"/>
        </w:rPr>
        <w:t xml:space="preserve">==</w:t>
      </w:r>
      <w:r>
        <w:rPr>
          <w:rStyle w:val="NormalTok"/>
        </w:rPr>
        <w:t xml:space="preserve"> </w:t>
      </w:r>
      <w:r>
        <w:rPr>
          <w:rStyle w:val="StringTok"/>
        </w:rPr>
        <w:t xml:space="preserve">"left"</w:t>
      </w:r>
      <w:r>
        <w:rPr>
          <w:rStyle w:val="NormalTok"/>
        </w:rPr>
        <w:t xml:space="preserve">, </w:t>
      </w:r>
      <w:r>
        <w:rPr>
          <w:rStyle w:val="DecValTok"/>
        </w:rPr>
        <w:t xml:space="preserve">1</w:t>
      </w:r>
      <w:r>
        <w:rPr>
          <w:rStyle w:val="NormalTok"/>
        </w:rPr>
        <w:t xml:space="preserve">, posttiter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FirstParagraph"/>
      </w:pPr>
      <w:hyperlink w:anchor="tbl-hai-cens">
        <w:r>
          <w:rPr>
            <w:rStyle w:val="Hyperlink"/>
          </w:rPr>
          <w:t xml:space="preserve">Table 3</w:t>
        </w:r>
      </w:hyperlink>
      <w:r>
        <w:t xml:space="preserve"> </w:t>
      </w:r>
      <w:r>
        <w:t xml:space="preserve">shows the dataset with the variables correctly encoded for the censoring correction.</w:t>
      </w:r>
    </w:p>
    <w:tbl>
      <w:tblPr>
        <w:tblStyle w:val="Table"/>
        <w:tblW w:type="pct" w:w="5000"/>
        <w:tblLayout w:type="fixed"/>
        <w:tblLook w:firstRow="0" w:lastRow="0" w:firstColumn="0" w:lastColumn="0" w:noHBand="0" w:noVBand="0" w:val="0000"/>
      </w:tblPr>
      <w:tblGrid>
        <w:gridCol w:w="7920"/>
      </w:tblGrid>
      <w:tr>
        <w:tc>
          <w:tcPr/>
          <w:bookmarkStart w:id="35" w:name="tbl-hai-cens"/>
          <w:p>
            <w:pPr>
              <w:jc w:val="center"/>
            </w:pPr>
            <w:pPr>
              <w:jc w:val="start"/>
              <w:spacing w:before="200"/>
              <w:pStyle w:val="ImageCaption"/>
            </w:pPr>
            <w:r>
              <w:t xml:space="preserve">Table 3: The cleaned dataset with the new columns</w:t>
            </w:r>
            <w:r>
              <w:t xml:space="preserve"> </w:t>
            </w:r>
            <w:r>
              <w:rPr>
                <w:rStyle w:val="VerbatimChar"/>
              </w:rPr>
              <w:t xml:space="preserve">c</w:t>
            </w:r>
            <w:r>
              <w:t xml:space="preserve">,</w:t>
            </w:r>
            <w:r>
              <w:t xml:space="preserve"> </w:t>
            </w:r>
            <w:r>
              <w:rPr>
                <w:rStyle w:val="VerbatimChar"/>
              </w:rPr>
              <w:t xml:space="preserve">y</w:t>
            </w:r>
            <w:r>
              <w:t xml:space="preserve">, and</w:t>
            </w:r>
            <w:r>
              <w:t xml:space="preserve"> </w:t>
            </w:r>
            <w:r>
              <w:rPr>
                <w:rStyle w:val="VerbatimChar"/>
              </w:rPr>
              <w:t xml:space="preserve">y2</w:t>
            </w:r>
            <w:r>
              <w:t xml:space="preserve"> </w:t>
            </w:r>
            <w:r>
              <w:t xml:space="preserve">that must be passed to</w:t>
            </w:r>
            <w:r>
              <w:t xml:space="preserve"> </w:t>
            </w:r>
            <w:r>
              <w:rPr>
                <w:rStyle w:val="VerbatimChar"/>
              </w:rPr>
              <w:t xml:space="preserve">brms</w:t>
            </w:r>
            <w:r>
              <w:t xml:space="preserve"> </w:t>
            </w:r>
            <w:r>
              <w:t xml:space="preserve">to correctly apply the likelihood correction for censoring.</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id</w:t>
                  </w:r>
                </w:p>
              </w:tc>
              <w:tc>
                <w:tcPr/>
                <w:p>
                  <w:pPr>
                    <w:pStyle w:val="Compact"/>
                    <w:jc w:val="left"/>
                    <w:jc w:val="center"/>
                  </w:pPr>
                  <w:r>
                    <w:t xml:space="preserve">assay_strain</w:t>
                  </w:r>
                </w:p>
              </w:tc>
              <w:tc>
                <w:tcPr/>
                <w:p>
                  <w:pPr>
                    <w:pStyle w:val="Compact"/>
                    <w:jc w:val="right"/>
                    <w:jc w:val="center"/>
                  </w:pPr>
                  <w:r>
                    <w:t xml:space="preserve">posttiter</w:t>
                  </w:r>
                </w:p>
              </w:tc>
              <w:tc>
                <w:tcPr/>
                <w:p>
                  <w:pPr>
                    <w:pStyle w:val="Compact"/>
                    <w:jc w:val="right"/>
                    <w:jc w:val="center"/>
                  </w:pPr>
                  <w:r>
                    <w:t xml:space="preserve">distance</w:t>
                  </w:r>
                </w:p>
              </w:tc>
              <w:tc>
                <w:tcPr/>
                <w:p>
                  <w:pPr>
                    <w:pStyle w:val="Compact"/>
                    <w:jc w:val="left"/>
                    <w:jc w:val="center"/>
                  </w:pPr>
                  <w:r>
                    <w:t xml:space="preserve">c</w:t>
                  </w:r>
                </w:p>
              </w:tc>
              <w:tc>
                <w:tcPr/>
                <w:p>
                  <w:pPr>
                    <w:pStyle w:val="Compact"/>
                    <w:jc w:val="right"/>
                    <w:jc w:val="center"/>
                  </w:pPr>
                  <w:r>
                    <w:t xml:space="preserve">y</w:t>
                  </w:r>
                </w:p>
              </w:tc>
              <w:tc>
                <w:tcPr/>
                <w:p>
                  <w:pPr>
                    <w:pStyle w:val="Compact"/>
                    <w:jc w:val="right"/>
                    <w:jc w:val="center"/>
                  </w:pPr>
                  <w:r>
                    <w:t xml:space="preserve">y2</w:t>
                  </w:r>
                </w:p>
              </w:tc>
            </w:tr>
            <w:tr>
              <w:tc>
                <w:tcPr/>
                <w:p>
                  <w:pPr>
                    <w:pStyle w:val="Compact"/>
                    <w:jc w:val="left"/>
                    <w:jc w:val="center"/>
                  </w:pPr>
                  <w:r>
                    <w:t xml:space="preserve">01</w:t>
                  </w:r>
                </w:p>
              </w:tc>
              <w:tc>
                <w:tcPr/>
                <w:p>
                  <w:pPr>
                    <w:pStyle w:val="Compact"/>
                    <w:jc w:val="left"/>
                    <w:jc w:val="center"/>
                  </w:pPr>
                  <w:r>
                    <w:t xml:space="preserve">HK/68</w:t>
                  </w:r>
                </w:p>
              </w:tc>
              <w:tc>
                <w:tcPr/>
                <w:p>
                  <w:pPr>
                    <w:pStyle w:val="Compact"/>
                    <w:jc w:val="right"/>
                    <w:jc w:val="center"/>
                  </w:pPr>
                  <w:r>
                    <w:t xml:space="preserve">0</w:t>
                  </w:r>
                </w:p>
              </w:tc>
              <w:tc>
                <w:tcPr/>
                <w:p>
                  <w:pPr>
                    <w:pStyle w:val="Compact"/>
                    <w:jc w:val="right"/>
                    <w:jc w:val="center"/>
                  </w:pPr>
                  <w:r>
                    <w:t xml:space="preserve">0.85</w:t>
                  </w:r>
                </w:p>
              </w:tc>
              <w:tc>
                <w:tcPr/>
                <w:p>
                  <w:pPr>
                    <w:pStyle w:val="Compact"/>
                    <w:jc w:val="left"/>
                    <w:jc w:val="center"/>
                  </w:pPr>
                  <w:r>
                    <w:t xml:space="preserve">left</w:t>
                  </w:r>
                </w:p>
              </w:tc>
              <w:tc>
                <w:tcPr/>
                <w:p>
                  <w:pPr>
                    <w:pStyle w:val="Compact"/>
                    <w:jc w:val="right"/>
                    <w:jc w:val="center"/>
                  </w:pPr>
                  <w:r>
                    <w:t xml:space="preserve">1</w:t>
                  </w:r>
                </w:p>
              </w:tc>
              <w:tc>
                <w:tcPr/>
                <w:p>
                  <w:pPr>
                    <w:pStyle w:val="Compact"/>
                    <w:jc w:val="right"/>
                    <w:jc w:val="center"/>
                  </w:pPr>
                  <w:r>
                    <w:t xml:space="preserve">1</w:t>
                  </w:r>
                </w:p>
              </w:tc>
            </w:tr>
            <w:tr>
              <w:tc>
                <w:tcPr/>
                <w:p>
                  <w:pPr>
                    <w:pStyle w:val="Compact"/>
                    <w:jc w:val="left"/>
                    <w:jc w:val="center"/>
                  </w:pPr>
                  <w:r>
                    <w:t xml:space="preserve">01</w:t>
                  </w:r>
                </w:p>
              </w:tc>
              <w:tc>
                <w:tcPr/>
                <w:p>
                  <w:pPr>
                    <w:pStyle w:val="Compact"/>
                    <w:jc w:val="left"/>
                    <w:jc w:val="center"/>
                  </w:pPr>
                  <w:r>
                    <w:t xml:space="preserve">PC/73</w:t>
                  </w:r>
                </w:p>
              </w:tc>
              <w:tc>
                <w:tcPr/>
                <w:p>
                  <w:pPr>
                    <w:pStyle w:val="Compact"/>
                    <w:jc w:val="right"/>
                    <w:jc w:val="center"/>
                  </w:pPr>
                  <w:r>
                    <w:t xml:space="preserve">0</w:t>
                  </w:r>
                </w:p>
              </w:tc>
              <w:tc>
                <w:tcPr/>
                <w:p>
                  <w:pPr>
                    <w:pStyle w:val="Compact"/>
                    <w:jc w:val="right"/>
                    <w:jc w:val="center"/>
                  </w:pPr>
                  <w:r>
                    <w:t xml:space="preserve">0.99</w:t>
                  </w:r>
                </w:p>
              </w:tc>
              <w:tc>
                <w:tcPr/>
                <w:p>
                  <w:pPr>
                    <w:pStyle w:val="Compact"/>
                    <w:jc w:val="left"/>
                    <w:jc w:val="center"/>
                  </w:pPr>
                  <w:r>
                    <w:t xml:space="preserve">left</w:t>
                  </w:r>
                </w:p>
              </w:tc>
              <w:tc>
                <w:tcPr/>
                <w:p>
                  <w:pPr>
                    <w:pStyle w:val="Compact"/>
                    <w:jc w:val="right"/>
                    <w:jc w:val="center"/>
                  </w:pPr>
                  <w:r>
                    <w:t xml:space="preserve">1</w:t>
                  </w:r>
                </w:p>
              </w:tc>
              <w:tc>
                <w:tcPr/>
                <w:p>
                  <w:pPr>
                    <w:pStyle w:val="Compact"/>
                    <w:jc w:val="right"/>
                    <w:jc w:val="center"/>
                  </w:pPr>
                  <w:r>
                    <w:t xml:space="preserve">1</w:t>
                  </w:r>
                </w:p>
              </w:tc>
            </w:tr>
            <w:tr>
              <w:tc>
                <w:tcPr/>
                <w:p>
                  <w:pPr>
                    <w:pStyle w:val="Compact"/>
                    <w:jc w:val="left"/>
                    <w:jc w:val="center"/>
                  </w:pPr>
                  <w:r>
                    <w:t xml:space="preserve">01</w:t>
                  </w:r>
                </w:p>
              </w:tc>
              <w:tc>
                <w:tcPr/>
                <w:p>
                  <w:pPr>
                    <w:pStyle w:val="Compact"/>
                    <w:jc w:val="left"/>
                    <w:jc w:val="center"/>
                  </w:pPr>
                  <w:r>
                    <w:t xml:space="preserve">TX/77</w:t>
                  </w:r>
                </w:p>
              </w:tc>
              <w:tc>
                <w:tcPr/>
                <w:p>
                  <w:pPr>
                    <w:pStyle w:val="Compact"/>
                    <w:jc w:val="right"/>
                    <w:jc w:val="center"/>
                  </w:pPr>
                  <w:r>
                    <w:t xml:space="preserve">0</w:t>
                  </w:r>
                </w:p>
              </w:tc>
              <w:tc>
                <w:tcPr/>
                <w:p>
                  <w:pPr>
                    <w:pStyle w:val="Compact"/>
                    <w:jc w:val="right"/>
                    <w:jc w:val="center"/>
                  </w:pPr>
                  <w:r>
                    <w:t xml:space="preserve">1.00</w:t>
                  </w:r>
                </w:p>
              </w:tc>
              <w:tc>
                <w:tcPr/>
                <w:p>
                  <w:pPr>
                    <w:pStyle w:val="Compact"/>
                    <w:jc w:val="left"/>
                    <w:jc w:val="center"/>
                  </w:pPr>
                  <w:r>
                    <w:t xml:space="preserve">left</w:t>
                  </w:r>
                </w:p>
              </w:tc>
              <w:tc>
                <w:tcPr/>
                <w:p>
                  <w:pPr>
                    <w:pStyle w:val="Compact"/>
                    <w:jc w:val="right"/>
                    <w:jc w:val="center"/>
                  </w:pPr>
                  <w:r>
                    <w:t xml:space="preserve">1</w:t>
                  </w:r>
                </w:p>
              </w:tc>
              <w:tc>
                <w:tcPr/>
                <w:p>
                  <w:pPr>
                    <w:pStyle w:val="Compact"/>
                    <w:jc w:val="right"/>
                    <w:jc w:val="center"/>
                  </w:pPr>
                  <w:r>
                    <w:t xml:space="preserve">1</w:t>
                  </w:r>
                </w:p>
              </w:tc>
            </w:tr>
            <w:tr>
              <w:tc>
                <w:tcPr/>
                <w:p>
                  <w:pPr>
                    <w:pStyle w:val="Compact"/>
                    <w:jc w:val="left"/>
                    <w:jc w:val="center"/>
                  </w:pPr>
                  <w:r>
                    <w:t xml:space="preserve">01</w:t>
                  </w:r>
                </w:p>
              </w:tc>
              <w:tc>
                <w:tcPr/>
                <w:p>
                  <w:pPr>
                    <w:pStyle w:val="Compact"/>
                    <w:jc w:val="left"/>
                    <w:jc w:val="center"/>
                  </w:pPr>
                  <w:r>
                    <w:t xml:space="preserve">MI/85</w:t>
                  </w:r>
                </w:p>
              </w:tc>
              <w:tc>
                <w:tcPr/>
                <w:p>
                  <w:pPr>
                    <w:pStyle w:val="Compact"/>
                    <w:jc w:val="right"/>
                    <w:jc w:val="center"/>
                  </w:pPr>
                  <w:r>
                    <w:t xml:space="preserve">0</w:t>
                  </w:r>
                </w:p>
              </w:tc>
              <w:tc>
                <w:tcPr/>
                <w:p>
                  <w:pPr>
                    <w:pStyle w:val="Compact"/>
                    <w:jc w:val="right"/>
                    <w:jc w:val="center"/>
                  </w:pPr>
                  <w:r>
                    <w:t xml:space="preserve">0.76</w:t>
                  </w:r>
                </w:p>
              </w:tc>
              <w:tc>
                <w:tcPr/>
                <w:p>
                  <w:pPr>
                    <w:pStyle w:val="Compact"/>
                    <w:jc w:val="left"/>
                    <w:jc w:val="center"/>
                  </w:pPr>
                  <w:r>
                    <w:t xml:space="preserve">left</w:t>
                  </w:r>
                </w:p>
              </w:tc>
              <w:tc>
                <w:tcPr/>
                <w:p>
                  <w:pPr>
                    <w:pStyle w:val="Compact"/>
                    <w:jc w:val="right"/>
                    <w:jc w:val="center"/>
                  </w:pPr>
                  <w:r>
                    <w:t xml:space="preserve">1</w:t>
                  </w:r>
                </w:p>
              </w:tc>
              <w:tc>
                <w:tcPr/>
                <w:p>
                  <w:pPr>
                    <w:pStyle w:val="Compact"/>
                    <w:jc w:val="right"/>
                    <w:jc w:val="center"/>
                  </w:pPr>
                  <w:r>
                    <w:t xml:space="preserve">1</w:t>
                  </w:r>
                </w:p>
              </w:tc>
            </w:tr>
            <w:tr>
              <w:tc>
                <w:tcPr/>
                <w:p>
                  <w:pPr>
                    <w:pStyle w:val="Compact"/>
                    <w:jc w:val="left"/>
                    <w:jc w:val="center"/>
                  </w:pPr>
                  <w:r>
                    <w:t xml:space="preserve">01</w:t>
                  </w:r>
                </w:p>
              </w:tc>
              <w:tc>
                <w:tcPr/>
                <w:p>
                  <w:pPr>
                    <w:pStyle w:val="Compact"/>
                    <w:jc w:val="left"/>
                    <w:jc w:val="center"/>
                  </w:pPr>
                  <w:r>
                    <w:t xml:space="preserve">Sich/87</w:t>
                  </w:r>
                </w:p>
              </w:tc>
              <w:tc>
                <w:tcPr/>
                <w:p>
                  <w:pPr>
                    <w:pStyle w:val="Compact"/>
                    <w:jc w:val="right"/>
                    <w:jc w:val="center"/>
                  </w:pPr>
                  <w:r>
                    <w:t xml:space="preserve">2</w:t>
                  </w:r>
                </w:p>
              </w:tc>
              <w:tc>
                <w:tcPr/>
                <w:p>
                  <w:pPr>
                    <w:pStyle w:val="Compact"/>
                    <w:jc w:val="right"/>
                    <w:jc w:val="center"/>
                  </w:pPr>
                  <w:r>
                    <w:t xml:space="preserve">0.74</w:t>
                  </w:r>
                </w:p>
              </w:tc>
              <w:tc>
                <w:tcPr/>
                <w:p>
                  <w:pPr>
                    <w:pStyle w:val="Compact"/>
                    <w:jc w:val="left"/>
                    <w:jc w:val="center"/>
                  </w:pPr>
                  <w:r>
                    <w:t xml:space="preserve">interval</w:t>
                  </w:r>
                </w:p>
              </w:tc>
              <w:tc>
                <w:tcPr/>
                <w:p>
                  <w:pPr>
                    <w:pStyle w:val="Compact"/>
                    <w:jc w:val="right"/>
                    <w:jc w:val="center"/>
                  </w:pPr>
                  <w:r>
                    <w:t xml:space="preserve">2</w:t>
                  </w:r>
                </w:p>
              </w:tc>
              <w:tc>
                <w:tcPr/>
                <w:p>
                  <w:pPr>
                    <w:pStyle w:val="Compact"/>
                    <w:jc w:val="right"/>
                    <w:jc w:val="center"/>
                  </w:pPr>
                  <w:r>
                    <w:t xml:space="preserve">3</w:t>
                  </w:r>
                </w:p>
              </w:tc>
            </w:tr>
            <w:tr>
              <w:tc>
                <w:tcPr/>
                <w:p>
                  <w:pPr>
                    <w:pStyle w:val="Compact"/>
                    <w:jc w:val="left"/>
                    <w:jc w:val="center"/>
                  </w:pPr>
                  <w:r>
                    <w:t xml:space="preserve">01</w:t>
                  </w:r>
                </w:p>
              </w:tc>
              <w:tc>
                <w:tcPr/>
                <w:p>
                  <w:pPr>
                    <w:pStyle w:val="Compact"/>
                    <w:jc w:val="left"/>
                    <w:jc w:val="center"/>
                  </w:pPr>
                  <w:r>
                    <w:t xml:space="preserve">Shan/93</w:t>
                  </w:r>
                </w:p>
              </w:tc>
              <w:tc>
                <w:tcPr/>
                <w:p>
                  <w:pPr>
                    <w:pStyle w:val="Compact"/>
                    <w:jc w:val="right"/>
                    <w:jc w:val="center"/>
                  </w:pPr>
                  <w:r>
                    <w:t xml:space="preserve">3</w:t>
                  </w:r>
                </w:p>
              </w:tc>
              <w:tc>
                <w:tcPr/>
                <w:p>
                  <w:pPr>
                    <w:pStyle w:val="Compact"/>
                    <w:jc w:val="right"/>
                    <w:jc w:val="center"/>
                  </w:pPr>
                  <w:r>
                    <w:t xml:space="preserve">0.72</w:t>
                  </w:r>
                </w:p>
              </w:tc>
              <w:tc>
                <w:tcPr/>
                <w:p>
                  <w:pPr>
                    <w:pStyle w:val="Compact"/>
                    <w:jc w:val="left"/>
                    <w:jc w:val="center"/>
                  </w:pPr>
                  <w:r>
                    <w:t xml:space="preserve">interval</w:t>
                  </w:r>
                </w:p>
              </w:tc>
              <w:tc>
                <w:tcPr/>
                <w:p>
                  <w:pPr>
                    <w:pStyle w:val="Compact"/>
                    <w:jc w:val="right"/>
                    <w:jc w:val="center"/>
                  </w:pPr>
                  <w:r>
                    <w:t xml:space="preserve">3</w:t>
                  </w:r>
                </w:p>
              </w:tc>
              <w:tc>
                <w:tcPr/>
                <w:p>
                  <w:pPr>
                    <w:pStyle w:val="Compact"/>
                    <w:jc w:val="right"/>
                    <w:jc w:val="center"/>
                  </w:pPr>
                  <w:r>
                    <w:t xml:space="preserve">4</w:t>
                  </w:r>
                </w:p>
              </w:tc>
            </w:tr>
            <w:tr>
              <w:tc>
                <w:tcPr/>
                <w:p>
                  <w:pPr>
                    <w:pStyle w:val="Compact"/>
                    <w:jc w:val="left"/>
                    <w:jc w:val="center"/>
                  </w:pPr>
                  <m:oMath>
                    <m:r>
                      <m:t> </m:t>
                    </m:r>
                    <m:r>
                      <m:rPr>
                        <m:sty m:val="p"/>
                      </m:rPr>
                      <m:t>⋮</m:t>
                    </m:r>
                  </m:oMath>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t xml:space="preserve">83</w:t>
                  </w:r>
                </w:p>
              </w:tc>
              <w:tc>
                <w:tcPr/>
                <w:p>
                  <w:pPr>
                    <w:pStyle w:val="Compact"/>
                    <w:jc w:val="left"/>
                    <w:jc w:val="center"/>
                  </w:pPr>
                  <w:r>
                    <w:t xml:space="preserve">Uru/07</w:t>
                  </w:r>
                </w:p>
              </w:tc>
              <w:tc>
                <w:tcPr/>
                <w:p>
                  <w:pPr>
                    <w:pStyle w:val="Compact"/>
                    <w:jc w:val="right"/>
                    <w:jc w:val="center"/>
                  </w:pPr>
                  <w:r>
                    <w:t xml:space="preserve">8</w:t>
                  </w:r>
                </w:p>
              </w:tc>
              <w:tc>
                <w:tcPr/>
                <w:p>
                  <w:pPr>
                    <w:pStyle w:val="Compact"/>
                    <w:jc w:val="right"/>
                    <w:jc w:val="center"/>
                  </w:pPr>
                  <w:r>
                    <w:t xml:space="preserve">0.08</w:t>
                  </w:r>
                </w:p>
              </w:tc>
              <w:tc>
                <w:tcPr/>
                <w:p>
                  <w:pPr>
                    <w:pStyle w:val="Compact"/>
                    <w:jc w:val="left"/>
                    <w:jc w:val="center"/>
                  </w:pPr>
                  <w:r>
                    <w:t xml:space="preserve">interval</w:t>
                  </w:r>
                </w:p>
              </w:tc>
              <w:tc>
                <w:tcPr/>
                <w:p>
                  <w:pPr>
                    <w:pStyle w:val="Compact"/>
                    <w:jc w:val="right"/>
                    <w:jc w:val="center"/>
                  </w:pPr>
                  <w:r>
                    <w:t xml:space="preserve">8</w:t>
                  </w:r>
                </w:p>
              </w:tc>
              <w:tc>
                <w:tcPr/>
                <w:p>
                  <w:pPr>
                    <w:pStyle w:val="Compact"/>
                    <w:jc w:val="right"/>
                    <w:jc w:val="center"/>
                  </w:pPr>
                  <w:r>
                    <w:t xml:space="preserve">9</w:t>
                  </w:r>
                </w:p>
              </w:tc>
            </w:tr>
            <w:tr>
              <w:tc>
                <w:tcPr/>
                <w:p>
                  <w:pPr>
                    <w:pStyle w:val="Compact"/>
                    <w:jc w:val="left"/>
                    <w:jc w:val="center"/>
                  </w:pPr>
                  <w:r>
                    <w:t xml:space="preserve">83</w:t>
                  </w:r>
                </w:p>
              </w:tc>
              <w:tc>
                <w:tcPr/>
                <w:p>
                  <w:pPr>
                    <w:pStyle w:val="Compact"/>
                    <w:jc w:val="left"/>
                    <w:jc w:val="center"/>
                  </w:pPr>
                  <w:r>
                    <w:t xml:space="preserve">Per/09</w:t>
                  </w:r>
                </w:p>
              </w:tc>
              <w:tc>
                <w:tcPr/>
                <w:p>
                  <w:pPr>
                    <w:pStyle w:val="Compact"/>
                    <w:jc w:val="right"/>
                    <w:jc w:val="center"/>
                  </w:pPr>
                  <w:r>
                    <w:t xml:space="preserve">9</w:t>
                  </w:r>
                </w:p>
              </w:tc>
              <w:tc>
                <w:tcPr/>
                <w:p>
                  <w:pPr>
                    <w:pStyle w:val="Compact"/>
                    <w:jc w:val="right"/>
                    <w:jc w:val="center"/>
                  </w:pPr>
                  <w:r>
                    <w:t xml:space="preserve">0.06</w:t>
                  </w:r>
                </w:p>
              </w:tc>
              <w:tc>
                <w:tcPr/>
                <w:p>
                  <w:pPr>
                    <w:pStyle w:val="Compact"/>
                    <w:jc w:val="left"/>
                    <w:jc w:val="center"/>
                  </w:pPr>
                  <w:r>
                    <w:t xml:space="preserve">interval</w:t>
                  </w:r>
                </w:p>
              </w:tc>
              <w:tc>
                <w:tcPr/>
                <w:p>
                  <w:pPr>
                    <w:pStyle w:val="Compact"/>
                    <w:jc w:val="right"/>
                    <w:jc w:val="center"/>
                  </w:pPr>
                  <w:r>
                    <w:t xml:space="preserve">9</w:t>
                  </w:r>
                </w:p>
              </w:tc>
              <w:tc>
                <w:tcPr/>
                <w:p>
                  <w:pPr>
                    <w:pStyle w:val="Compact"/>
                    <w:jc w:val="right"/>
                    <w:jc w:val="center"/>
                  </w:pPr>
                  <w:r>
                    <w:t xml:space="preserve">10</w:t>
                  </w:r>
                </w:p>
              </w:tc>
            </w:tr>
            <w:tr>
              <w:tc>
                <w:tcPr/>
                <w:p>
                  <w:pPr>
                    <w:pStyle w:val="Compact"/>
                    <w:jc w:val="left"/>
                    <w:jc w:val="center"/>
                  </w:pPr>
                  <w:r>
                    <w:t xml:space="preserve">83</w:t>
                  </w:r>
                </w:p>
              </w:tc>
              <w:tc>
                <w:tcPr/>
                <w:p>
                  <w:pPr>
                    <w:pStyle w:val="Compact"/>
                    <w:jc w:val="left"/>
                    <w:jc w:val="center"/>
                  </w:pPr>
                  <w:r>
                    <w:t xml:space="preserve">Vic/11</w:t>
                  </w:r>
                </w:p>
              </w:tc>
              <w:tc>
                <w:tcPr/>
                <w:p>
                  <w:pPr>
                    <w:pStyle w:val="Compact"/>
                    <w:jc w:val="right"/>
                    <w:jc w:val="center"/>
                  </w:pPr>
                  <w:r>
                    <w:t xml:space="preserve">9</w:t>
                  </w:r>
                </w:p>
              </w:tc>
              <w:tc>
                <w:tcPr/>
                <w:p>
                  <w:pPr>
                    <w:pStyle w:val="Compact"/>
                    <w:jc w:val="right"/>
                    <w:jc w:val="center"/>
                  </w:pPr>
                  <w:r>
                    <w:t xml:space="preserve">0.11</w:t>
                  </w:r>
                </w:p>
              </w:tc>
              <w:tc>
                <w:tcPr/>
                <w:p>
                  <w:pPr>
                    <w:pStyle w:val="Compact"/>
                    <w:jc w:val="left"/>
                    <w:jc w:val="center"/>
                  </w:pPr>
                  <w:r>
                    <w:t xml:space="preserve">interval</w:t>
                  </w:r>
                </w:p>
              </w:tc>
              <w:tc>
                <w:tcPr/>
                <w:p>
                  <w:pPr>
                    <w:pStyle w:val="Compact"/>
                    <w:jc w:val="right"/>
                    <w:jc w:val="center"/>
                  </w:pPr>
                  <w:r>
                    <w:t xml:space="preserve">9</w:t>
                  </w:r>
                </w:p>
              </w:tc>
              <w:tc>
                <w:tcPr/>
                <w:p>
                  <w:pPr>
                    <w:pStyle w:val="Compact"/>
                    <w:jc w:val="right"/>
                    <w:jc w:val="center"/>
                  </w:pPr>
                  <w:r>
                    <w:t xml:space="preserve">10</w:t>
                  </w:r>
                </w:p>
              </w:tc>
            </w:tr>
            <w:tr>
              <w:tc>
                <w:tcPr/>
                <w:p>
                  <w:pPr>
                    <w:pStyle w:val="Compact"/>
                    <w:jc w:val="left"/>
                    <w:jc w:val="center"/>
                  </w:pPr>
                  <w:r>
                    <w:t xml:space="preserve">83</w:t>
                  </w:r>
                </w:p>
              </w:tc>
              <w:tc>
                <w:tcPr/>
                <w:p>
                  <w:pPr>
                    <w:pStyle w:val="Compact"/>
                    <w:jc w:val="left"/>
                    <w:jc w:val="center"/>
                  </w:pPr>
                  <w:r>
                    <w:t xml:space="preserve">TX/12</w:t>
                  </w:r>
                </w:p>
              </w:tc>
              <w:tc>
                <w:tcPr/>
                <w:p>
                  <w:pPr>
                    <w:pStyle w:val="Compact"/>
                    <w:jc w:val="right"/>
                    <w:jc w:val="center"/>
                  </w:pPr>
                  <w:r>
                    <w:t xml:space="preserve">9</w:t>
                  </w:r>
                </w:p>
              </w:tc>
              <w:tc>
                <w:tcPr/>
                <w:p>
                  <w:pPr>
                    <w:pStyle w:val="Compact"/>
                    <w:jc w:val="right"/>
                    <w:jc w:val="center"/>
                  </w:pPr>
                  <w:r>
                    <w:t xml:space="preserve">0.14</w:t>
                  </w:r>
                </w:p>
              </w:tc>
              <w:tc>
                <w:tcPr/>
                <w:p>
                  <w:pPr>
                    <w:pStyle w:val="Compact"/>
                    <w:jc w:val="left"/>
                    <w:jc w:val="center"/>
                  </w:pPr>
                  <w:r>
                    <w:t xml:space="preserve">interval</w:t>
                  </w:r>
                </w:p>
              </w:tc>
              <w:tc>
                <w:tcPr/>
                <w:p>
                  <w:pPr>
                    <w:pStyle w:val="Compact"/>
                    <w:jc w:val="right"/>
                    <w:jc w:val="center"/>
                  </w:pPr>
                  <w:r>
                    <w:t xml:space="preserve">9</w:t>
                  </w:r>
                </w:p>
              </w:tc>
              <w:tc>
                <w:tcPr/>
                <w:p>
                  <w:pPr>
                    <w:pStyle w:val="Compact"/>
                    <w:jc w:val="right"/>
                    <w:jc w:val="center"/>
                  </w:pPr>
                  <w:r>
                    <w:t xml:space="preserve">10</w:t>
                  </w:r>
                </w:p>
              </w:tc>
            </w:tr>
            <w:tr>
              <w:tc>
                <w:tcPr/>
                <w:p>
                  <w:pPr>
                    <w:pStyle w:val="Compact"/>
                    <w:jc w:val="left"/>
                    <w:jc w:val="center"/>
                  </w:pPr>
                  <w:r>
                    <w:t xml:space="preserve">83</w:t>
                  </w:r>
                </w:p>
              </w:tc>
              <w:tc>
                <w:tcPr/>
                <w:p>
                  <w:pPr>
                    <w:pStyle w:val="Compact"/>
                    <w:jc w:val="left"/>
                    <w:jc w:val="center"/>
                  </w:pPr>
                  <w:r>
                    <w:t xml:space="preserve">Switz/13</w:t>
                  </w:r>
                </w:p>
              </w:tc>
              <w:tc>
                <w:tcPr/>
                <w:p>
                  <w:pPr>
                    <w:pStyle w:val="Compact"/>
                    <w:jc w:val="right"/>
                    <w:jc w:val="center"/>
                  </w:pPr>
                  <w:r>
                    <w:t xml:space="preserve">9</w:t>
                  </w:r>
                </w:p>
              </w:tc>
              <w:tc>
                <w:tcPr/>
                <w:p>
                  <w:pPr>
                    <w:pStyle w:val="Compact"/>
                    <w:jc w:val="right"/>
                    <w:jc w:val="center"/>
                  </w:pPr>
                  <w:r>
                    <w:t xml:space="preserve">0.14</w:t>
                  </w:r>
                </w:p>
              </w:tc>
              <w:tc>
                <w:tcPr/>
                <w:p>
                  <w:pPr>
                    <w:pStyle w:val="Compact"/>
                    <w:jc w:val="left"/>
                    <w:jc w:val="center"/>
                  </w:pPr>
                  <w:r>
                    <w:t xml:space="preserve">interval</w:t>
                  </w:r>
                </w:p>
              </w:tc>
              <w:tc>
                <w:tcPr/>
                <w:p>
                  <w:pPr>
                    <w:pStyle w:val="Compact"/>
                    <w:jc w:val="right"/>
                    <w:jc w:val="center"/>
                  </w:pPr>
                  <w:r>
                    <w:t xml:space="preserve">9</w:t>
                  </w:r>
                </w:p>
              </w:tc>
              <w:tc>
                <w:tcPr/>
                <w:p>
                  <w:pPr>
                    <w:pStyle w:val="Compact"/>
                    <w:jc w:val="right"/>
                    <w:jc w:val="center"/>
                  </w:pPr>
                  <w:r>
                    <w:t xml:space="preserve">10</w:t>
                  </w:r>
                </w:p>
              </w:tc>
            </w:tr>
            <w:tr>
              <w:tc>
                <w:tcPr/>
                <w:p>
                  <w:pPr>
                    <w:pStyle w:val="Compact"/>
                    <w:jc w:val="left"/>
                    <w:jc w:val="center"/>
                  </w:pPr>
                  <w:r>
                    <w:t xml:space="preserve">83</w:t>
                  </w:r>
                </w:p>
              </w:tc>
              <w:tc>
                <w:tcPr/>
                <w:p>
                  <w:pPr>
                    <w:pStyle w:val="Compact"/>
                    <w:jc w:val="left"/>
                    <w:jc w:val="center"/>
                  </w:pPr>
                  <w:r>
                    <w:t xml:space="preserve">HK/14</w:t>
                  </w:r>
                </w:p>
              </w:tc>
              <w:tc>
                <w:tcPr/>
                <w:p>
                  <w:pPr>
                    <w:pStyle w:val="Compact"/>
                    <w:jc w:val="right"/>
                    <w:jc w:val="center"/>
                  </w:pPr>
                  <w:r>
                    <w:t xml:space="preserve">8</w:t>
                  </w:r>
                </w:p>
              </w:tc>
              <w:tc>
                <w:tcPr/>
                <w:p>
                  <w:pPr>
                    <w:pStyle w:val="Compact"/>
                    <w:jc w:val="right"/>
                    <w:jc w:val="center"/>
                  </w:pPr>
                  <w:r>
                    <w:t xml:space="preserve">0.00</w:t>
                  </w:r>
                </w:p>
              </w:tc>
              <w:tc>
                <w:tcPr/>
                <w:p>
                  <w:pPr>
                    <w:pStyle w:val="Compact"/>
                    <w:jc w:val="left"/>
                    <w:jc w:val="center"/>
                  </w:pPr>
                  <w:r>
                    <w:t xml:space="preserve">interval</w:t>
                  </w:r>
                </w:p>
              </w:tc>
              <w:tc>
                <w:tcPr/>
                <w:p>
                  <w:pPr>
                    <w:pStyle w:val="Compact"/>
                    <w:jc w:val="right"/>
                    <w:jc w:val="center"/>
                  </w:pPr>
                  <w:r>
                    <w:t xml:space="preserve">8</w:t>
                  </w:r>
                </w:p>
              </w:tc>
              <w:tc>
                <w:tcPr/>
                <w:p>
                  <w:pPr>
                    <w:pStyle w:val="Compact"/>
                    <w:jc w:val="right"/>
                    <w:jc w:val="center"/>
                  </w:pPr>
                  <w:r>
                    <w:t xml:space="preserve">9</w:t>
                  </w:r>
                </w:p>
              </w:tc>
            </w:tr>
          </w:tbl>
          <w:bookmarkEnd w:id="35"/>
          <w:p/>
        </w:tc>
      </w:tr>
    </w:tbl>
    <w:p>
      <w:pPr>
        <w:pStyle w:val="BodyText"/>
      </w:pPr>
      <w:r>
        <w:t xml:space="preserve">Now that the data are processed and ready to use we can calculate the statistics of interest.</w:t>
      </w:r>
    </w:p>
    <w:bookmarkEnd w:id="36"/>
    <w:bookmarkStart w:id="37" w:name="math-notation"/>
    <w:p>
      <w:pPr>
        <w:pStyle w:val="Heading1"/>
      </w:pPr>
      <w:r>
        <w:t xml:space="preserve">Math notation</w:t>
      </w:r>
    </w:p>
    <w:p>
      <w:pPr>
        <w:pStyle w:val="FirstParagraph"/>
      </w:pPr>
      <w:r>
        <w:t xml:space="preserve">We’ll use the following notation in all of our math formulas.</w:t>
      </w:r>
    </w:p>
    <w:p>
      <w:pPr>
        <w:pStyle w:val="Compact"/>
        <w:numPr>
          <w:ilvl w:val="0"/>
          <w:numId w:val="1003"/>
        </w:numPr>
      </w:pPr>
      <m:oMath>
        <m:r>
          <m:t>i</m:t>
        </m:r>
        <m:r>
          <m:rPr>
            <m:sty m:val="p"/>
          </m:rPr>
          <m:t>=</m:t>
        </m:r>
        <m:r>
          <m:t>1</m:t>
        </m:r>
        <m:r>
          <m:rPr>
            <m:sty m:val="p"/>
          </m:rPr>
          <m:t>,</m:t>
        </m:r>
        <m:r>
          <m:rPr>
            <m:sty m:val="p"/>
          </m:rPr>
          <m:t>…</m:t>
        </m:r>
        <m:r>
          <m:rPr>
            <m:sty m:val="p"/>
          </m:rPr>
          <m:t>,</m:t>
        </m:r>
        <m:r>
          <m:t>n</m:t>
        </m:r>
      </m:oMath>
      <w:r>
        <w:t xml:space="preserve"> </w:t>
      </w:r>
      <w:r>
        <w:t xml:space="preserve">indexes study subjects, where</w:t>
      </w:r>
      <w:r>
        <w:t xml:space="preserve"> </w:t>
      </w:r>
      <m:oMath>
        <m:r>
          <m:t>i</m:t>
        </m:r>
        <m:r>
          <m:rPr>
            <m:sty m:val="p"/>
          </m:rPr>
          <m:t>=</m:t>
        </m:r>
        <m:r>
          <m:t>1</m:t>
        </m:r>
      </m:oMath>
      <w:r>
        <w:t xml:space="preserve"> </w:t>
      </w:r>
      <w:r>
        <w:t xml:space="preserve">represents the first study subject and</w:t>
      </w:r>
      <w:r>
        <w:t xml:space="preserve"> </w:t>
      </w:r>
      <m:oMath>
        <m:r>
          <m:t>n</m:t>
        </m:r>
      </m:oMath>
      <w:r>
        <w:t xml:space="preserve"> </w:t>
      </w:r>
      <w:r>
        <w:t xml:space="preserve">represents the sample size.</w:t>
      </w:r>
    </w:p>
    <w:p>
      <w:pPr>
        <w:pStyle w:val="Compact"/>
        <w:numPr>
          <w:ilvl w:val="0"/>
          <w:numId w:val="1003"/>
        </w:numPr>
      </w:pPr>
      <m:oMath>
        <m:r>
          <m:t>s</m:t>
        </m:r>
        <m:r>
          <m:rPr>
            <m:sty m:val="p"/>
          </m:rPr>
          <m:t>=</m:t>
        </m:r>
        <m:r>
          <m:t>0</m:t>
        </m:r>
        <m:r>
          <m:rPr>
            <m:sty m:val="p"/>
          </m:rPr>
          <m:t>,</m:t>
        </m:r>
        <m:r>
          <m:rPr>
            <m:sty m:val="p"/>
          </m:rPr>
          <m:t>…</m:t>
        </m:r>
        <m:r>
          <m:t>S</m:t>
        </m:r>
      </m:oMath>
      <w:r>
        <w:t xml:space="preserve"> </w:t>
      </w:r>
      <w:r>
        <w:t xml:space="preserve">indexes the different assay strains. Here,</w:t>
      </w:r>
      <w:r>
        <w:t xml:space="preserve"> </w:t>
      </w:r>
      <m:oMath>
        <m:r>
          <m:t>s</m:t>
        </m:r>
        <m:r>
          <m:rPr>
            <m:sty m:val="p"/>
          </m:rPr>
          <m:t>=</m:t>
        </m:r>
        <m:r>
          <m:t>0</m:t>
        </m:r>
      </m:oMath>
      <w:r>
        <w:t xml:space="preserve"> </w:t>
      </w:r>
      <w:r>
        <w:t xml:space="preserve">is the homologous strain, and</w:t>
      </w:r>
      <w:r>
        <w:t xml:space="preserve"> </w:t>
      </w:r>
      <m:oMath>
        <m:r>
          <m:t>s</m:t>
        </m:r>
        <m:r>
          <m:rPr>
            <m:sty m:val="p"/>
          </m:rPr>
          <m:t>=</m:t>
        </m:r>
        <m:r>
          <m:t>1</m:t>
        </m:r>
        <m:r>
          <m:rPr>
            <m:sty m:val="p"/>
          </m:rPr>
          <m:t>,</m:t>
        </m:r>
        <m:r>
          <m:rPr>
            <m:sty m:val="p"/>
          </m:rPr>
          <m:t>…</m:t>
        </m:r>
        <m:r>
          <m:rPr>
            <m:sty m:val="p"/>
          </m:rPr>
          <m:t>,</m:t>
        </m:r>
        <m:r>
          <m:t>S</m:t>
        </m:r>
      </m:oMath>
      <w:r>
        <w:t xml:space="preserve"> </w:t>
      </w:r>
      <w:r>
        <w:t xml:space="preserve">are the heterologous strains – the particular order of the strains doesn’t matter.</w:t>
      </w:r>
    </w:p>
    <w:p>
      <w:pPr>
        <w:pStyle w:val="Compact"/>
        <w:numPr>
          <w:ilvl w:val="0"/>
          <w:numId w:val="1003"/>
        </w:numPr>
      </w:pPr>
      <m:oMath>
        <m:sSub>
          <m:e>
            <m:r>
              <m:t>d</m:t>
            </m:r>
          </m:e>
          <m:sub>
            <m:r>
              <m:t>s</m:t>
            </m:r>
          </m:sub>
        </m:sSub>
      </m:oMath>
      <w:r>
        <w:t xml:space="preserve"> </w:t>
      </w:r>
      <w:r>
        <w:t xml:space="preserve">is the antigenic distance between strain</w:t>
      </w:r>
      <w:r>
        <w:t xml:space="preserve"> </w:t>
      </w:r>
      <m:oMath>
        <m:r>
          <m:t>s</m:t>
        </m:r>
      </m:oMath>
      <w:r>
        <w:t xml:space="preserve"> </w:t>
      </w:r>
      <w:r>
        <w:t xml:space="preserve">and the vaccine strain. Thus,</w:t>
      </w:r>
      <w:r>
        <w:t xml:space="preserve"> </w:t>
      </w:r>
      <m:oMath>
        <m:sSub>
          <m:e>
            <m:r>
              <m:t>d</m:t>
            </m:r>
          </m:e>
          <m:sub>
            <m:r>
              <m:t>0</m:t>
            </m:r>
          </m:sub>
        </m:sSub>
        <m:r>
          <m:rPr>
            <m:sty m:val="p"/>
          </m:rPr>
          <m:t>=</m:t>
        </m:r>
        <m:r>
          <m:t>0</m:t>
        </m:r>
      </m:oMath>
      <w:r>
        <w:t xml:space="preserve"> </w:t>
      </w:r>
      <w:r>
        <w:t xml:space="preserve">for the homologous strain and</w:t>
      </w:r>
      <w:r>
        <w:t xml:space="preserve"> </w:t>
      </w:r>
      <m:oMath>
        <m:r>
          <m:t>0</m:t>
        </m:r>
        <m:r>
          <m:rPr>
            <m:sty m:val="p"/>
          </m:rPr>
          <m:t>&lt;</m:t>
        </m:r>
        <m:sSub>
          <m:e>
            <m:r>
              <m:t>d</m:t>
            </m:r>
          </m:e>
          <m:sub>
            <m:r>
              <m:t>s</m:t>
            </m:r>
          </m:sub>
        </m:sSub>
        <m:r>
          <m:rPr>
            <m:sty m:val="p"/>
          </m:rPr>
          <m:t>≤</m:t>
        </m:r>
        <m:r>
          <m:t>1</m:t>
        </m:r>
      </m:oMath>
      <w:r>
        <w:t xml:space="preserve"> </w:t>
      </w:r>
      <w:r>
        <w:t xml:space="preserve">for every other</w:t>
      </w:r>
      <w:r>
        <w:t xml:space="preserve"> </w:t>
      </w:r>
      <m:oMath>
        <m:r>
          <m:t>0</m:t>
        </m:r>
        <m:r>
          <m:rPr>
            <m:sty m:val="p"/>
          </m:rPr>
          <m:t>&lt;</m:t>
        </m:r>
        <m:r>
          <m:t>s</m:t>
        </m:r>
        <m:r>
          <m:rPr>
            <m:sty m:val="p"/>
          </m:rPr>
          <m:t>≤</m:t>
        </m:r>
        <m:r>
          <m:t>S</m:t>
        </m:r>
      </m:oMath>
      <w:r>
        <w:t xml:space="preserve">.</w:t>
      </w:r>
    </w:p>
    <w:p>
      <w:pPr>
        <w:pStyle w:val="FirstParagraph"/>
      </w:pPr>
      <w:r>
        <w:t xml:space="preserve">We also define seroprotection and seroconversion as follows:</w:t>
      </w:r>
    </w:p>
    <w:p>
      <w:pPr>
        <w:pStyle w:val="BodyText"/>
      </w:pPr>
      <m:oMathPara>
        <m:oMathParaPr>
          <m:jc m:val="center"/>
        </m:oMathParaPr>
        <m:oMath>
          <m:sSub>
            <m:e>
              <m:r>
                <m:rPr>
                  <m:nor/>
                  <m:sty m:val="p"/>
                </m:rPr>
                <m:t>Seroprotected</m:t>
              </m:r>
            </m:e>
            <m:sub>
              <m:r>
                <m:t>i</m:t>
              </m:r>
              <m:r>
                <m:rPr>
                  <m:sty m:val="p"/>
                </m:rPr>
                <m:t>,</m:t>
              </m:r>
              <m:r>
                <m:t>s</m:t>
              </m:r>
            </m:sub>
          </m:sSub>
          <m:r>
            <m:rPr>
              <m:sty m:val="p"/>
            </m:rPr>
            <m:t>=</m:t>
          </m:r>
          <m:r>
            <m:t>I</m:t>
          </m:r>
          <m:d>
            <m:dPr>
              <m:begChr m:val="("/>
              <m:endChr m:val=")"/>
              <m:sepChr m:val=""/>
              <m:grow/>
            </m:dPr>
            <m:e>
              <m:sSub>
                <m:e>
                  <m:r>
                    <m:rPr>
                      <m:nor/>
                      <m:sty m:val="p"/>
                    </m:rPr>
                    <m:t>post-vaccination titer</m:t>
                  </m:r>
                </m:e>
                <m:sub>
                  <m:r>
                    <m:t>i</m:t>
                  </m:r>
                  <m:r>
                    <m:rPr>
                      <m:sty m:val="p"/>
                    </m:rPr>
                    <m:t>,</m:t>
                  </m:r>
                  <m:r>
                    <m:t>s</m:t>
                  </m:r>
                </m:sub>
              </m:sSub>
              <m:r>
                <m:rPr>
                  <m:sty m:val="p"/>
                </m:rPr>
                <m:t>≥</m:t>
              </m:r>
              <m:r>
                <m:t>40</m:t>
              </m:r>
            </m:e>
          </m:d>
          <m:r>
            <m:rPr>
              <m:sty m:val="p"/>
            </m:rPr>
            <m:t>,</m:t>
          </m:r>
        </m:oMath>
      </m:oMathPara>
    </w:p>
    <w:p>
      <w:pPr>
        <w:pStyle w:val="FirstParagraph"/>
      </w:pPr>
      <w:r>
        <w:t xml:space="preserve">and</w:t>
      </w:r>
    </w:p>
    <w:p>
      <w:pPr>
        <w:pStyle w:val="BodyText"/>
      </w:pPr>
      <m:oMathPara>
        <m:oMathParaPr>
          <m:jc m:val="center"/>
        </m:oMathParaPr>
        <m:oMath>
          <m:sSub>
            <m:e>
              <m:r>
                <m:rPr>
                  <m:nor/>
                  <m:sty m:val="p"/>
                </m:rPr>
                <m:t>Seroconverted</m:t>
              </m:r>
            </m:e>
            <m:sub>
              <m:r>
                <m:t>i</m:t>
              </m:r>
              <m:r>
                <m:rPr>
                  <m:sty m:val="p"/>
                </m:rPr>
                <m:t>,</m:t>
              </m:r>
              <m:r>
                <m:t>s</m:t>
              </m:r>
            </m:sub>
          </m:sSub>
          <m:r>
            <m:rPr>
              <m:sty m:val="p"/>
            </m:rPr>
            <m:t>=</m:t>
          </m:r>
          <m:r>
            <m:t>I</m:t>
          </m:r>
          <m:d>
            <m:dPr>
              <m:begChr m:val="("/>
              <m:endChr m:val=")"/>
              <m:sepChr m:val=""/>
              <m:grow/>
            </m:dPr>
            <m:e>
              <m:f>
                <m:fPr>
                  <m:type m:val="bar"/>
                </m:fPr>
                <m:num>
                  <m:sSub>
                    <m:e>
                      <m:r>
                        <m:rPr>
                          <m:nor/>
                          <m:sty m:val="p"/>
                        </m:rPr>
                        <m:t>post-vaccination titer</m:t>
                      </m:r>
                    </m:e>
                    <m:sub>
                      <m:r>
                        <m:t>i</m:t>
                      </m:r>
                      <m:r>
                        <m:rPr>
                          <m:sty m:val="p"/>
                        </m:rPr>
                        <m:t>,</m:t>
                      </m:r>
                      <m:r>
                        <m:t>s</m:t>
                      </m:r>
                    </m:sub>
                  </m:sSub>
                </m:num>
                <m:den>
                  <m:sSub>
                    <m:e>
                      <m:r>
                        <m:rPr>
                          <m:nor/>
                          <m:sty m:val="p"/>
                        </m:rPr>
                        <m:t>pre-vaccination titer</m:t>
                      </m:r>
                    </m:e>
                    <m:sub>
                      <m:r>
                        <m:t>i</m:t>
                      </m:r>
                      <m:r>
                        <m:rPr>
                          <m:sty m:val="p"/>
                        </m:rPr>
                        <m:t>,</m:t>
                      </m:r>
                      <m:r>
                        <m:t>s</m:t>
                      </m:r>
                    </m:sub>
                  </m:sSub>
                </m:den>
              </m:f>
              <m:r>
                <m:rPr>
                  <m:sty m:val="p"/>
                </m:rPr>
                <m:t>≥</m:t>
              </m:r>
              <m:r>
                <m:t>4</m:t>
              </m:r>
            </m:e>
          </m:d>
          <m:r>
            <m:rPr>
              <m:sty m:val="p"/>
            </m:rPr>
            <m:t>×</m:t>
          </m:r>
          <m:r>
            <m:t>I</m:t>
          </m:r>
          <m:d>
            <m:dPr>
              <m:begChr m:val="("/>
              <m:endChr m:val=")"/>
              <m:sepChr m:val=""/>
              <m:grow/>
            </m:dPr>
            <m:e>
              <m:sSub>
                <m:e>
                  <m:r>
                    <m:rPr>
                      <m:nor/>
                      <m:sty m:val="p"/>
                    </m:rPr>
                    <m:t>Seroprotected</m:t>
                  </m:r>
                </m:e>
                <m:sub>
                  <m:r>
                    <m:t>i</m:t>
                  </m:r>
                  <m:r>
                    <m:rPr>
                      <m:sty m:val="p"/>
                    </m:rPr>
                    <m:t>,</m:t>
                  </m:r>
                  <m:r>
                    <m:t>s</m:t>
                  </m:r>
                </m:sub>
              </m:sSub>
            </m:e>
          </m:d>
          <m:r>
            <m:rPr>
              <m:sty m:val="p"/>
            </m:rPr>
            <m:t>.</m:t>
          </m:r>
        </m:oMath>
      </m:oMathPara>
    </w:p>
    <w:p>
      <w:pPr>
        <w:pStyle w:val="FirstParagraph"/>
      </w:pPr>
      <w:r>
        <w:t xml:space="preserve">Note that on the log-scale, we have</w:t>
      </w:r>
    </w:p>
    <w:p>
      <w:pPr>
        <w:pStyle w:val="BodyText"/>
      </w:pPr>
      <m:oMathPara>
        <m:oMathParaPr>
          <m:jc m:val="center"/>
        </m:oMathParaPr>
        <m:oMath>
          <m:sSub>
            <m:e>
              <m:r>
                <m:rPr>
                  <m:nor/>
                  <m:sty m:val="p"/>
                </m:rPr>
                <m:t>Seroconverted</m:t>
              </m:r>
            </m:e>
            <m:sub>
              <m:r>
                <m:t>i</m:t>
              </m:r>
              <m:r>
                <m:rPr>
                  <m:sty m:val="p"/>
                </m:rPr>
                <m:t>,</m:t>
              </m:r>
              <m:r>
                <m:t>s</m:t>
              </m:r>
            </m:sub>
          </m:sSub>
          <m:r>
            <m:rPr>
              <m:sty m:val="p"/>
            </m:rPr>
            <m:t>=</m:t>
          </m:r>
          <m:r>
            <m:t>I</m:t>
          </m:r>
          <m:d>
            <m:dPr>
              <m:begChr m:val="("/>
              <m:endChr m:val=")"/>
              <m:sepChr m:val=""/>
              <m:grow/>
            </m:dPr>
            <m:e>
              <m:r>
                <m:rPr>
                  <m:sty m:val="p"/>
                </m:rPr>
                <m:t>log</m:t>
              </m:r>
              <m:f>
                <m:fPr>
                  <m:type m:val="bar"/>
                </m:fPr>
                <m:num>
                  <m:sSub>
                    <m:e>
                      <m:r>
                        <m:rPr>
                          <m:nor/>
                          <m:sty m:val="p"/>
                        </m:rPr>
                        <m:t>post-vaccination titer</m:t>
                      </m:r>
                    </m:e>
                    <m:sub>
                      <m:r>
                        <m:t>i</m:t>
                      </m:r>
                      <m:r>
                        <m:rPr>
                          <m:sty m:val="p"/>
                        </m:rPr>
                        <m:t>,</m:t>
                      </m:r>
                      <m:r>
                        <m:t>s</m:t>
                      </m:r>
                    </m:sub>
                  </m:sSub>
                </m:num>
                <m:den>
                  <m:sSub>
                    <m:e>
                      <m:r>
                        <m:rPr>
                          <m:nor/>
                          <m:sty m:val="p"/>
                        </m:rPr>
                        <m:t>pre-vaccination titer</m:t>
                      </m:r>
                    </m:e>
                    <m:sub>
                      <m:r>
                        <m:t>i</m:t>
                      </m:r>
                      <m:r>
                        <m:rPr>
                          <m:sty m:val="p"/>
                        </m:rPr>
                        <m:t>,</m:t>
                      </m:r>
                      <m:r>
                        <m:t>s</m:t>
                      </m:r>
                    </m:sub>
                  </m:sSub>
                </m:den>
              </m:f>
              <m:r>
                <m:rPr>
                  <m:sty m:val="p"/>
                </m:rPr>
                <m:t>≥</m:t>
              </m:r>
              <m:r>
                <m:t>2</m:t>
              </m:r>
            </m:e>
          </m:d>
          <m:r>
            <m:rPr>
              <m:sty m:val="p"/>
            </m:rPr>
            <m:t>×</m:t>
          </m:r>
          <m:r>
            <m:t>I</m:t>
          </m:r>
          <m:d>
            <m:dPr>
              <m:begChr m:val="("/>
              <m:endChr m:val=")"/>
              <m:sepChr m:val=""/>
              <m:grow/>
            </m:dPr>
            <m:e>
              <m:r>
                <m:rPr>
                  <m:sty m:val="p"/>
                </m:rPr>
                <m:t>log</m:t>
              </m:r>
              <m:sSub>
                <m:e>
                  <m:r>
                    <m:rPr>
                      <m:nor/>
                      <m:sty m:val="p"/>
                    </m:rPr>
                    <m:t>post-vaccination titer</m:t>
                  </m:r>
                </m:e>
                <m:sub>
                  <m:r>
                    <m:t>i</m:t>
                  </m:r>
                  <m:r>
                    <m:rPr>
                      <m:sty m:val="p"/>
                    </m:rPr>
                    <m:t>,</m:t>
                  </m:r>
                  <m:r>
                    <m:t>s</m:t>
                  </m:r>
                </m:sub>
              </m:sSub>
              <m:r>
                <m:rPr>
                  <m:sty m:val="p"/>
                </m:rPr>
                <m:t>≥</m:t>
              </m:r>
              <m:r>
                <m:t>3</m:t>
              </m:r>
            </m:e>
          </m:d>
          <m:r>
            <m:rPr>
              <m:sty m:val="p"/>
            </m:rPr>
            <m:t>.</m:t>
          </m:r>
        </m:oMath>
      </m:oMathPara>
    </w:p>
    <w:bookmarkEnd w:id="37"/>
    <w:bookmarkStart w:id="46" w:name="unweighted-statistics"/>
    <w:p>
      <w:pPr>
        <w:pStyle w:val="Heading1"/>
      </w:pPr>
      <w:r>
        <w:t xml:space="preserve">Unweighted statistics</w:t>
      </w:r>
    </w:p>
    <w:p>
      <w:pPr>
        <w:pStyle w:val="FirstParagraph"/>
      </w:pPr>
      <w:r>
        <w:t xml:space="preserve">First we want to calculate the statistics that don’t take antigenic distance into account. The formulas</w:t>
      </w:r>
      <w:r>
        <w:t xml:space="preserve"> </w:t>
      </w:r>
      <w:r>
        <w:rPr>
          <w:b/>
          <w:bCs/>
        </w:rPr>
        <w:t xml:space="preserve">without taking censoring into account</w:t>
      </w:r>
      <w:r>
        <w:t xml:space="preserve"> </w:t>
      </w:r>
      <w:r>
        <w:t xml:space="preserve">are as follows. All are simple to calculate and can be done in a spreadsheet or with basic R code.</w:t>
      </w:r>
    </w:p>
    <w:p>
      <w:pPr>
        <w:numPr>
          <w:ilvl w:val="0"/>
          <w:numId w:val="1004"/>
        </w:numPr>
      </w:pPr>
      <w:r>
        <w:rPr>
          <w:b/>
          <w:bCs/>
        </w:rPr>
        <w:t xml:space="preserve">Magnitude</w:t>
      </w:r>
      <w:r>
        <w:t xml:space="preserve">: measured by the geometric mean titer to the homologous strain:</w:t>
      </w:r>
    </w:p>
    <w:p>
      <w:pPr>
        <w:pStyle w:val="BodyText"/>
      </w:pPr>
      <m:oMathPara>
        <m:oMathParaPr>
          <m:jc m:val="center"/>
        </m:oMathParaPr>
        <m:oMath>
          <m:sSub>
            <m:e>
              <m:r>
                <m:rPr>
                  <m:nor/>
                  <m:sty m:val="p"/>
                </m:rPr>
                <m:t>GMT</m:t>
              </m:r>
            </m:e>
            <m:sub>
              <m:r>
                <m:t>0</m:t>
              </m:r>
            </m:sub>
          </m:sSub>
          <m:r>
            <m:rPr>
              <m:sty m:val="p"/>
            </m:rPr>
            <m:t>=</m:t>
          </m:r>
          <m:r>
            <m:rPr>
              <m:sty m:val="p"/>
            </m:rPr>
            <m:t>exp</m:t>
          </m:r>
          <m:d>
            <m:dPr>
              <m:begChr m:val="("/>
              <m:endChr m:val=")"/>
              <m:sepChr m:val=""/>
              <m:grow/>
            </m:dPr>
            <m:e>
              <m:f>
                <m:fPr>
                  <m:type m:val="bar"/>
                </m:fPr>
                <m:num>
                  <m:r>
                    <m:t>1</m:t>
                  </m:r>
                </m:num>
                <m:den>
                  <m:r>
                    <m:t>n</m:t>
                  </m:r>
                </m:den>
              </m:f>
              <m:nary>
                <m:naryPr>
                  <m:chr m:val="∑"/>
                  <m:limLoc m:val="undOvr"/>
                  <m:subHide m:val="off"/>
                  <m:supHide m:val="off"/>
                </m:naryPr>
                <m:sub>
                  <m:r>
                    <m:t>i</m:t>
                  </m:r>
                  <m:r>
                    <m:rPr>
                      <m:sty m:val="p"/>
                    </m:rPr>
                    <m:t>=</m:t>
                  </m:r>
                  <m:r>
                    <m:t>1</m:t>
                  </m:r>
                </m:sub>
                <m:sup>
                  <m:r>
                    <m:t>n</m:t>
                  </m:r>
                </m:sup>
                <m:e>
                  <m:r>
                    <m:rPr>
                      <m:sty m:val="p"/>
                    </m:rPr>
                    <m:t>log</m:t>
                  </m:r>
                </m:e>
              </m:nary>
              <m:sSub>
                <m:e>
                  <m:r>
                    <m:rPr>
                      <m:nor/>
                      <m:sty m:val="p"/>
                    </m:rPr>
                    <m:t>titer</m:t>
                  </m:r>
                </m:e>
                <m:sub>
                  <m:r>
                    <m:t>i</m:t>
                  </m:r>
                  <m:r>
                    <m:rPr>
                      <m:sty m:val="p"/>
                    </m:rPr>
                    <m:t>,</m:t>
                  </m:r>
                  <m:r>
                    <m:t>s</m:t>
                  </m:r>
                  <m:r>
                    <m:rPr>
                      <m:sty m:val="p"/>
                    </m:rPr>
                    <m:t>=</m:t>
                  </m:r>
                  <m:r>
                    <m:t>0</m:t>
                  </m:r>
                </m:sub>
              </m:sSub>
            </m:e>
          </m:d>
          <m:r>
            <m:rPr>
              <m:sty m:val="p"/>
            </m:rPr>
            <m:t>.</m:t>
          </m:r>
        </m:oMath>
      </m:oMathPara>
    </w:p>
    <w:p>
      <w:pPr>
        <w:numPr>
          <w:ilvl w:val="0"/>
          <w:numId w:val="1004"/>
        </w:numPr>
      </w:pPr>
      <w:r>
        <w:rPr>
          <w:b/>
          <w:bCs/>
        </w:rPr>
        <w:t xml:space="preserve">Breadth</w:t>
      </w:r>
      <w:r>
        <w:t xml:space="preserve">: measured by the seroconversion rate across all strains. Note that since seroconversion status is binary, taking the mean gives us a proportion:</w:t>
      </w:r>
    </w:p>
    <w:p>
      <w:pPr>
        <w:pStyle w:val="BodyText"/>
      </w:pPr>
      <m:oMathPara>
        <m:oMathParaPr>
          <m:jc m:val="center"/>
        </m:oMathParaPr>
        <m:oMath>
          <m:r>
            <m:rPr>
              <m:nor/>
              <m:sty m:val="p"/>
            </m:rPr>
            <m:t>SCR</m:t>
          </m:r>
          <m:r>
            <m:rPr>
              <m:sty m:val="p"/>
            </m:rPr>
            <m:t>=</m:t>
          </m:r>
          <m:f>
            <m:fPr>
              <m:type m:val="bar"/>
            </m:fPr>
            <m:num>
              <m:r>
                <m:t>1</m:t>
              </m:r>
            </m:num>
            <m:den>
              <m:r>
                <m:t>n</m:t>
              </m:r>
            </m:den>
          </m:f>
          <m:f>
            <m:fPr>
              <m:type m:val="bar"/>
            </m:fPr>
            <m:num>
              <m:r>
                <m:t>1</m:t>
              </m:r>
            </m:num>
            <m:den>
              <m:r>
                <m:t>S</m:t>
              </m:r>
            </m:den>
          </m:f>
          <m:nary>
            <m:naryPr>
              <m:chr m:val="∑"/>
              <m:limLoc m:val="undOvr"/>
              <m:subHide m:val="off"/>
              <m:supHide m:val="off"/>
            </m:naryPr>
            <m:sub>
              <m:r>
                <m:t>i</m:t>
              </m:r>
              <m:r>
                <m:rPr>
                  <m:sty m:val="p"/>
                </m:rPr>
                <m:t>=</m:t>
              </m:r>
              <m:r>
                <m:t>1</m:t>
              </m:r>
            </m:sub>
            <m:sup>
              <m:r>
                <m:t>n</m:t>
              </m:r>
            </m:sup>
            <m:e>
              <m:nary>
                <m:naryPr>
                  <m:chr m:val="∑"/>
                  <m:limLoc m:val="undOvr"/>
                  <m:subHide m:val="off"/>
                  <m:supHide m:val="off"/>
                </m:naryPr>
                <m:sub>
                  <m:r>
                    <m:t>s</m:t>
                  </m:r>
                  <m:r>
                    <m:rPr>
                      <m:sty m:val="p"/>
                    </m:rPr>
                    <m:t>=</m:t>
                  </m:r>
                  <m:r>
                    <m:t>0</m:t>
                  </m:r>
                </m:sub>
                <m:sup>
                  <m:r>
                    <m:t>S</m:t>
                  </m:r>
                </m:sup>
                <m:e>
                  <m:sSub>
                    <m:e>
                      <m:r>
                        <m:rPr>
                          <m:nor/>
                          <m:sty m:val="p"/>
                        </m:rPr>
                        <m:t>Seroconverted</m:t>
                      </m:r>
                    </m:e>
                    <m:sub>
                      <m:r>
                        <m:t>i</m:t>
                      </m:r>
                      <m:r>
                        <m:t>j</m:t>
                      </m:r>
                    </m:sub>
                  </m:sSub>
                </m:e>
              </m:nary>
            </m:e>
          </m:nary>
          <m:r>
            <m:rPr>
              <m:sty m:val="p"/>
            </m:rPr>
            <m:t>.</m:t>
          </m:r>
        </m:oMath>
      </m:oMathPara>
    </w:p>
    <w:p>
      <w:pPr>
        <w:numPr>
          <w:ilvl w:val="0"/>
          <w:numId w:val="1004"/>
        </w:numPr>
      </w:pPr>
      <w:r>
        <w:rPr>
          <w:b/>
          <w:bCs/>
        </w:rPr>
        <w:t xml:space="preserve">Strength</w:t>
      </w:r>
      <w:r>
        <w:t xml:space="preserve">: measured by the geometric mean titer across all of the observed strains:</w:t>
      </w:r>
    </w:p>
    <w:p>
      <w:pPr>
        <w:pStyle w:val="BodyText"/>
      </w:pPr>
      <m:oMathPara>
        <m:oMathParaPr>
          <m:jc m:val="center"/>
        </m:oMathParaPr>
        <m:oMath>
          <m:r>
            <m:rPr>
              <m:nor/>
              <m:sty m:val="p"/>
            </m:rPr>
            <m:t>GMT</m:t>
          </m:r>
          <m:r>
            <m:rPr>
              <m:sty m:val="p"/>
            </m:rPr>
            <m:t>=</m:t>
          </m:r>
          <m:r>
            <m:rPr>
              <m:sty m:val="p"/>
            </m:rPr>
            <m:t>exp</m:t>
          </m:r>
          <m:d>
            <m:dPr>
              <m:begChr m:val="("/>
              <m:endChr m:val=")"/>
              <m:sepChr m:val=""/>
              <m:grow/>
            </m:dPr>
            <m:e>
              <m:f>
                <m:fPr>
                  <m:type m:val="bar"/>
                </m:fPr>
                <m:num>
                  <m:r>
                    <m:t>1</m:t>
                  </m:r>
                </m:num>
                <m:den>
                  <m:r>
                    <m:t>n</m:t>
                  </m:r>
                </m:den>
              </m:f>
              <m:nary>
                <m:naryPr>
                  <m:chr m:val="∑"/>
                  <m:limLoc m:val="undOvr"/>
                  <m:subHide m:val="off"/>
                  <m:supHide m:val="off"/>
                </m:naryPr>
                <m:sub>
                  <m:r>
                    <m:t>i</m:t>
                  </m:r>
                  <m:r>
                    <m:rPr>
                      <m:sty m:val="p"/>
                    </m:rPr>
                    <m:t>=</m:t>
                  </m:r>
                  <m:r>
                    <m:t>1</m:t>
                  </m:r>
                </m:sub>
                <m:sup>
                  <m:r>
                    <m:t>n</m:t>
                  </m:r>
                </m:sup>
                <m:e>
                  <m:nary>
                    <m:naryPr>
                      <m:chr m:val="∑"/>
                      <m:limLoc m:val="undOvr"/>
                      <m:subHide m:val="off"/>
                      <m:supHide m:val="off"/>
                    </m:naryPr>
                    <m:sub>
                      <m:r>
                        <m:t>s</m:t>
                      </m:r>
                      <m:r>
                        <m:rPr>
                          <m:sty m:val="p"/>
                        </m:rPr>
                        <m:t>=</m:t>
                      </m:r>
                      <m:r>
                        <m:t>0</m:t>
                      </m:r>
                    </m:sub>
                    <m:sup>
                      <m:r>
                        <m:t>S</m:t>
                      </m:r>
                    </m:sup>
                    <m:e>
                      <m:r>
                        <m:rPr>
                          <m:sty m:val="p"/>
                        </m:rPr>
                        <m:t>log</m:t>
                      </m:r>
                    </m:e>
                  </m:nary>
                </m:e>
              </m:nary>
              <m:sSub>
                <m:e>
                  <m:r>
                    <m:rPr>
                      <m:nor/>
                      <m:sty m:val="p"/>
                    </m:rPr>
                    <m:t>titer</m:t>
                  </m:r>
                </m:e>
                <m:sub>
                  <m:r>
                    <m:t>i</m:t>
                  </m:r>
                  <m:r>
                    <m:rPr>
                      <m:sty m:val="p"/>
                    </m:rPr>
                    <m:t>,</m:t>
                  </m:r>
                  <m:r>
                    <m:t>s</m:t>
                  </m:r>
                </m:sub>
              </m:sSub>
            </m:e>
          </m:d>
          <m:r>
            <m:rPr>
              <m:sty m:val="p"/>
            </m:rPr>
            <m:t>.</m:t>
          </m:r>
        </m:oMath>
      </m:oMathPara>
    </w:p>
    <w:p>
      <w:pPr>
        <w:pStyle w:val="FirstParagraph"/>
      </w:pPr>
      <w:r>
        <w:rPr>
          <w:b/>
          <w:bCs/>
        </w:rPr>
        <w:t xml:space="preserve">However, when we take censoring into account we actually need to fit a model.</w:t>
      </w:r>
    </w:p>
    <w:bookmarkStart w:id="42" w:name="gmt0"/>
    <w:p>
      <w:pPr>
        <w:pStyle w:val="Heading2"/>
      </w:pPr>
      <w:r>
        <w:t xml:space="preserve">GMT</w:t>
      </w:r>
      <w:r>
        <w:rPr>
          <w:vertAlign w:val="subscript"/>
        </w:rPr>
        <w:t xml:space="preserve">0</w:t>
      </w:r>
    </w:p>
    <w:p>
      <w:pPr>
        <w:pStyle w:val="FirstParagraph"/>
      </w:pPr>
      <w:r>
        <w:t xml:space="preserve">Note that when we fit a regression model that</w:t>
      </w:r>
      <w:r>
        <w:t xml:space="preserve"> </w:t>
      </w:r>
      <w:r>
        <w:rPr>
          <w:i/>
          <w:iCs/>
        </w:rPr>
        <w:t xml:space="preserve">only has an intercept term</w:t>
      </w:r>
      <w:r>
        <w:t xml:space="preserve">, say</w:t>
      </w:r>
    </w:p>
    <w:p>
      <w:pPr>
        <w:pStyle w:val="BodyText"/>
      </w:pPr>
      <m:oMathPara>
        <m:oMathParaPr>
          <m:jc m:val="center"/>
        </m:oMathParaPr>
        <m:oMath>
          <m:sSub>
            <m:e>
              <m:r>
                <m:t>y</m:t>
              </m:r>
            </m:e>
            <m:sub>
              <m:r>
                <m:t>i</m:t>
              </m:r>
            </m:sub>
          </m:sSub>
          <m:r>
            <m:rPr>
              <m:sty m:val="p"/>
            </m:rPr>
            <m:t>=</m:t>
          </m:r>
          <m:r>
            <m:t>α</m:t>
          </m:r>
          <m:r>
            <m:rPr>
              <m:sty m:val="p"/>
            </m:rPr>
            <m:t>+</m:t>
          </m:r>
          <m:sSub>
            <m:e>
              <m:r>
                <m:t>ε</m:t>
              </m:r>
            </m:e>
            <m:sub>
              <m:r>
                <m:t>i</m:t>
              </m:r>
            </m:sub>
          </m:sSub>
          <m:r>
            <m:rPr>
              <m:sty m:val="p"/>
            </m:rPr>
            <m:t>,</m:t>
          </m:r>
        </m:oMath>
      </m:oMathPara>
    </w:p>
    <w:p>
      <w:pPr>
        <w:pStyle w:val="FirstParagraph"/>
      </w:pPr>
      <w:r>
        <w:t xml:space="preserve">the estimate of</w:t>
      </w:r>
      <w:r>
        <w:t xml:space="preserve"> </w:t>
      </w:r>
      <m:oMath>
        <m:r>
          <m:t>α</m:t>
        </m:r>
      </m:oMath>
      <w:r>
        <w:t xml:space="preserve"> </w:t>
      </w:r>
      <w:r>
        <w:t xml:space="preserve">actually estimates</w:t>
      </w:r>
      <w:r>
        <w:t xml:space="preserve"> </w:t>
      </w:r>
      <m:oMath>
        <m:acc>
          <m:accPr>
            <m:chr m:val="‾"/>
          </m:accPr>
          <m:e>
            <m:r>
              <m:t>y</m:t>
            </m:r>
          </m:e>
        </m:acc>
      </m:oMath>
      <w:r>
        <w:t xml:space="preserve">, the mean of the response variable. Since we can easily apply a censoring correction to a regression model, fitting an intercept-only regression model provides an easy way to estimate the mean while correcting for censoring.</w:t>
      </w:r>
    </w:p>
    <w:p>
      <w:pPr>
        <w:pStyle w:val="BodyText"/>
      </w:pPr>
      <w:r>
        <w:t xml:space="preserve">To estimate</w:t>
      </w:r>
      <w:r>
        <w:t xml:space="preserve"> </w:t>
      </w:r>
      <m:oMath>
        <m:r>
          <m:t>G</m:t>
        </m:r>
        <m:r>
          <m:t>M</m:t>
        </m:r>
        <m:sSub>
          <m:e>
            <m:r>
              <m:t>T</m:t>
            </m:r>
          </m:e>
          <m:sub>
            <m:r>
              <m:t>0</m:t>
            </m:r>
          </m:sub>
        </m:sSub>
      </m:oMath>
      <w:r>
        <w:t xml:space="preserve">, we need to fit an intercept-only regression model to the post-vaccination titer data for only the homologous strain. We can do this in</w:t>
      </w:r>
      <w:r>
        <w:t xml:space="preserve"> </w:t>
      </w:r>
      <w:r>
        <w:rPr>
          <w:rStyle w:val="VerbatimChar"/>
        </w:rPr>
        <w:t xml:space="preserve">brms</w:t>
      </w:r>
      <w:r>
        <w:t xml:space="preserve"> </w:t>
      </w:r>
      <w:r>
        <w:t xml:space="preserve">while applying a censoring correction like this (make sure to run</w:t>
      </w:r>
      <w:r>
        <w:t xml:space="preserve"> </w:t>
      </w:r>
      <w:r>
        <w:rPr>
          <w:rStyle w:val="VerbatimChar"/>
        </w:rPr>
        <w:t xml:space="preserve">library(brms)</w:t>
      </w:r>
      <w:r>
        <w:t xml:space="preserve"> </w:t>
      </w:r>
      <w:r>
        <w:t xml:space="preserve">at the top of your R script!).</w:t>
      </w:r>
    </w:p>
    <w:p>
      <w:pPr>
        <w:pStyle w:val="SourceCode"/>
      </w:pPr>
      <w:r>
        <w:rPr>
          <w:rStyle w:val="NormalTok"/>
        </w:rPr>
        <w:t xml:space="preserve">titer_data_homologous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(titer_data_cens, distance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NormalTok"/>
        </w:rPr>
        <w:t xml:space="preserve">gmt_0_model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cens</w:t>
      </w:r>
      <w:r>
        <w:rPr>
          <w:rStyle w:val="NormalTok"/>
        </w:rPr>
        <w:t xml:space="preserve">(c, y2)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titer_data_homologous,</w:t>
      </w:r>
      <w:r>
        <w:br/>
      </w:r>
      <w:r>
        <w:rPr>
          <w:rStyle w:val="NormalTok"/>
        </w:rPr>
        <w:t xml:space="preserve">    </w:t>
      </w:r>
      <w:r>
        <w:rPr>
          <w:rStyle w:val="AttributeTok"/>
        </w:rPr>
        <w:t xml:space="preserve">family =</w:t>
      </w:r>
      <w:r>
        <w:rPr>
          <w:rStyle w:val="NormalTok"/>
        </w:rPr>
        <w:t xml:space="preserve"> gaussian,</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"sigma"</w:t>
      </w:r>
      <w:r>
        <w:rPr>
          <w:rStyle w:val="NormalTok"/>
        </w:rPr>
        <w:t xml:space="preserve">)</w:t>
      </w:r>
      <w:r>
        <w:br/>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1250</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213948</w:t>
      </w:r>
      <w:r>
        <w:br/>
      </w:r>
      <w:r>
        <w:rPr>
          <w:rStyle w:val="NormalTok"/>
        </w:rPr>
        <w:t xml:space="preserve">)</w:t>
      </w:r>
    </w:p>
    <w:p>
      <w:pPr>
        <w:pStyle w:val="FirstParagraph"/>
      </w:pPr>
      <w:r>
        <w:t xml:space="preserve">A full tutorial on the</w:t>
      </w:r>
      <w:r>
        <w:t xml:space="preserve"> </w:t>
      </w:r>
      <w:r>
        <w:rPr>
          <w:rStyle w:val="VerbatimChar"/>
        </w:rPr>
        <w:t xml:space="preserve">brms</w:t>
      </w:r>
      <w:r>
        <w:t xml:space="preserve"> </w:t>
      </w:r>
      <w:r>
        <w:t xml:space="preserve">package is beyond the scope of our instructions, but excellent tutorials can be found</w:t>
      </w:r>
      <w:r>
        <w:t xml:space="preserve"> </w:t>
      </w:r>
      <w:hyperlink r:id="rId38">
        <w:r>
          <w:rPr>
            <w:rStyle w:val="Hyperlink"/>
          </w:rPr>
          <w:t xml:space="preserve">on the</w:t>
        </w:r>
        <w:r>
          <w:rPr>
            <w:rStyle w:val="Hyperlink"/>
          </w:rPr>
          <w:t xml:space="preserve"> </w:t>
        </w:r>
        <w:r>
          <w:rPr>
            <w:rStyle w:val="VerbatimChar"/>
          </w:rPr>
          <w:t xml:space="preserve">brms</w:t>
        </w:r>
        <w:r>
          <w:rPr>
            <w:rStyle w:val="Hyperlink"/>
          </w:rPr>
          <w:t xml:space="preserve"> </w:t>
        </w:r>
        <w:r>
          <w:rPr>
            <w:rStyle w:val="Hyperlink"/>
          </w:rPr>
          <w:t xml:space="preserve">package website</w:t>
        </w:r>
      </w:hyperlink>
      <w:r>
        <w:t xml:space="preserve">. We will provide a brief explanation of the arguments we chose.</w:t>
      </w:r>
    </w:p>
    <w:p>
      <w:pPr>
        <w:pStyle w:val="Compact"/>
        <w:numPr>
          <w:ilvl w:val="0"/>
          <w:numId w:val="1005"/>
        </w:numPr>
      </w:pPr>
      <w:r>
        <w:rPr>
          <w:rStyle w:val="VerbatimChar"/>
        </w:rPr>
        <w:t xml:space="preserve">formula</w:t>
      </w:r>
      <w:r>
        <w:t xml:space="preserve">: follows the</w:t>
      </w:r>
      <w:r>
        <w:t xml:space="preserve"> </w:t>
      </w:r>
      <w:r>
        <w:rPr>
          <w:rStyle w:val="VerbatimChar"/>
        </w:rPr>
        <w:t xml:space="preserve">brms</w:t>
      </w:r>
      <w:r>
        <w:t xml:space="preserve"> </w:t>
      </w:r>
      <w:r>
        <w:t xml:space="preserve">syntax for censoring, which is</w:t>
      </w:r>
      <w:r>
        <w:t xml:space="preserve"> </w:t>
      </w:r>
      <w:r>
        <w:rPr>
          <w:rStyle w:val="VerbatimChar"/>
        </w:rPr>
        <w:t xml:space="preserve">y | cens(c, y2)</w:t>
      </w:r>
      <w:r>
        <w:t xml:space="preserve"> </w:t>
      </w:r>
      <w:r>
        <w:t xml:space="preserve">as explained earlier. The</w:t>
      </w:r>
      <w:r>
        <w:t xml:space="preserve"> </w:t>
      </w:r>
      <w:r>
        <w:rPr>
          <w:rStyle w:val="VerbatimChar"/>
        </w:rPr>
        <w:t xml:space="preserve">~</w:t>
      </w:r>
      <w:r>
        <w:t xml:space="preserve"> </w:t>
      </w:r>
      <w:r>
        <w:t xml:space="preserve">separates the response terms from the predictor terms, and having</w:t>
      </w:r>
      <w:r>
        <w:t xml:space="preserve"> </w:t>
      </w:r>
      <w:r>
        <w:rPr>
          <w:rStyle w:val="VerbatimChar"/>
        </w:rPr>
        <w:t xml:space="preserve">1</w:t>
      </w:r>
      <w:r>
        <w:t xml:space="preserve"> </w:t>
      </w:r>
      <w:r>
        <w:t xml:space="preserve">as the only predictor fits a regression model with only an intercept.</w:t>
      </w:r>
    </w:p>
    <w:p>
      <w:pPr>
        <w:pStyle w:val="Compact"/>
        <w:numPr>
          <w:ilvl w:val="0"/>
          <w:numId w:val="1005"/>
        </w:numPr>
      </w:pPr>
      <w:r>
        <w:rPr>
          <w:rStyle w:val="VerbatimChar"/>
        </w:rPr>
        <w:t xml:space="preserve">data</w:t>
      </w:r>
      <w:r>
        <w:t xml:space="preserve">: the data we want to fit the model to goes here. All of the variables mentioned in</w:t>
      </w:r>
      <w:r>
        <w:t xml:space="preserve"> </w:t>
      </w:r>
      <w:r>
        <w:rPr>
          <w:rStyle w:val="VerbatimChar"/>
        </w:rPr>
        <w:t xml:space="preserve">formula</w:t>
      </w:r>
      <w:r>
        <w:t xml:space="preserve"> </w:t>
      </w:r>
      <w:r>
        <w:t xml:space="preserve">have to match a column in</w:t>
      </w:r>
      <w:r>
        <w:t xml:space="preserve"> </w:t>
      </w:r>
      <w:r>
        <w:rPr>
          <w:rStyle w:val="VerbatimChar"/>
        </w:rPr>
        <w:t xml:space="preserve">data</w:t>
      </w:r>
      <w:r>
        <w:t xml:space="preserve">.</w:t>
      </w:r>
    </w:p>
    <w:p>
      <w:pPr>
        <w:pStyle w:val="Compact"/>
        <w:numPr>
          <w:ilvl w:val="0"/>
          <w:numId w:val="1005"/>
        </w:numPr>
      </w:pPr>
      <w:r>
        <w:rPr>
          <w:rStyle w:val="VerbatimChar"/>
        </w:rPr>
        <w:t xml:space="preserve">family</w:t>
      </w:r>
      <w:r>
        <w:t xml:space="preserve">:</w:t>
      </w:r>
      <w:r>
        <w:t xml:space="preserve"> </w:t>
      </w:r>
      <w:r>
        <w:t xml:space="preserve">“gaussian”</w:t>
      </w:r>
      <w:r>
        <w:t xml:space="preserve"> </w:t>
      </w:r>
      <w:r>
        <w:t xml:space="preserve">indicates that we want to fit a standard regression model where the error term has a normal (or Gaussian) distribution.</w:t>
      </w:r>
    </w:p>
    <w:p>
      <w:pPr>
        <w:pStyle w:val="Compact"/>
        <w:numPr>
          <w:ilvl w:val="0"/>
          <w:numId w:val="1005"/>
        </w:numPr>
      </w:pPr>
      <w:r>
        <w:rPr>
          <w:rStyle w:val="VerbatimChar"/>
        </w:rPr>
        <w:t xml:space="preserve">prior</w:t>
      </w:r>
      <w:r>
        <w:t xml:space="preserve">: since we are using a Bayesian model, we have to set priors. Setting priors can be contentious, and in general you can use whichever priors you prefer. We advocate for using generic</w:t>
      </w:r>
      <w:r>
        <w:t xml:space="preserve"> </w:t>
      </w:r>
      <w:r>
        <w:rPr>
          <w:rStyle w:val="VerbatimChar"/>
        </w:rPr>
        <w:t xml:space="preserve">student_t(3, 0, 3)</w:t>
      </w:r>
      <w:r>
        <w:t xml:space="preserve"> </w:t>
      </w:r>
      <w:r>
        <w:t xml:space="preserve">priors for these models, because they allow for large parameter estimates if they are supported by the data, but they prefer to be skeptical and assume that parameters are small, similar to the how we assume a null hypothesis is true and try to falsify it in frequentist hypothesis testing.</w:t>
      </w:r>
    </w:p>
    <w:p>
      <w:pPr>
        <w:pStyle w:val="Compact"/>
        <w:numPr>
          <w:ilvl w:val="0"/>
          <w:numId w:val="1005"/>
        </w:numPr>
      </w:pPr>
      <w:r>
        <w:rPr>
          <w:rStyle w:val="VerbatimChar"/>
        </w:rPr>
        <w:t xml:space="preserve">cores</w:t>
      </w:r>
      <w:r>
        <w:t xml:space="preserve">: if your computer has multiple cores (most modern computers have at least 4), you can run multiple model chains in parallel to speed up the model fitting.</w:t>
      </w:r>
    </w:p>
    <w:p>
      <w:pPr>
        <w:pStyle w:val="Compact"/>
        <w:numPr>
          <w:ilvl w:val="0"/>
          <w:numId w:val="1005"/>
        </w:numPr>
      </w:pPr>
      <w:r>
        <w:rPr>
          <w:rStyle w:val="VerbatimChar"/>
        </w:rPr>
        <w:t xml:space="preserve">chains</w:t>
      </w:r>
      <w:r>
        <w:t xml:space="preserve">: each</w:t>
      </w:r>
      <w:r>
        <w:t xml:space="preserve"> </w:t>
      </w:r>
      <w:r>
        <w:t xml:space="preserve">“chain”</w:t>
      </w:r>
      <w:r>
        <w:t xml:space="preserve"> </w:t>
      </w:r>
      <w:r>
        <w:t xml:space="preserve">of the model starts from a different initial condition and then tries to sample from the posterior distribution. Running multiple chains and making sure they agree provides evidence that we are sampling from the whole posterior distribution. Most bayesian statisticians recommend running at least 4 chains per model.</w:t>
      </w:r>
    </w:p>
    <w:p>
      <w:pPr>
        <w:pStyle w:val="Compact"/>
        <w:numPr>
          <w:ilvl w:val="0"/>
          <w:numId w:val="1005"/>
        </w:numPr>
      </w:pPr>
      <w:r>
        <w:rPr>
          <w:rStyle w:val="VerbatimChar"/>
        </w:rPr>
        <w:t xml:space="preserve">warmup</w:t>
      </w:r>
      <w:r>
        <w:t xml:space="preserve">: the number of samples the model should draw in the warmup step, when it is calibrating. These will not be used for inference, but if you don’t run enough it will degrade the quality of your model fit.</w:t>
      </w:r>
    </w:p>
    <w:p>
      <w:pPr>
        <w:pStyle w:val="Compact"/>
        <w:numPr>
          <w:ilvl w:val="0"/>
          <w:numId w:val="1005"/>
        </w:numPr>
      </w:pPr>
      <w:r>
        <w:rPr>
          <w:rStyle w:val="VerbatimChar"/>
        </w:rPr>
        <w:t xml:space="preserve">iter</w:t>
      </w:r>
      <w:r>
        <w:t xml:space="preserve">: the number of total samples the model should draw (per chain), so the number of post-warmup samples you will use for inference is</w:t>
      </w:r>
      <w:r>
        <w:t xml:space="preserve"> </w:t>
      </w:r>
      <w:r>
        <w:rPr>
          <w:rStyle w:val="VerbatimChar"/>
        </w:rPr>
        <w:t xml:space="preserve">iter</w:t>
      </w:r>
      <w:r>
        <w:t xml:space="preserve"> </w:t>
      </w:r>
      <w:r>
        <w:t xml:space="preserve">-</w:t>
      </w:r>
      <w:r>
        <w:t xml:space="preserve"> </w:t>
      </w:r>
      <w:r>
        <w:rPr>
          <w:rStyle w:val="VerbatimChar"/>
        </w:rPr>
        <w:t xml:space="preserve">warmup</w:t>
      </w:r>
      <w:r>
        <w:t xml:space="preserve">.</w:t>
      </w:r>
    </w:p>
    <w:p>
      <w:pPr>
        <w:pStyle w:val="Compact"/>
        <w:numPr>
          <w:ilvl w:val="0"/>
          <w:numId w:val="1005"/>
        </w:numPr>
      </w:pPr>
      <w:r>
        <w:rPr>
          <w:rStyle w:val="VerbatimChar"/>
        </w:rPr>
        <w:t xml:space="preserve">backend</w:t>
      </w:r>
      <w:r>
        <w:t xml:space="preserve">: we strongly recommend using the</w:t>
      </w:r>
      <w:r>
        <w:t xml:space="preserve"> </w:t>
      </w:r>
      <w:hyperlink r:id="rId39">
        <w:r>
          <w:rPr>
            <w:rStyle w:val="VerbatimChar"/>
          </w:rPr>
          <w:t xml:space="preserve">cmdstanr</w:t>
        </w:r>
      </w:hyperlink>
      <w:r>
        <w:t xml:space="preserve"> </w:t>
      </w:r>
      <w:r>
        <w:t xml:space="preserve">package here, because it is more modern and has more tools available for use than the default</w:t>
      </w:r>
      <w:r>
        <w:t xml:space="preserve"> </w:t>
      </w:r>
      <w:r>
        <w:rPr>
          <w:rStyle w:val="VerbatimChar"/>
        </w:rPr>
        <w:t xml:space="preserve">rstan</w:t>
      </w:r>
      <w:r>
        <w:t xml:space="preserve"> </w:t>
      </w:r>
      <w:r>
        <w:t xml:space="preserve">package. However if you have difficulties installing</w:t>
      </w:r>
      <w:r>
        <w:t xml:space="preserve"> </w:t>
      </w:r>
      <w:r>
        <w:rPr>
          <w:rStyle w:val="VerbatimChar"/>
        </w:rPr>
        <w:t xml:space="preserve">cmdstanr</w:t>
      </w:r>
      <w:r>
        <w:t xml:space="preserve">, you can use</w:t>
      </w:r>
      <w:r>
        <w:t xml:space="preserve"> </w:t>
      </w:r>
      <w:r>
        <w:rPr>
          <w:rStyle w:val="VerbatimChar"/>
        </w:rPr>
        <w:t xml:space="preserve">rstan</w:t>
      </w:r>
      <w:r>
        <w:t xml:space="preserve"> </w:t>
      </w:r>
      <w:r>
        <w:t xml:space="preserve">instead which is easier to set up.</w:t>
      </w:r>
    </w:p>
    <w:p>
      <w:pPr>
        <w:pStyle w:val="Compact"/>
        <w:numPr>
          <w:ilvl w:val="0"/>
          <w:numId w:val="1005"/>
        </w:numPr>
      </w:pPr>
      <w:r>
        <w:rPr>
          <w:rStyle w:val="VerbatimChar"/>
        </w:rPr>
        <w:t xml:space="preserve">seed</w:t>
      </w:r>
      <w:r>
        <w:t xml:space="preserve">: you have to specify this to make sure your results are exactly reproducible. It can be any integer number, but different values will result in different random number draws and thus slightly different results.</w:t>
      </w:r>
    </w:p>
    <w:p>
      <w:pPr>
        <w:pStyle w:val="FirstParagraph"/>
      </w:pPr>
      <w:r>
        <w:t xml:space="preserve">We should also check the model diagnostics by looking at the summary. Again, we won’t do an in-depth explanation of Bayesian model diagnostics here, but typically you want all of the</w:t>
      </w:r>
      <w:r>
        <w:t xml:space="preserve"> </w:t>
      </w:r>
      <w:r>
        <w:rPr>
          <w:rStyle w:val="VerbatimChar"/>
        </w:rPr>
        <w:t xml:space="preserve">Rhat</w:t>
      </w:r>
      <w:r>
        <w:t xml:space="preserve"> </w:t>
      </w:r>
      <w:r>
        <w:t xml:space="preserve">estimates to be</w:t>
      </w:r>
      <w:r>
        <w:t xml:space="preserve"> </w:t>
      </w:r>
      <w:r>
        <w:rPr>
          <w:rStyle w:val="VerbatimChar"/>
        </w:rPr>
        <w:t xml:space="preserve">1.00</w:t>
      </w:r>
      <w:r>
        <w:t xml:space="preserve"> </w:t>
      </w:r>
      <w:r>
        <w:t xml:space="preserve">(sometimes</w:t>
      </w:r>
      <w:r>
        <w:t xml:space="preserve"> </w:t>
      </w:r>
      <w:r>
        <w:rPr>
          <w:rStyle w:val="VerbatimChar"/>
        </w:rPr>
        <w:t xml:space="preserve">1.01</w:t>
      </w:r>
      <w:r>
        <w:t xml:space="preserve"> </w:t>
      </w:r>
      <w:r>
        <w:t xml:space="preserve">can be ok if you are doing a quick check), and you want both</w:t>
      </w:r>
      <w:r>
        <w:t xml:space="preserve"> </w:t>
      </w:r>
      <w:r>
        <w:rPr>
          <w:rStyle w:val="VerbatimChar"/>
        </w:rPr>
        <w:t xml:space="preserve">bulk ESS</w:t>
      </w:r>
      <w:r>
        <w:t xml:space="preserve"> </w:t>
      </w:r>
      <w:r>
        <w:t xml:space="preserve">and</w:t>
      </w:r>
      <w:r>
        <w:t xml:space="preserve"> </w:t>
      </w:r>
      <w:r>
        <w:rPr>
          <w:rStyle w:val="VerbatimChar"/>
        </w:rPr>
        <w:t xml:space="preserve">tail ESS</w:t>
      </w:r>
      <w:r>
        <w:t xml:space="preserve"> </w:t>
      </w:r>
      <w:r>
        <w:t xml:space="preserve">to be above 500 (or above 1000 if you need precise estimates of quantiles or variances).</w:t>
      </w:r>
    </w:p>
    <w:p>
      <w:pPr>
        <w:pStyle w:val="SourceCode"/>
      </w:pPr>
      <w:r>
        <w:rPr>
          <w:rStyle w:val="FunctionTok"/>
        </w:rPr>
        <w:t xml:space="preserve">summary</w:t>
      </w:r>
      <w:r>
        <w:rPr>
          <w:rStyle w:val="NormalTok"/>
        </w:rPr>
        <w:t xml:space="preserve">(gmt_0_model)</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y | cens(c, y2) ~ 1 </w:t>
      </w:r>
      <w:r>
        <w:br/>
      </w:r>
      <w:r>
        <w:rPr>
          <w:rStyle w:val="VerbatimChar"/>
        </w:rPr>
        <w:t xml:space="preserve">   Data: titer_data_homologous (Number of observations: 83) </w:t>
      </w:r>
      <w:r>
        <w:br/>
      </w:r>
      <w:r>
        <w:rPr>
          <w:rStyle w:val="VerbatimChar"/>
        </w:rPr>
        <w:t xml:space="preserve">  Draws: 4 chains, each with iter = 1250; warmup = 250; thin = 1;</w:t>
      </w:r>
      <w:r>
        <w:br/>
      </w:r>
      <w:r>
        <w:rPr>
          <w:rStyle w:val="VerbatimChar"/>
        </w:rPr>
        <w:t xml:space="preserve">         total post-warmup draws = 4000</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5.19      0.16     4.87     5.51 1.00     2291     2578</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1.49      0.13     1.27     1.77 1.00     2572     2569</w:t>
      </w:r>
      <w:r>
        <w:br/>
      </w:r>
      <w:r>
        <w:br/>
      </w:r>
      <w:r>
        <w:rPr>
          <w:rStyle w:val="VerbatimChar"/>
        </w:rPr>
        <w:t xml:space="preserve">Draws were sampled using sample(hmc). For each parameter, Bulk_ESS</w:t>
      </w:r>
      <w:r>
        <w:br/>
      </w:r>
      <w:r>
        <w:rPr>
          <w:rStyle w:val="VerbatimChar"/>
        </w:rPr>
        <w:t xml:space="preserve">and Tail_ESS are effective sample size measures, and Rhat is the potential</w:t>
      </w:r>
      <w:r>
        <w:br/>
      </w:r>
      <w:r>
        <w:rPr>
          <w:rStyle w:val="VerbatimChar"/>
        </w:rPr>
        <w:t xml:space="preserve">scale reduction factor on split chains (at convergence, Rhat = 1).</w:t>
      </w:r>
    </w:p>
    <w:p>
      <w:pPr>
        <w:pStyle w:val="FirstParagraph"/>
      </w:pPr>
      <w:r>
        <w:t xml:space="preserve">We see that our model passes those quick diagnostic guidelines. We’ll skip these checks for the rest of these instructions because I already checked the models, but whenever you fit your bayesian models, you need to check these diagnostics. If any of the checks don’t pass, you should try increasing</w:t>
      </w:r>
      <w:r>
        <w:t xml:space="preserve"> </w:t>
      </w:r>
      <w:r>
        <w:rPr>
          <w:rStyle w:val="VerbatimChar"/>
        </w:rPr>
        <w:t xml:space="preserve">warmup</w:t>
      </w:r>
      <w:r>
        <w:t xml:space="preserve"> </w:t>
      </w:r>
      <w:r>
        <w:t xml:space="preserve">(above 500 typically is not useful, though) and</w:t>
      </w:r>
      <w:r>
        <w:t xml:space="preserve"> </w:t>
      </w:r>
      <w:r>
        <w:rPr>
          <w:rStyle w:val="VerbatimChar"/>
        </w:rPr>
        <w:t xml:space="preserve">iter</w:t>
      </w:r>
      <w:r>
        <w:t xml:space="preserve"> </w:t>
      </w:r>
      <w:r>
        <w:t xml:space="preserve">(increase this one as much as needed until you reach the diagnostic targets). More troubleshooting advice is easy to find on the</w:t>
      </w:r>
      <w:r>
        <w:t xml:space="preserve"> </w:t>
      </w:r>
      <w:hyperlink r:id="rId40">
        <w:r>
          <w:rPr>
            <w:rStyle w:val="Hyperlink"/>
          </w:rPr>
          <w:t xml:space="preserve">Stan discourse forum</w:t>
        </w:r>
      </w:hyperlink>
      <w:r>
        <w:t xml:space="preserve">.</w:t>
      </w:r>
    </w:p>
    <w:p>
      <w:pPr>
        <w:pStyle w:val="BodyText"/>
      </w:pPr>
      <w:r>
        <w:t xml:space="preserve">Now with the arguments explain we can use this code to extract the posterior samples of the intercept, which correspond to the posterior samples of the</w:t>
      </w:r>
      <w:r>
        <w:t xml:space="preserve"> </w:t>
      </w:r>
      <w:r>
        <w:rPr>
          <w:rStyle w:val="VerbatimChar"/>
        </w:rPr>
        <w:t xml:space="preserve">GMT</w:t>
      </w:r>
      <w:r>
        <w:t xml:space="preserve">. Then we can summarize the posterior samples into a point estimate and credible interval for our metric</w:t>
      </w:r>
      <w:r>
        <w:rPr>
          <w:rStyle w:val="FootnoteReference"/>
        </w:rPr>
        <w:footnoteReference w:id="41"/>
      </w:r>
      <w:r>
        <w:t xml:space="preserve">.</w:t>
      </w:r>
    </w:p>
    <w:p>
      <w:pPr>
        <w:pStyle w:val="SourceCode"/>
      </w:pPr>
      <w:r>
        <w:rPr>
          <w:rStyle w:val="NormalTok"/>
        </w:rPr>
        <w:t xml:space="preserve">gmt_0_samples </w:t>
      </w:r>
      <w:r>
        <w:rPr>
          <w:rStyle w:val="OtherTok"/>
        </w:rPr>
        <w:t xml:space="preserve">&lt;-</w:t>
      </w:r>
      <w:r>
        <w:br/>
      </w:r>
      <w:r>
        <w:rPr>
          <w:rStyle w:val="NormalTok"/>
        </w:rPr>
        <w:t xml:space="preserve">    gmt_0_model </w:t>
      </w:r>
      <w:r>
        <w:rPr>
          <w:rStyle w:val="SpecialCharTok"/>
        </w:rPr>
        <w:t xml:space="preserve">|&gt;</w:t>
      </w:r>
      <w:r>
        <w:br/>
      </w:r>
      <w:r>
        <w:rPr>
          <w:rStyle w:val="NormalTok"/>
        </w:rPr>
        <w:t xml:space="preserve">    tidybayes</w:t>
      </w:r>
      <w:r>
        <w:rPr>
          <w:rStyle w:val="SpecialCharTok"/>
        </w:rPr>
        <w:t xml:space="preserve">::</w:t>
      </w:r>
      <w:r>
        <w:rPr>
          <w:rStyle w:val="FunctionTok"/>
        </w:rPr>
        <w:t xml:space="preserve">tidy_draws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(b_Intercept)</w:t>
      </w:r>
      <w:r>
        <w:br/>
      </w:r>
      <w:r>
        <w:br/>
      </w:r>
      <w:r>
        <w:rPr>
          <w:rStyle w:val="NormalTok"/>
        </w:rPr>
        <w:t xml:space="preserve">tidybayes</w:t>
      </w:r>
      <w:r>
        <w:rPr>
          <w:rStyle w:val="SpecialCharTok"/>
        </w:rPr>
        <w:t xml:space="preserve">::</w:t>
      </w:r>
      <w:r>
        <w:rPr>
          <w:rStyle w:val="FunctionTok"/>
        </w:rPr>
        <w:t xml:space="preserve">mean_hdci</w:t>
      </w:r>
      <w:r>
        <w:rPr>
          <w:rStyle w:val="NormalTok"/>
        </w:rPr>
        <w:t xml:space="preserve">(gmt_0_samples) </w:t>
      </w:r>
      <w:r>
        <w:rPr>
          <w:rStyle w:val="SpecialCharTok"/>
        </w:rPr>
        <w:t xml:space="preserve">|&gt;</w:t>
      </w:r>
      <w:r>
        <w:br/>
      </w:r>
      <w:r>
        <w:rPr>
          <w:rStyle w:val="NormalTok"/>
        </w:rPr>
        <w:t xml:space="preserve">    </w:t>
      </w:r>
      <w:r>
        <w:rPr>
          <w:rStyle w:val="CommentTok"/>
        </w:rPr>
        <w:t xml:space="preserve"># This step back-transforms the log-scale estimates to the natural scale</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dplyr</w:t>
      </w:r>
      <w:r>
        <w:rPr>
          <w:rStyle w:val="SpecialChar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"b_Intercept"</w:t>
      </w:r>
      <w:r>
        <w:rPr>
          <w:rStyle w:val="NormalTok"/>
        </w:rPr>
        <w:t xml:space="preserve">, </w:t>
      </w:r>
      <w:r>
        <w:rPr>
          <w:rStyle w:val="StringTok"/>
        </w:rPr>
        <w:t xml:space="preserve">".lower"</w:t>
      </w:r>
      <w:r>
        <w:rPr>
          <w:rStyle w:val="NormalTok"/>
        </w:rPr>
        <w:t xml:space="preserve">, </w:t>
      </w:r>
      <w:r>
        <w:rPr>
          <w:rStyle w:val="StringTok"/>
        </w:rPr>
        <w:t xml:space="preserve">".upper"</w:t>
      </w:r>
      <w:r>
        <w:rPr>
          <w:rStyle w:val="NormalTok"/>
        </w:rPr>
        <w:t xml:space="preserve">), \(x)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br/>
      </w:r>
      <w:r>
        <w:rPr>
          <w:rStyle w:val="NormalTok"/>
        </w:rPr>
        <w:t xml:space="preserve">    )</w:t>
      </w:r>
    </w:p>
    <w:p>
      <w:pPr>
        <w:pStyle w:val="SourceCode"/>
      </w:pPr>
      <w:r>
        <w:rPr>
          <w:rStyle w:val="VerbatimChar"/>
        </w:rPr>
        <w:t xml:space="preserve"># A tibble: 1 × 6</w:t>
      </w:r>
      <w:r>
        <w:br/>
      </w:r>
      <w:r>
        <w:rPr>
          <w:rStyle w:val="VerbatimChar"/>
        </w:rPr>
        <w:t xml:space="preserve">  b_Intercept .lower .upper .width .point .interval</w:t>
      </w:r>
      <w:r>
        <w:br/>
      </w:r>
      <w:r>
        <w:rPr>
          <w:rStyle w:val="VerbatimChar"/>
        </w:rPr>
        <w:t xml:space="preserve">        &lt;dbl&gt;  &lt;dbl&gt;  &lt;dbl&gt;  &lt;dbl&gt; &lt;chr&gt;  &lt;chr&gt;    </w:t>
      </w:r>
      <w:r>
        <w:br/>
      </w:r>
      <w:r>
        <w:rPr>
          <w:rStyle w:val="VerbatimChar"/>
        </w:rPr>
        <w:t xml:space="preserve">1        183.   146.   227.   0.95 mean   hdci     </w:t>
      </w:r>
    </w:p>
    <w:p>
      <w:pPr>
        <w:pStyle w:val="FirstParagraph"/>
      </w:pPr>
      <w:r>
        <w:t xml:space="preserve">So our censoring-corrected estimate of the GMT</w:t>
      </w:r>
      <w:r>
        <w:rPr>
          <w:vertAlign w:val="subscript"/>
        </w:rPr>
        <w:t xml:space="preserve">0</w:t>
      </w:r>
      <w:r>
        <w:t xml:space="preserve"> </w:t>
      </w:r>
      <w:r>
        <w:t xml:space="preserve">metric is</w:t>
      </w:r>
      <w:r>
        <w:t xml:space="preserve"> </w:t>
      </w:r>
      <m:oMath>
        <m:r>
          <m:t>183</m:t>
        </m:r>
      </m:oMath>
      <w:r>
        <w:t xml:space="preserve"> </w:t>
      </w:r>
      <w:r>
        <w:t xml:space="preserve">with a 95% CI of</w:t>
      </w:r>
      <w:r>
        <w:t xml:space="preserve"> </w:t>
      </w:r>
      <m:oMath>
        <m:d>
          <m:dPr>
            <m:begChr m:val="("/>
            <m:endChr m:val=")"/>
            <m:sepChr m:val=""/>
            <m:grow/>
          </m:dPr>
          <m:e>
            <m:r>
              <m:t>146</m:t>
            </m:r>
            <m:r>
              <m:rPr>
                <m:sty m:val="p"/>
              </m:rPr>
              <m:t>,</m:t>
            </m:r>
            <m:r>
              <m:t>227</m:t>
            </m:r>
          </m:e>
        </m:d>
      </m:oMath>
      <w:r>
        <w:t xml:space="preserve">.</w:t>
      </w:r>
    </w:p>
    <w:bookmarkEnd w:id="42"/>
    <w:bookmarkStart w:id="44" w:name="scr"/>
    <w:p>
      <w:pPr>
        <w:pStyle w:val="Heading2"/>
      </w:pPr>
      <w:r>
        <w:t xml:space="preserve">SCR</w:t>
      </w:r>
    </w:p>
    <w:p>
      <w:pPr>
        <w:pStyle w:val="FirstParagraph"/>
      </w:pPr>
      <w:r>
        <w:t xml:space="preserve">Now that we’ve estimated the</w:t>
      </w:r>
      <w:r>
        <w:t xml:space="preserve"> </w:t>
      </w:r>
      <m:oMath>
        <m:r>
          <m:t>G</m:t>
        </m:r>
        <m:r>
          <m:t>M</m:t>
        </m:r>
        <m:sSub>
          <m:e>
            <m:r>
              <m:t>T</m:t>
            </m:r>
          </m:e>
          <m:sub>
            <m:r>
              <m:t>0</m:t>
            </m:r>
          </m:sub>
        </m:sSub>
      </m:oMath>
      <w:r>
        <w:t xml:space="preserve">, the other parameters will be simpler because almost everything stays the same. Because all seroconversion measurements are binary (they are either</w:t>
      </w:r>
      <w:r>
        <w:t xml:space="preserve"> </w:t>
      </w:r>
      <m:oMath>
        <m:r>
          <m:t>0</m:t>
        </m:r>
      </m:oMath>
      <w:r>
        <w:t xml:space="preserve"> </w:t>
      </w:r>
      <w:r>
        <w:t xml:space="preserve">for not seroconverted or</w:t>
      </w:r>
      <w:r>
        <w:t xml:space="preserve"> </w:t>
      </w:r>
      <m:oMath>
        <m:r>
          <m:t>1</m:t>
        </m:r>
      </m:oMath>
      <w:r>
        <w:t xml:space="preserve"> </w:t>
      </w:r>
      <w:r>
        <w:t xml:space="preserve">for seroconverted), several things are different about this model.</w:t>
      </w:r>
    </w:p>
    <w:p>
      <w:pPr>
        <w:pStyle w:val="BodyText"/>
      </w:pPr>
      <w:r>
        <w:t xml:space="preserve">First we need to calculate the seroconversion status, which is easy.</w:t>
      </w:r>
      <w:r>
        <w:t xml:space="preserve"> </w:t>
      </w:r>
      <w:r>
        <w:rPr>
          <w:b/>
          <w:bCs/>
        </w:rPr>
        <w:t xml:space="preserve">However, you must have the pre-vaccination titers</w:t>
      </w:r>
      <w:r>
        <w:t xml:space="preserve">. We have them for our example data, but if you don’t have pre-vaccination data, you can only look at seroprotection, not seroconversion. Note that we calculate the fold change (ratio of post-vaccination titer divided by pre-vaccination titer) using a difference instead of a division because the log of a fraction is equal to the difference of the logs</w:t>
      </w:r>
      <w:r>
        <w:rPr>
          <w:rStyle w:val="FootnoteReference"/>
        </w:rPr>
        <w:footnoteReference w:id="43"/>
      </w:r>
      <w:r>
        <w:t xml:space="preserve">.</w:t>
      </w:r>
    </w:p>
    <w:p>
      <w:pPr>
        <w:pStyle w:val="SourceCode"/>
      </w:pPr>
      <w:r>
        <w:rPr>
          <w:rStyle w:val="NormalTok"/>
        </w:rPr>
        <w:t xml:space="preserve">titer_data_sc </w:t>
      </w:r>
      <w:r>
        <w:rPr>
          <w:rStyle w:val="OtherTok"/>
        </w:rPr>
        <w:t xml:space="preserve">&lt;-</w:t>
      </w:r>
      <w:r>
        <w:br/>
      </w:r>
      <w:r>
        <w:rPr>
          <w:rStyle w:val="NormalTok"/>
        </w:rPr>
        <w:t xml:space="preserve">    titer_data_cens </w:t>
      </w:r>
      <w:r>
        <w:rPr>
          <w:rStyle w:val="SpecialCharTok"/>
        </w:rPr>
        <w:t xml:space="preserve">|&gt;</w:t>
      </w:r>
      <w:r>
        <w:br/>
      </w:r>
      <w:r>
        <w:rPr>
          <w:rStyle w:val="NormalTok"/>
        </w:rPr>
        <w:t xml:space="preserve">    tibble</w:t>
      </w:r>
      <w:r>
        <w:rPr>
          <w:rStyle w:val="SpecialCharTok"/>
        </w:rPr>
        <w:t xml:space="preserve">::</w:t>
      </w:r>
      <w:r>
        <w:rPr>
          <w:rStyle w:val="FunctionTok"/>
        </w:rPr>
        <w:t xml:space="preserve">add_column</w:t>
      </w:r>
      <w:r>
        <w:rPr>
          <w:rStyle w:val="NormalTok"/>
        </w:rPr>
        <w:t xml:space="preserve">(</w:t>
      </w:r>
      <w:r>
        <w:rPr>
          <w:rStyle w:val="AttributeTok"/>
        </w:rPr>
        <w:t xml:space="preserve">pretiter =</w:t>
      </w:r>
      <w:r>
        <w:rPr>
          <w:rStyle w:val="NormalTok"/>
        </w:rPr>
        <w:t xml:space="preserve"> </w:t>
      </w:r>
      <w:r>
        <w:rPr>
          <w:rStyle w:val="FunctionTok"/>
        </w:rPr>
        <w:t xml:space="preserve">log2</w:t>
      </w:r>
      <w:r>
        <w:rPr>
          <w:rStyle w:val="NormalTok"/>
        </w:rPr>
        <w:t xml:space="preserve">(example_data_pretiters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fold_change =</w:t>
      </w:r>
      <w:r>
        <w:rPr>
          <w:rStyle w:val="NormalTok"/>
        </w:rPr>
        <w:t xml:space="preserve"> posttiter </w:t>
      </w:r>
      <w:r>
        <w:rPr>
          <w:rStyle w:val="SpecialCharTok"/>
        </w:rPr>
        <w:t xml:space="preserve">-</w:t>
      </w:r>
      <w:r>
        <w:rPr>
          <w:rStyle w:val="NormalTok"/>
        </w:rPr>
        <w:t xml:space="preserve"> pretiter,</w:t>
      </w:r>
      <w:r>
        <w:br/>
      </w:r>
      <w:r>
        <w:rPr>
          <w:rStyle w:val="NormalTok"/>
        </w:rPr>
        <w:t xml:space="preserve">        </w:t>
      </w:r>
      <w:r>
        <w:rPr>
          <w:rStyle w:val="AttributeTok"/>
        </w:rPr>
        <w:t xml:space="preserve">seroprotection =</w:t>
      </w:r>
      <w:r>
        <w:rPr>
          <w:rStyle w:val="NormalTok"/>
        </w:rPr>
        <w:t xml:space="preserve"> posttiter </w:t>
      </w:r>
      <w:r>
        <w:rPr>
          <w:rStyle w:val="SpecialCharTok"/>
        </w:rPr>
        <w:t xml:space="preserve">&gt;=</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seroconversion =</w:t>
      </w:r>
      <w:r>
        <w:rPr>
          <w:rStyle w:val="NormalTok"/>
        </w:rPr>
        <w:t xml:space="preserve"> seroprotection </w:t>
      </w:r>
      <w:r>
        <w:rPr>
          <w:rStyle w:val="SpecialCharTok"/>
        </w:rPr>
        <w:t xml:space="preserve">*</w:t>
      </w:r>
      <w:r>
        <w:rPr>
          <w:rStyle w:val="NormalTok"/>
        </w:rPr>
        <w:t xml:space="preserve"> (fold_change </w:t>
      </w:r>
      <w:r>
        <w:rPr>
          <w:rStyle w:val="SpecialCha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w:t>
      </w:r>
    </w:p>
    <w:p>
      <w:pPr>
        <w:pStyle w:val="FirstParagraph"/>
      </w:pPr>
      <w:r>
        <w:t xml:space="preserve">We don’t have to correct for censoring, and we need to fit a logistic regression model instead of a linear regression model. Even though we don’t apply censoring corrections here,</w:t>
      </w:r>
      <w:r>
        <w:t xml:space="preserve"> </w:t>
      </w:r>
      <w:r>
        <w:rPr>
          <w:b/>
          <w:bCs/>
        </w:rPr>
        <w:t xml:space="preserve">we choose to fit this with a bayesian model anyways to ensure our CI’s are comparable!</w:t>
      </w:r>
      <w:r>
        <w:t xml:space="preserve"> </w:t>
      </w:r>
      <w:r>
        <w:t xml:space="preserve">In the code for this model, notice that we only have one prior – because logistic regression models don’t have a</w:t>
      </w:r>
      <w:r>
        <w:t xml:space="preserve"> </w:t>
      </w:r>
      <m:oMath>
        <m:sSup>
          <m:e>
            <m:r>
              <m:t>σ</m:t>
            </m:r>
          </m:e>
          <m:sup>
            <m:r>
              <m:t>2</m:t>
            </m:r>
          </m:sup>
        </m:sSup>
      </m:oMath>
      <w:r>
        <w:t xml:space="preserve"> </w:t>
      </w:r>
      <w:r>
        <w:t xml:space="preserve">residual variance parameter, we don’t need a prior for it.</w:t>
      </w:r>
    </w:p>
    <w:p>
      <w:pPr>
        <w:pStyle w:val="SourceCode"/>
      </w:pPr>
      <w:r>
        <w:rPr>
          <w:rStyle w:val="NormalTok"/>
        </w:rPr>
        <w:t xml:space="preserve">scr_model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seroconversion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titer_data_sc,</w:t>
      </w:r>
      <w:r>
        <w:br/>
      </w:r>
      <w:r>
        <w:rPr>
          <w:rStyle w:val="NormalTok"/>
        </w:rPr>
        <w:t xml:space="preserve">    </w:t>
      </w:r>
      <w:r>
        <w:rPr>
          <w:rStyle w:val="AttributeTok"/>
        </w:rPr>
        <w:t xml:space="preserve">family =</w:t>
      </w:r>
      <w:r>
        <w:rPr>
          <w:rStyle w:val="NormalTok"/>
        </w:rPr>
        <w:t xml:space="preserve"> </w:t>
      </w:r>
      <w:r>
        <w:rPr>
          <w:rStyle w:val="FunctionTok"/>
        </w:rPr>
        <w:t xml:space="preserve">bernoulli</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w:t>
      </w:r>
      <w:r>
        <w:br/>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1250</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213948</w:t>
      </w:r>
      <w:r>
        <w:br/>
      </w:r>
      <w:r>
        <w:rPr>
          <w:rStyle w:val="NormalTok"/>
        </w:rPr>
        <w:t xml:space="preserve">)</w:t>
      </w:r>
    </w:p>
    <w:p>
      <w:pPr>
        <w:pStyle w:val="FirstParagraph"/>
      </w:pPr>
      <w:r>
        <w:t xml:space="preserve">We still get the posterior samples of the intercept though.</w:t>
      </w:r>
    </w:p>
    <w:p>
      <w:pPr>
        <w:pStyle w:val="SourceCode"/>
      </w:pPr>
      <w:r>
        <w:rPr>
          <w:rStyle w:val="NormalTok"/>
        </w:rPr>
        <w:t xml:space="preserve">scr_samples </w:t>
      </w:r>
      <w:r>
        <w:rPr>
          <w:rStyle w:val="OtherTok"/>
        </w:rPr>
        <w:t xml:space="preserve">&lt;-</w:t>
      </w:r>
      <w:r>
        <w:br/>
      </w:r>
      <w:r>
        <w:rPr>
          <w:rStyle w:val="NormalTok"/>
        </w:rPr>
        <w:t xml:space="preserve">    scr_model </w:t>
      </w:r>
      <w:r>
        <w:rPr>
          <w:rStyle w:val="SpecialCharTok"/>
        </w:rPr>
        <w:t xml:space="preserve">|&gt;</w:t>
      </w:r>
      <w:r>
        <w:br/>
      </w:r>
      <w:r>
        <w:rPr>
          <w:rStyle w:val="NormalTok"/>
        </w:rPr>
        <w:t xml:space="preserve">    tidybayes</w:t>
      </w:r>
      <w:r>
        <w:rPr>
          <w:rStyle w:val="SpecialCharTok"/>
        </w:rPr>
        <w:t xml:space="preserve">::</w:t>
      </w:r>
      <w:r>
        <w:rPr>
          <w:rStyle w:val="FunctionTok"/>
        </w:rPr>
        <w:t xml:space="preserve">tidy_draws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(b_Intercept)</w:t>
      </w:r>
      <w:r>
        <w:br/>
      </w:r>
      <w:r>
        <w:br/>
      </w:r>
      <w:r>
        <w:rPr>
          <w:rStyle w:val="NormalTok"/>
        </w:rPr>
        <w:t xml:space="preserve">tidybayes</w:t>
      </w:r>
      <w:r>
        <w:rPr>
          <w:rStyle w:val="SpecialCharTok"/>
        </w:rPr>
        <w:t xml:space="preserve">::</w:t>
      </w:r>
      <w:r>
        <w:rPr>
          <w:rStyle w:val="FunctionTok"/>
        </w:rPr>
        <w:t xml:space="preserve">mean_hdci</w:t>
      </w:r>
      <w:r>
        <w:rPr>
          <w:rStyle w:val="NormalTok"/>
        </w:rPr>
        <w:t xml:space="preserve">(scr_samples)</w:t>
      </w:r>
    </w:p>
    <w:p>
      <w:pPr>
        <w:pStyle w:val="SourceCode"/>
      </w:pPr>
      <w:r>
        <w:rPr>
          <w:rStyle w:val="VerbatimChar"/>
        </w:rPr>
        <w:t xml:space="preserve"># A tibble: 1 × 6</w:t>
      </w:r>
      <w:r>
        <w:br/>
      </w:r>
      <w:r>
        <w:rPr>
          <w:rStyle w:val="VerbatimChar"/>
        </w:rPr>
        <w:t xml:space="preserve">  b_Intercept .lower .upper .width .point .interval</w:t>
      </w:r>
      <w:r>
        <w:br/>
      </w:r>
      <w:r>
        <w:rPr>
          <w:rStyle w:val="VerbatimChar"/>
        </w:rPr>
        <w:t xml:space="preserve">        &lt;dbl&gt;  &lt;dbl&gt;  &lt;dbl&gt;  &lt;dbl&gt; &lt;chr&gt;  &lt;chr&gt;    </w:t>
      </w:r>
      <w:r>
        <w:br/>
      </w:r>
      <w:r>
        <w:rPr>
          <w:rStyle w:val="VerbatimChar"/>
        </w:rPr>
        <w:t xml:space="preserve">1       -1.30  -1.43  -1.18   0.95 mean   hdci     </w:t>
      </w:r>
    </w:p>
    <w:p>
      <w:pPr>
        <w:pStyle w:val="FirstParagraph"/>
      </w:pPr>
      <w:r>
        <w:t xml:space="preserve">So our estimate of the seroconversion rate is</w:t>
      </w:r>
      <w:r>
        <w:t xml:space="preserve"> </w:t>
      </w:r>
      <m:oMath>
        <m:r>
          <m:t>0.21</m:t>
        </m:r>
      </m:oMath>
      <w:r>
        <w:t xml:space="preserve"> </w:t>
      </w:r>
      <w:r>
        <w:t xml:space="preserve">with a 95% CI of</w:t>
      </w:r>
      <w:r>
        <w:t xml:space="preserve"> </w:t>
      </w:r>
      <m:oMath>
        <m:d>
          <m:dPr>
            <m:begChr m:val="("/>
            <m:endChr m:val=")"/>
            <m:sepChr m:val=""/>
            <m:grow/>
          </m:dPr>
          <m:e>
            <m:r>
              <m:t>0.19</m:t>
            </m:r>
            <m:r>
              <m:rPr>
                <m:sty m:val="p"/>
              </m:rPr>
              <m:t>,</m:t>
            </m:r>
            <m:r>
              <m:t>0.24</m:t>
            </m:r>
          </m:e>
        </m:d>
      </m:oMath>
      <w:r>
        <w:t xml:space="preserve">.</w:t>
      </w:r>
    </w:p>
    <w:bookmarkEnd w:id="44"/>
    <w:bookmarkStart w:id="45" w:name="gmt"/>
    <w:p>
      <w:pPr>
        <w:pStyle w:val="Heading2"/>
      </w:pPr>
      <w:r>
        <w:t xml:space="preserve">GMT</w:t>
      </w:r>
    </w:p>
    <w:p>
      <w:pPr>
        <w:pStyle w:val="FirstParagraph"/>
      </w:pPr>
      <w:r>
        <w:t xml:space="preserve">Estimating the GMT is exactly the same as estimating the GMT</w:t>
      </w:r>
      <w:r>
        <w:rPr>
          <w:vertAlign w:val="subscript"/>
        </w:rPr>
        <w:t xml:space="preserve">0</w:t>
      </w:r>
      <w:r>
        <w:t xml:space="preserve">, except we use the entire dataset instead of only the homologous strain measurements.</w:t>
      </w:r>
    </w:p>
    <w:p>
      <w:pPr>
        <w:pStyle w:val="SourceCode"/>
      </w:pPr>
      <w:r>
        <w:rPr>
          <w:rStyle w:val="NormalTok"/>
        </w:rPr>
        <w:t xml:space="preserve">gmt_model </w:t>
      </w:r>
      <w:r>
        <w:rPr>
          <w:rStyle w:val="OtherTok"/>
        </w:rPr>
        <w:t xml:space="preserve">&lt;-</w:t>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cens</w:t>
      </w:r>
      <w:r>
        <w:rPr>
          <w:rStyle w:val="NormalTok"/>
        </w:rPr>
        <w:t xml:space="preserve">(c, y2)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titer_data_cens,</w:t>
      </w:r>
      <w:r>
        <w:br/>
      </w:r>
      <w:r>
        <w:rPr>
          <w:rStyle w:val="NormalTok"/>
        </w:rPr>
        <w:t xml:space="preserve">    </w:t>
      </w:r>
      <w:r>
        <w:rPr>
          <w:rStyle w:val="AttributeTok"/>
        </w:rPr>
        <w:t xml:space="preserve">family =</w:t>
      </w:r>
      <w:r>
        <w:rPr>
          <w:rStyle w:val="NormalTok"/>
        </w:rPr>
        <w:t xml:space="preserve"> gaussian,</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"sigma"</w:t>
      </w:r>
      <w:r>
        <w:rPr>
          <w:rStyle w:val="NormalTok"/>
        </w:rPr>
        <w:t xml:space="preserve">)</w:t>
      </w:r>
      <w:r>
        <w:br/>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1250</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213948</w:t>
      </w:r>
      <w:r>
        <w:br/>
      </w:r>
      <w:r>
        <w:rPr>
          <w:rStyle w:val="NormalTok"/>
        </w:rPr>
        <w:t xml:space="preserve">)</w:t>
      </w:r>
    </w:p>
    <w:p>
      <w:pPr>
        <w:pStyle w:val="FirstParagraph"/>
      </w:pPr>
      <w:r>
        <w:t xml:space="preserve">We extract and summarize the posterior samples of the intercept, exactly the same as the GMT</w:t>
      </w:r>
      <w:r>
        <w:rPr>
          <w:vertAlign w:val="subscript"/>
        </w:rPr>
        <w:t xml:space="preserve">0</w:t>
      </w:r>
      <w:r>
        <w:t xml:space="preserve">.</w:t>
      </w:r>
    </w:p>
    <w:p>
      <w:pPr>
        <w:pStyle w:val="SourceCode"/>
      </w:pPr>
      <w:r>
        <w:rPr>
          <w:rStyle w:val="NormalTok"/>
        </w:rPr>
        <w:t xml:space="preserve">gmt_samples </w:t>
      </w:r>
      <w:r>
        <w:rPr>
          <w:rStyle w:val="OtherTok"/>
        </w:rPr>
        <w:t xml:space="preserve">&lt;-</w:t>
      </w:r>
      <w:r>
        <w:br/>
      </w:r>
      <w:r>
        <w:rPr>
          <w:rStyle w:val="NormalTok"/>
        </w:rPr>
        <w:t xml:space="preserve">    gmt_model </w:t>
      </w:r>
      <w:r>
        <w:rPr>
          <w:rStyle w:val="SpecialCharTok"/>
        </w:rPr>
        <w:t xml:space="preserve">|&gt;</w:t>
      </w:r>
      <w:r>
        <w:br/>
      </w:r>
      <w:r>
        <w:rPr>
          <w:rStyle w:val="NormalTok"/>
        </w:rPr>
        <w:t xml:space="preserve">    tidybayes</w:t>
      </w:r>
      <w:r>
        <w:rPr>
          <w:rStyle w:val="SpecialCharTok"/>
        </w:rPr>
        <w:t xml:space="preserve">::</w:t>
      </w:r>
      <w:r>
        <w:rPr>
          <w:rStyle w:val="FunctionTok"/>
        </w:rPr>
        <w:t xml:space="preserve">tidy_draws</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(b_Intercept)</w:t>
      </w:r>
      <w:r>
        <w:br/>
      </w:r>
      <w:r>
        <w:br/>
      </w:r>
      <w:r>
        <w:rPr>
          <w:rStyle w:val="NormalTok"/>
        </w:rPr>
        <w:t xml:space="preserve">tidybayes</w:t>
      </w:r>
      <w:r>
        <w:rPr>
          <w:rStyle w:val="SpecialCharTok"/>
        </w:rPr>
        <w:t xml:space="preserve">::</w:t>
      </w:r>
      <w:r>
        <w:rPr>
          <w:rStyle w:val="FunctionTok"/>
        </w:rPr>
        <w:t xml:space="preserve">mean_hdci</w:t>
      </w:r>
      <w:r>
        <w:rPr>
          <w:rStyle w:val="NormalTok"/>
        </w:rPr>
        <w:t xml:space="preserve">(gmt_samples) </w:t>
      </w:r>
      <w:r>
        <w:rPr>
          <w:rStyle w:val="SpecialCharTok"/>
        </w:rPr>
        <w:t xml:space="preserve">|&gt;</w:t>
      </w:r>
      <w:r>
        <w:br/>
      </w:r>
      <w:r>
        <w:rPr>
          <w:rStyle w:val="NormalTok"/>
        </w:rPr>
        <w:t xml:space="preserve">    </w:t>
      </w:r>
      <w:r>
        <w:rPr>
          <w:rStyle w:val="CommentTok"/>
        </w:rPr>
        <w:t xml:space="preserve"># This step back-transforms the log-scale estimates to the natural scale</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dplyr</w:t>
      </w:r>
      <w:r>
        <w:rPr>
          <w:rStyle w:val="SpecialCharTok"/>
        </w:rPr>
        <w:t xml:space="preserve">::</w:t>
      </w:r>
      <w:r>
        <w:rPr>
          <w:rStyle w:val="FunctionTok"/>
        </w:rPr>
        <w:t xml:space="preserve">across</w:t>
      </w:r>
      <w:r>
        <w:rPr>
          <w:rStyle w:val="NormalTok"/>
        </w:rPr>
        <w:t xml:space="preserve">(</w:t>
      </w:r>
      <w:r>
        <w:rPr>
          <w:rStyle w:val="FunctionTok"/>
        </w:rPr>
        <w:t xml:space="preserve">c</w:t>
      </w:r>
      <w:r>
        <w:rPr>
          <w:rStyle w:val="NormalTok"/>
        </w:rPr>
        <w:t xml:space="preserve">(</w:t>
      </w:r>
      <w:r>
        <w:rPr>
          <w:rStyle w:val="StringTok"/>
        </w:rPr>
        <w:t xml:space="preserve">"b_Intercept"</w:t>
      </w:r>
      <w:r>
        <w:rPr>
          <w:rStyle w:val="NormalTok"/>
        </w:rPr>
        <w:t xml:space="preserve">, </w:t>
      </w:r>
      <w:r>
        <w:rPr>
          <w:rStyle w:val="StringTok"/>
        </w:rPr>
        <w:t xml:space="preserve">".lower"</w:t>
      </w:r>
      <w:r>
        <w:rPr>
          <w:rStyle w:val="NormalTok"/>
        </w:rPr>
        <w:t xml:space="preserve">, </w:t>
      </w:r>
      <w:r>
        <w:rPr>
          <w:rStyle w:val="StringTok"/>
        </w:rPr>
        <w:t xml:space="preserve">".upper"</w:t>
      </w:r>
      <w:r>
        <w:rPr>
          <w:rStyle w:val="NormalTok"/>
        </w:rPr>
        <w:t xml:space="preserve">), \(x)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w:t>
      </w:r>
      <w:r>
        <w:br/>
      </w:r>
      <w:r>
        <w:rPr>
          <w:rStyle w:val="NormalTok"/>
        </w:rPr>
        <w:t xml:space="preserve">    )</w:t>
      </w:r>
    </w:p>
    <w:p>
      <w:pPr>
        <w:pStyle w:val="SourceCode"/>
      </w:pPr>
      <w:r>
        <w:rPr>
          <w:rStyle w:val="VerbatimChar"/>
        </w:rPr>
        <w:t xml:space="preserve"># A tibble: 1 × 6</w:t>
      </w:r>
      <w:r>
        <w:br/>
      </w:r>
      <w:r>
        <w:rPr>
          <w:rStyle w:val="VerbatimChar"/>
        </w:rPr>
        <w:t xml:space="preserve">  b_Intercept .lower .upper .width .point .interval</w:t>
      </w:r>
      <w:r>
        <w:br/>
      </w:r>
      <w:r>
        <w:rPr>
          <w:rStyle w:val="VerbatimChar"/>
        </w:rPr>
        <w:t xml:space="preserve">        &lt;dbl&gt;  &lt;dbl&gt;  &lt;dbl&gt;  &lt;dbl&gt; &lt;chr&gt;  &lt;chr&gt;    </w:t>
      </w:r>
      <w:r>
        <w:br/>
      </w:r>
      <w:r>
        <w:rPr>
          <w:rStyle w:val="VerbatimChar"/>
        </w:rPr>
        <w:t xml:space="preserve">1        65.9   59.8   73.0   0.95 mean   hdci     </w:t>
      </w:r>
    </w:p>
    <w:p>
      <w:pPr>
        <w:pStyle w:val="FirstParagraph"/>
      </w:pPr>
      <w:r>
        <w:t xml:space="preserve">So our censoring-corrected estimate of the GMT metric is</w:t>
      </w:r>
      <w:r>
        <w:t xml:space="preserve"> </w:t>
      </w:r>
      <m:oMath>
        <m:r>
          <m:t>66</m:t>
        </m:r>
      </m:oMath>
      <w:r>
        <w:t xml:space="preserve"> </w:t>
      </w:r>
      <w:r>
        <w:t xml:space="preserve">with a 95% CI of</w:t>
      </w:r>
      <w:r>
        <w:t xml:space="preserve"> </w:t>
      </w:r>
      <m:oMath>
        <m:d>
          <m:dPr>
            <m:begChr m:val="("/>
            <m:endChr m:val=")"/>
            <m:sepChr m:val=""/>
            <m:grow/>
          </m:dPr>
          <m:e>
            <m:r>
              <m:t>60</m:t>
            </m:r>
            <m:r>
              <m:rPr>
                <m:sty m:val="p"/>
              </m:rPr>
              <m:t>,</m:t>
            </m:r>
            <m:r>
              <m:t>73</m:t>
            </m:r>
          </m:e>
        </m:d>
      </m:oMath>
      <w:r>
        <w:t xml:space="preserve">.</w:t>
      </w:r>
    </w:p>
    <w:p>
      <w:pPr>
        <w:pStyle w:val="BodyText"/>
      </w:pPr>
      <w:r>
        <w:t xml:space="preserve">Now, calculating the models with antigenic distance included is a bit more involved. The first step is to fit our antibody landscape model.</w:t>
      </w:r>
    </w:p>
    <w:bookmarkEnd w:id="45"/>
    <w:bookmarkEnd w:id="46"/>
    <w:bookmarkStart w:id="50" w:name="summary-antibody-landscape"/>
    <w:p>
      <w:pPr>
        <w:pStyle w:val="Heading1"/>
      </w:pPr>
      <w:r>
        <w:t xml:space="preserve">Summary antibody landscape</w:t>
      </w:r>
    </w:p>
    <w:p>
      <w:pPr>
        <w:pStyle w:val="FirstParagraph"/>
      </w:pPr>
      <w:r>
        <w:t xml:space="preserve">The first step in calculating the antigenic-distance based metrics is to compute the</w:t>
      </w:r>
      <w:r>
        <w:t xml:space="preserve"> </w:t>
      </w:r>
      <w:r>
        <w:rPr>
          <w:b/>
          <w:bCs/>
        </w:rPr>
        <w:t xml:space="preserve">summary antibody landscape</w:t>
      </w:r>
      <w:r>
        <w:t xml:space="preserve">. This is a mathematical model that takes all of the individual antibody landscapes from</w:t>
      </w:r>
      <w:r>
        <w:t xml:space="preserve"> </w:t>
      </w:r>
      <w:hyperlink w:anchor="fig-all-ls">
        <w:r>
          <w:rPr>
            <w:rStyle w:val="Hyperlink"/>
          </w:rPr>
          <w:t xml:space="preserve">Figure 1</w:t>
        </w:r>
      </w:hyperlink>
      <w:r>
        <w:t xml:space="preserve"> </w:t>
      </w:r>
      <w:r>
        <w:t xml:space="preserve">as the input, and produces a study-level summary curve that represents the average antibody landscape in the study sample.</w:t>
      </w:r>
    </w:p>
    <w:p>
      <w:pPr>
        <w:pStyle w:val="BodyText"/>
      </w:pPr>
      <w:r>
        <w:t xml:space="preserve">We use a multilevel linear regression (AKA mixed-effects regression) model to construct the summary antibody landscape. Letting the log postvaccination titers by</w:t>
      </w:r>
      <w:r>
        <w:t xml:space="preserve"> </w:t>
      </w:r>
      <m:oMath>
        <m:r>
          <m:t>y</m:t>
        </m:r>
      </m:oMath>
      <w:r>
        <w:t xml:space="preserve">, the model is as follows.</w:t>
      </w:r>
    </w:p>
    <w:p>
      <w:pPr>
        <w:pStyle w:val="BodyText"/>
      </w:pPr>
      <m:oMathPara>
        <m:oMathParaPr>
          <m:jc m:val="center"/>
        </m:oMathParaPr>
        <m:oMath>
          <m:m>
            <m:mPr>
              <m:baseJc m:val="center"/>
              <m:plcHide m:val="on"/>
              <m:mcs>
                <m:mc>
                  <m:mcPr>
                    <m:mcJc m:val="right"/>
                    <m:count m:val="1"/>
                  </m:mcPr>
                </m:mc>
                <m:mc>
                  <m:mcPr>
                    <m:mcJc m:val="left"/>
                    <m:count m:val="1"/>
                  </m:mcPr>
                </m:mc>
              </m:mcs>
            </m:mPr>
            <m:mr>
              <m:e>
                <m:sSub>
                  <m:e>
                    <m:r>
                      <m:t>y</m:t>
                    </m:r>
                  </m:e>
                  <m:sub>
                    <m:r>
                      <m:t>i</m:t>
                    </m:r>
                    <m:r>
                      <m:rPr>
                        <m:sty m:val="p"/>
                      </m:rPr>
                      <m:t>,</m:t>
                    </m:r>
                    <m:r>
                      <m:t>s</m:t>
                    </m:r>
                  </m:sub>
                </m:sSub>
              </m:e>
              <m:e>
                <m:r>
                  <m:rPr>
                    <m:sty m:val="p"/>
                  </m:rPr>
                  <m:t>∼</m:t>
                </m:r>
                <m:r>
                  <m:rPr>
                    <m:nor/>
                    <m:sty m:val="p"/>
                  </m:rPr>
                  <m:t>Normal</m:t>
                </m:r>
                <m:d>
                  <m:dPr>
                    <m:begChr m:val="("/>
                    <m:endChr m:val=")"/>
                    <m:sepChr m:val=""/>
                    <m:grow/>
                  </m:dPr>
                  <m:e>
                    <m:sSub>
                      <m:e>
                        <m:r>
                          <m:t>μ</m:t>
                        </m:r>
                      </m:e>
                      <m:sub>
                        <m:r>
                          <m:t>i</m:t>
                        </m:r>
                        <m:r>
                          <m:rPr>
                            <m:sty m:val="p"/>
                          </m:rPr>
                          <m:t>,</m:t>
                        </m:r>
                        <m:r>
                          <m:t>s</m:t>
                        </m:r>
                      </m:sub>
                    </m:sSub>
                    <m:r>
                      <m:rPr>
                        <m:sty m:val="p"/>
                      </m:rPr>
                      <m:t>,</m:t>
                    </m:r>
                    <m:sSup>
                      <m:e>
                        <m:r>
                          <m:t>σ</m:t>
                        </m:r>
                      </m:e>
                      <m:sup>
                        <m:r>
                          <m:t>2</m:t>
                        </m:r>
                      </m:sup>
                    </m:sSup>
                  </m:e>
                </m:d>
              </m:e>
            </m:mr>
            <m:mr>
              <m:e>
                <m:sSub>
                  <m:e>
                    <m:r>
                      <m:t>μ</m:t>
                    </m:r>
                  </m:e>
                  <m:sub>
                    <m:r>
                      <m:t>i</m:t>
                    </m:r>
                    <m:r>
                      <m:rPr>
                        <m:sty m:val="p"/>
                      </m:rPr>
                      <m:t>,</m:t>
                    </m:r>
                    <m:r>
                      <m:t>s</m:t>
                    </m:r>
                  </m:sub>
                </m:sSub>
              </m:e>
              <m:e>
                <m:r>
                  <m:rPr>
                    <m:sty m:val="p"/>
                  </m:rPr>
                  <m:t>=</m:t>
                </m:r>
                <m:sSub>
                  <m:e>
                    <m:r>
                      <m:t>β</m:t>
                    </m:r>
                  </m:e>
                  <m:sub>
                    <m:r>
                      <m:t>0</m:t>
                    </m:r>
                  </m:sub>
                </m:sSub>
                <m:r>
                  <m:rPr>
                    <m:sty m:val="p"/>
                  </m:rPr>
                  <m:t>+</m:t>
                </m:r>
                <m:sSub>
                  <m:e>
                    <m:r>
                      <m:t>b</m:t>
                    </m:r>
                  </m:e>
                  <m:sub>
                    <m:r>
                      <m:t>0</m:t>
                    </m:r>
                    <m:r>
                      <m:rPr>
                        <m:sty m:val="p"/>
                      </m:rPr>
                      <m:t>,</m:t>
                    </m:r>
                    <m:r>
                      <m:t>i</m:t>
                    </m:r>
                  </m:sub>
                </m:sSub>
                <m:r>
                  <m:rPr>
                    <m:sty m:val="p"/>
                  </m:rPr>
                  <m:t>+</m:t>
                </m:r>
                <m:d>
                  <m:dPr>
                    <m:begChr m:val="("/>
                    <m:endChr m:val=")"/>
                    <m:sepChr m:val=""/>
                    <m:grow/>
                  </m:dPr>
                  <m:e>
                    <m:sSub>
                      <m:e>
                        <m:r>
                          <m:t>β</m:t>
                        </m:r>
                      </m:e>
                      <m:sub>
                        <m:r>
                          <m:t>1</m:t>
                        </m:r>
                      </m:sub>
                    </m:sSub>
                    <m:r>
                      <m:rPr>
                        <m:sty m:val="p"/>
                      </m:rPr>
                      <m:t>+</m:t>
                    </m:r>
                    <m:sSub>
                      <m:e>
                        <m:r>
                          <m:t>b</m:t>
                        </m:r>
                      </m:e>
                      <m:sub>
                        <m:r>
                          <m:t>1</m:t>
                        </m:r>
                        <m:r>
                          <m:rPr>
                            <m:sty m:val="p"/>
                          </m:rPr>
                          <m:t>,</m:t>
                        </m:r>
                        <m:r>
                          <m:t>i</m:t>
                        </m:r>
                      </m:sub>
                    </m:sSub>
                  </m:e>
                </m:d>
                <m:r>
                  <m:rPr>
                    <m:sty m:val="p"/>
                  </m:rPr>
                  <m:t>⋅</m:t>
                </m:r>
                <m:sSub>
                  <m:e>
                    <m:r>
                      <m:t>d</m:t>
                    </m:r>
                  </m:e>
                  <m:sub>
                    <m:r>
                      <m:t>s</m:t>
                    </m:r>
                  </m:sub>
                </m:sSub>
              </m:e>
            </m:mr>
            <m:mr>
              <m:e>
                <m:d>
                  <m:dPr>
                    <m:begChr m:val="("/>
                    <m:endChr m:val=")"/>
                    <m:sepChr m:val=""/>
                    <m:grow/>
                  </m:dPr>
                  <m:e>
                    <m:m>
                      <m:mPr>
                        <m:baseJc m:val="center"/>
                        <m:plcHide m:val="on"/>
                        <m:mcs>
                          <m:mc>
                            <m:mcPr>
                              <m:mcJc m:val="center"/>
                              <m:count m:val="1"/>
                            </m:mcPr>
                          </m:mc>
                        </m:mcs>
                      </m:mPr>
                      <m:mr>
                        <m:e>
                          <m:sSub>
                            <m:e>
                              <m:r>
                                <m:t>b</m:t>
                              </m:r>
                            </m:e>
                            <m:sub>
                              <m:r>
                                <m:t>0</m:t>
                              </m:r>
                              <m:r>
                                <m:rPr>
                                  <m:sty m:val="p"/>
                                </m:rPr>
                                <m:t>,</m:t>
                              </m:r>
                              <m:r>
                                <m:t>i</m:t>
                              </m:r>
                            </m:sub>
                          </m:sSub>
                        </m:e>
                      </m:mr>
                      <m:mr>
                        <m:e>
                          <m:sSub>
                            <m:e>
                              <m:r>
                                <m:t>b</m:t>
                              </m:r>
                            </m:e>
                            <m:sub>
                              <m:r>
                                <m:t>1</m:t>
                              </m:r>
                              <m:r>
                                <m:rPr>
                                  <m:sty m:val="p"/>
                                </m:rPr>
                                <m:t>,</m:t>
                              </m:r>
                              <m:r>
                                <m:t>i</m:t>
                              </m:r>
                            </m:sub>
                          </m:sSub>
                        </m:e>
                      </m:mr>
                    </m:m>
                  </m:e>
                </m:d>
              </m:e>
              <m:e>
                <m:r>
                  <m:rPr>
                    <m:sty m:val="p"/>
                  </m:rPr>
                  <m:t>∼</m:t>
                </m:r>
                <m:r>
                  <m:rPr>
                    <m:nor/>
                    <m:sty m:val="p"/>
                  </m:rPr>
                  <m:t>MVN</m:t>
                </m:r>
                <m:d>
                  <m:dPr>
                    <m:begChr m:val="("/>
                    <m:endChr m:val=")"/>
                    <m:sepChr m:val=""/>
                    <m:grow/>
                  </m:dPr>
                  <m:e>
                    <m:acc>
                      <m:accPr>
                        <m:chr m:val="⃗"/>
                      </m:accPr>
                      <m:e>
                        <m:r>
                          <m:t>0</m:t>
                        </m:r>
                      </m:e>
                    </m:acc>
                    <m:r>
                      <m:rPr>
                        <m:sty m:val="p"/>
                      </m:rPr>
                      <m:t>,</m:t>
                    </m:r>
                    <m:sSub>
                      <m:e>
                        <m:r>
                          <m:t>Σ</m:t>
                        </m:r>
                      </m:e>
                      <m:sub>
                        <m:r>
                          <m:t>b</m:t>
                        </m:r>
                      </m:sub>
                    </m:sSub>
                  </m:e>
                </m:d>
              </m:e>
            </m:mr>
          </m:m>
        </m:oMath>
      </m:oMathPara>
    </w:p>
    <w:p>
      <w:pPr>
        <w:pStyle w:val="FirstParagraph"/>
      </w:pPr>
      <w:r>
        <w:t xml:space="preserve">We have a population level intercept and slope for distance, and each individual</w:t>
      </w:r>
      <w:r>
        <w:t xml:space="preserve"> </w:t>
      </w:r>
      <m:oMath>
        <m:r>
          <m:t>i</m:t>
        </m:r>
      </m:oMath>
      <w:r>
        <w:t xml:space="preserve"> </w:t>
      </w:r>
      <w:r>
        <w:t xml:space="preserve">also gets their own intercept and slope, which are correlated and drawn from a distribution that we can estimate. Because we are using a Bayesian model, we also have to specify priors. Here we use priors that are sensible for most similar problems, but discussing the parametrization is quite mathematically dense so not too useful here</w:t>
      </w:r>
      <w:r>
        <w:rPr>
          <w:rStyle w:val="FootnoteReference"/>
        </w:rPr>
        <w:footnoteReference w:id="47"/>
      </w:r>
      <w:r>
        <w:t xml:space="preserve">, so just note that the prior we use for class</w:t>
      </w:r>
      <w:r>
        <w:t xml:space="preserve"> </w:t>
      </w:r>
      <w:r>
        <w:t xml:space="preserve">“corr”</w:t>
      </w:r>
      <w:r>
        <w:t xml:space="preserve"> </w:t>
      </w:r>
      <w:r>
        <w:t xml:space="preserve">is different because of this parametrization.</w:t>
      </w:r>
    </w:p>
    <w:p>
      <w:pPr>
        <w:pStyle w:val="SourceCode"/>
      </w:pPr>
      <w:r>
        <w:rPr>
          <w:rStyle w:val="NormalTok"/>
        </w:rPr>
        <w:t xml:space="preserve">summary_landscape_model </w:t>
      </w:r>
      <w:r>
        <w:rPr>
          <w:rStyle w:val="OtherTok"/>
        </w:rPr>
        <w:t xml:space="preserve">&lt;-</w:t>
      </w:r>
      <w:r>
        <w:br/>
      </w:r>
      <w:r>
        <w:rPr>
          <w:rStyle w:val="NormalTok"/>
        </w:rPr>
        <w:t xml:space="preserve">    brms</w:t>
      </w:r>
      <w:r>
        <w:rPr>
          <w:rStyle w:val="SpecialCharTok"/>
        </w:rPr>
        <w:t xml:space="preserve">::</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y </w:t>
      </w:r>
      <w:r>
        <w:rPr>
          <w:rStyle w:val="SpecialCharTok"/>
        </w:rPr>
        <w:t xml:space="preserve">|</w:t>
      </w:r>
      <w:r>
        <w:rPr>
          <w:rStyle w:val="NormalTok"/>
        </w:rPr>
        <w:t xml:space="preserve"> </w:t>
      </w:r>
      <w:r>
        <w:rPr>
          <w:rStyle w:val="FunctionTok"/>
        </w:rPr>
        <w:t xml:space="preserve">cens</w:t>
      </w:r>
      <w:r>
        <w:rPr>
          <w:rStyle w:val="NormalTok"/>
        </w:rPr>
        <w:t xml:space="preserve">(c, y2)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distance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distance </w:t>
      </w:r>
      <w:r>
        <w:rPr>
          <w:rStyle w:val="SpecialCharTok"/>
        </w:rPr>
        <w:t xml:space="preserve">|</w:t>
      </w:r>
      <w:r>
        <w:rPr>
          <w:rStyle w:val="NormalTok"/>
        </w:rPr>
        <w:t xml:space="preserve"> id),</w:t>
      </w:r>
      <w:r>
        <w:br/>
      </w:r>
      <w:r>
        <w:rPr>
          <w:rStyle w:val="NormalTok"/>
        </w:rPr>
        <w:t xml:space="preserve">        </w:t>
      </w:r>
      <w:r>
        <w:rPr>
          <w:rStyle w:val="AttributeTok"/>
        </w:rPr>
        <w:t xml:space="preserve">data =</w:t>
      </w:r>
      <w:r>
        <w:rPr>
          <w:rStyle w:val="NormalTok"/>
        </w:rPr>
        <w:t xml:space="preserve"> titer_data_cens,</w:t>
      </w:r>
      <w:r>
        <w:br/>
      </w:r>
      <w:r>
        <w:rPr>
          <w:rStyle w:val="NormalTok"/>
        </w:rPr>
        <w:t xml:space="preserve">        </w:t>
      </w:r>
      <w:r>
        <w:rPr>
          <w:rStyle w:val="AttributeTok"/>
        </w:rPr>
        <w:t xml:space="preserve">family =</w:t>
      </w:r>
      <w:r>
        <w:rPr>
          <w:rStyle w:val="NormalTok"/>
        </w:rPr>
        <w:t xml:space="preserve"> gaussian,</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"sd"</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student_t</w:t>
      </w:r>
      <w:r>
        <w:rPr>
          <w:rStyle w:val="NormalTok"/>
        </w:rPr>
        <w:t xml:space="preserve">(</w:t>
      </w:r>
      <w:r>
        <w:rPr>
          <w:rStyle w:val="DecValTok"/>
        </w:rPr>
        <w:t xml:space="preserve">3</w:t>
      </w:r>
      <w:r>
        <w:rPr>
          <w:rStyle w:val="NormalTok"/>
        </w:rPr>
        <w:t xml:space="preserve">, </w:t>
      </w:r>
      <w:r>
        <w:rPr>
          <w:rStyle w:val="DecValTok"/>
        </w:rPr>
        <w:t xml:space="preserve">0</w:t>
      </w:r>
      <w:r>
        <w:rPr>
          <w:rStyle w:val="NormalTok"/>
        </w:rPr>
        <w:t xml:space="preserve">, </w:t>
      </w:r>
      <w:r>
        <w:rPr>
          <w:rStyle w:val="DecValTok"/>
        </w:rPr>
        <w:t xml:space="preserve">3</w:t>
      </w:r>
      <w:r>
        <w:rPr>
          <w:rStyle w:val="NormalTok"/>
        </w:rPr>
        <w:t xml:space="preserve">), </w:t>
      </w:r>
      <w:r>
        <w:rPr>
          <w:rStyle w:val="AttributeTok"/>
        </w:rPr>
        <w:t xml:space="preserve">class =</w:t>
      </w:r>
      <w:r>
        <w:rPr>
          <w:rStyle w:val="NormalTok"/>
        </w:rPr>
        <w:t xml:space="preserve"> </w:t>
      </w:r>
      <w:r>
        <w:rPr>
          <w:rStyle w:val="StringTok"/>
        </w:rPr>
        <w:t xml:space="preserve">"sigma"</w:t>
      </w:r>
      <w:r>
        <w:rPr>
          <w:rStyle w:val="NormalTok"/>
        </w:rPr>
        <w:t xml:space="preserve">),</w:t>
      </w:r>
      <w:r>
        <w:br/>
      </w:r>
      <w:r>
        <w:rPr>
          <w:rStyle w:val="NormalTok"/>
        </w:rPr>
        <w:t xml:space="preserve">            brms</w:t>
      </w:r>
      <w:r>
        <w:rPr>
          <w:rStyle w:val="SpecialCharTok"/>
        </w:rPr>
        <w:t xml:space="preserve">::</w:t>
      </w:r>
      <w:r>
        <w:rPr>
          <w:rStyle w:val="FunctionTok"/>
        </w:rPr>
        <w:t xml:space="preserve">prior</w:t>
      </w:r>
      <w:r>
        <w:rPr>
          <w:rStyle w:val="NormalTok"/>
        </w:rPr>
        <w:t xml:space="preserve">(</w:t>
      </w:r>
      <w:r>
        <w:rPr>
          <w:rStyle w:val="FunctionTok"/>
        </w:rPr>
        <w:t xml:space="preserve">lkj</w:t>
      </w:r>
      <w:r>
        <w:rPr>
          <w:rStyle w:val="NormalTok"/>
        </w:rPr>
        <w:t xml:space="preserve">(</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"cor"</w:t>
      </w:r>
      <w:r>
        <w:rPr>
          <w:rStyle w:val="NormalTok"/>
        </w:rPr>
        <w:t xml:space="preserve">)</w:t>
      </w:r>
      <w:r>
        <w:br/>
      </w:r>
      <w:r>
        <w:rPr>
          <w:rStyle w:val="NormalTok"/>
        </w:rPr>
        <w:t xml:space="preserve">        ),</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warmup =</w:t>
      </w:r>
      <w:r>
        <w:rPr>
          <w:rStyle w:val="NormalTok"/>
        </w:rPr>
        <w:t xml:space="preserve"> </w:t>
      </w:r>
      <w:r>
        <w:rPr>
          <w:rStyle w:val="DecValTok"/>
        </w:rPr>
        <w:t xml:space="preserve">250</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1250</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seed =</w:t>
      </w:r>
      <w:r>
        <w:rPr>
          <w:rStyle w:val="NormalTok"/>
        </w:rPr>
        <w:t xml:space="preserve"> </w:t>
      </w:r>
      <w:r>
        <w:rPr>
          <w:rStyle w:val="DecValTok"/>
        </w:rPr>
        <w:t xml:space="preserve">213948</w:t>
      </w:r>
      <w:r>
        <w:br/>
      </w:r>
      <w:r>
        <w:rPr>
          <w:rStyle w:val="NormalTok"/>
        </w:rPr>
        <w:t xml:space="preserve">    )</w:t>
      </w:r>
    </w:p>
    <w:p>
      <w:pPr>
        <w:pStyle w:val="FirstParagraph"/>
      </w:pPr>
      <w:r>
        <w:t xml:space="preserve">Note that in the above code, the formula part</w:t>
      </w:r>
      <w:r>
        <w:t xml:space="preserve"> </w:t>
      </w:r>
      <w:r>
        <w:rPr>
          <w:rStyle w:val="VerbatimChar"/>
        </w:rPr>
        <w:t xml:space="preserve">1 + distance</w:t>
      </w:r>
      <w:r>
        <w:t xml:space="preserve"> </w:t>
      </w:r>
      <w:r>
        <w:t xml:space="preserve">adds the study-level (fixed effects) parameters for the intercept and the antigenic distance slope, and the part</w:t>
      </w:r>
      <w:r>
        <w:t xml:space="preserve"> </w:t>
      </w:r>
      <w:r>
        <w:rPr>
          <w:rStyle w:val="VerbatimChar"/>
        </w:rPr>
        <w:t xml:space="preserve">(1 + distance | id)</w:t>
      </w:r>
      <w:r>
        <w:t xml:space="preserve"> </w:t>
      </w:r>
      <w:r>
        <w:t xml:space="preserve">adds the individual-level (random effects) parameters for each individual id.</w:t>
      </w:r>
    </w:p>
    <w:p>
      <w:pPr>
        <w:pStyle w:val="BodyText"/>
      </w:pPr>
      <w:r>
        <w:t xml:space="preserve">Now that we fit the model (and I made sure to check that the diagnostics are sufficient as mentioned earlier) we want to extract the summary antibody landscape fit. Because we used a multilevel model, there are many ways to get predictions and uncertainty about the best antibody landscape that summarizes the population level. However, we chose to use the global grand mean prediction</w:t>
      </w:r>
      <w:r>
        <w:rPr>
          <w:rStyle w:val="FootnoteReference"/>
        </w:rPr>
        <w:footnoteReference w:id="48"/>
      </w:r>
      <w:r>
        <w:t xml:space="preserve"> </w:t>
      </w:r>
      <w:r>
        <w:t xml:space="preserve">and associated HDCI.</w:t>
      </w:r>
    </w:p>
    <w:p>
      <w:pPr>
        <w:pStyle w:val="BodyText"/>
      </w:pPr>
      <w:r>
        <w:rPr>
          <w:b/>
          <w:bCs/>
        </w:rPr>
        <w:t xml:space="preserve">Make sure to keep the entire set of posterior predictions, because the AUC and other landscape metrics are calculated from the posterior samples.</w:t>
      </w:r>
      <w:r>
        <w:t xml:space="preserve"> </w:t>
      </w:r>
      <w:r>
        <w:t xml:space="preserve">(That’s</w:t>
      </w:r>
      <w:r>
        <w:t xml:space="preserve"> </w:t>
      </w:r>
      <w:r>
        <w:rPr>
          <w:rStyle w:val="VerbatimChar"/>
        </w:rPr>
        <w:t xml:space="preserve">summary_landscape_preds</w:t>
      </w:r>
      <w:r>
        <w:t xml:space="preserve"> </w:t>
      </w:r>
      <w:r>
        <w:t xml:space="preserve">in our code below.) Also note the variable</w:t>
      </w:r>
      <w:r>
        <w:t xml:space="preserve"> </w:t>
      </w:r>
      <w:r>
        <w:rPr>
          <w:rStyle w:val="VerbatimChar"/>
        </w:rPr>
        <w:t xml:space="preserve">h</w:t>
      </w:r>
      <w:r>
        <w:t xml:space="preserve"> </w:t>
      </w:r>
      <w:r>
        <w:t xml:space="preserve">that we assign below – this is called the step size for our interpolated predictions. Making</w:t>
      </w:r>
      <w:r>
        <w:t xml:space="preserve"> </w:t>
      </w:r>
      <w:r>
        <w:rPr>
          <w:rStyle w:val="VerbatimChar"/>
        </w:rPr>
        <w:t xml:space="preserve">h</w:t>
      </w:r>
      <w:r>
        <w:t xml:space="preserve"> </w:t>
      </w:r>
      <w:r>
        <w:t xml:space="preserve">smaller will result in more fine-grained predictions and thus more accurate metric calculations, but the storage space and memory requirements for the posterior samples increase rapidly as</w:t>
      </w:r>
      <w:r>
        <w:t xml:space="preserve"> </w:t>
      </w:r>
      <w:r>
        <w:rPr>
          <w:rStyle w:val="VerbatimChar"/>
        </w:rPr>
        <w:t xml:space="preserve">h</w:t>
      </w:r>
      <w:r>
        <w:t xml:space="preserve"> </w:t>
      </w:r>
      <w:r>
        <w:t xml:space="preserve">decreases. We have found that</w:t>
      </w:r>
      <w:r>
        <w:t xml:space="preserve"> </w:t>
      </w:r>
      <w:r>
        <w:rPr>
          <w:rStyle w:val="VerbatimChar"/>
        </w:rPr>
        <w:t xml:space="preserve">h = 0.01</w:t>
      </w:r>
      <w:r>
        <w:t xml:space="preserve"> </w:t>
      </w:r>
      <w:r>
        <w:t xml:space="preserve">offers a good balance between memory usage and prediction accuracy.</w:t>
      </w:r>
    </w:p>
    <w:p>
      <w:pPr>
        <w:pStyle w:val="SourceCode"/>
      </w:pPr>
      <w:r>
        <w:rPr>
          <w:rStyle w:val="NormalTok"/>
        </w:rPr>
        <w:t xml:space="preserve">h </w:t>
      </w:r>
      <w:r>
        <w:rPr>
          <w:rStyle w:val="OtherTok"/>
        </w:rPr>
        <w:t xml:space="preserve">&lt;-</w:t>
      </w:r>
      <w:r>
        <w:rPr>
          <w:rStyle w:val="NormalTok"/>
        </w:rPr>
        <w:t xml:space="preserve"> </w:t>
      </w:r>
      <w:r>
        <w:rPr>
          <w:rStyle w:val="FloatTok"/>
        </w:rPr>
        <w:t xml:space="preserve">0.01</w:t>
      </w:r>
      <w:r>
        <w:br/>
      </w:r>
      <w:r>
        <w:br/>
      </w:r>
      <w:r>
        <w:rPr>
          <w:rStyle w:val="NormalTok"/>
        </w:rPr>
        <w:t xml:space="preserve">summary_landscapes_preds </w:t>
      </w:r>
      <w:r>
        <w:rPr>
          <w:rStyle w:val="OtherTok"/>
        </w:rPr>
        <w:t xml:space="preserve">&lt;-</w:t>
      </w:r>
      <w:r>
        <w:br/>
      </w:r>
      <w:r>
        <w:rPr>
          <w:rStyle w:val="NormalTok"/>
        </w:rPr>
        <w:t xml:space="preserve">    summary_landscape_model </w:t>
      </w:r>
      <w:r>
        <w:rPr>
          <w:rStyle w:val="SpecialCharTok"/>
        </w:rPr>
        <w:t xml:space="preserve">|&gt;</w:t>
      </w:r>
      <w:r>
        <w:br/>
      </w:r>
      <w:r>
        <w:rPr>
          <w:rStyle w:val="NormalTok"/>
        </w:rPr>
        <w:t xml:space="preserve">    tidybayes</w:t>
      </w:r>
      <w:r>
        <w:rPr>
          <w:rStyle w:val="SpecialCharTok"/>
        </w:rPr>
        <w:t xml:space="preserve">::</w:t>
      </w:r>
      <w:r>
        <w:rPr>
          <w:rStyle w:val="FunctionTok"/>
        </w:rPr>
        <w:t xml:space="preserve">epred_draws</w:t>
      </w:r>
      <w:r>
        <w:rPr>
          <w:rStyle w:val="NormalTok"/>
        </w:rPr>
        <w:t xml:space="preserve">(</w:t>
      </w:r>
      <w:r>
        <w:br/>
      </w:r>
      <w:r>
        <w:rPr>
          <w:rStyle w:val="NormalTok"/>
        </w:rPr>
        <w:t xml:space="preserve">        </w:t>
      </w:r>
      <w:r>
        <w:rPr>
          <w:rStyle w:val="AttributeTok"/>
        </w:rPr>
        <w:t xml:space="preserve">newdata =</w:t>
      </w:r>
      <w:r>
        <w:rPr>
          <w:rStyle w:val="NormalTok"/>
        </w:rPr>
        <w:t xml:space="preserve"> </w:t>
      </w:r>
      <w:r>
        <w:rPr>
          <w:rStyle w:val="FunctionTok"/>
        </w:rPr>
        <w:t xml:space="preserve">data.frame</w:t>
      </w:r>
      <w:r>
        <w:rPr>
          <w:rStyle w:val="NormalTok"/>
        </w:rPr>
        <w:t xml:space="preserve">(</w:t>
      </w:r>
      <w:r>
        <w:rPr>
          <w:rStyle w:val="AttributeTok"/>
        </w:rPr>
        <w:t xml:space="preserve">distance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h)),</w:t>
      </w:r>
      <w:r>
        <w:br/>
      </w:r>
      <w:r>
        <w:rPr>
          <w:rStyle w:val="NormalTok"/>
        </w:rPr>
        <w:t xml:space="preserve">        </w:t>
      </w:r>
      <w:r>
        <w:rPr>
          <w:rStyle w:val="AttributeTok"/>
        </w:rPr>
        <w:t xml:space="preserve">re_formula =</w:t>
      </w:r>
      <w:r>
        <w:rPr>
          <w:rStyle w:val="NormalTok"/>
        </w:rPr>
        <w:t xml:space="preserve"> </w:t>
      </w:r>
      <w:r>
        <w:rPr>
          <w:rStyle w:val="ConstantTok"/>
        </w:rPr>
        <w:t xml:space="preserve">NA</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ungroup</w:t>
      </w:r>
      <w:r>
        <w:rPr>
          <w:rStyle w:val="NormalTok"/>
        </w:rPr>
        <w:t xml:space="preserve">()</w:t>
      </w:r>
      <w:r>
        <w:br/>
      </w:r>
      <w:r>
        <w:br/>
      </w:r>
      <w:r>
        <w:rPr>
          <w:rStyle w:val="NormalTok"/>
        </w:rPr>
        <w:t xml:space="preserve">summary_landscape_intervals </w:t>
      </w:r>
      <w:r>
        <w:rPr>
          <w:rStyle w:val="OtherTok"/>
        </w:rPr>
        <w:t xml:space="preserve">&lt;-</w:t>
      </w:r>
      <w:r>
        <w:br/>
      </w:r>
      <w:r>
        <w:rPr>
          <w:rStyle w:val="NormalTok"/>
        </w:rPr>
        <w:t xml:space="preserve">    summary_landscapes_preds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tidybayes</w:t>
      </w:r>
      <w:r>
        <w:rPr>
          <w:rStyle w:val="SpecialCharTok"/>
        </w:rPr>
        <w:t xml:space="preserve">::</w:t>
      </w:r>
      <w:r>
        <w:rPr>
          <w:rStyle w:val="FunctionTok"/>
        </w:rPr>
        <w:t xml:space="preserve">mean_hdci</w:t>
      </w:r>
      <w:r>
        <w:rPr>
          <w:rStyle w:val="NormalTok"/>
        </w:rPr>
        <w:t xml:space="preserve">(.epred),</w:t>
      </w:r>
      <w:r>
        <w:br/>
      </w:r>
      <w:r>
        <w:rPr>
          <w:rStyle w:val="NormalTok"/>
        </w:rPr>
        <w:t xml:space="preserve">        </w:t>
      </w:r>
      <w:r>
        <w:rPr>
          <w:rStyle w:val="AttributeTok"/>
        </w:rPr>
        <w:t xml:space="preserve">.by =</w:t>
      </w:r>
      <w:r>
        <w:rPr>
          <w:rStyle w:val="NormalTok"/>
        </w:rPr>
        <w:t xml:space="preserve"> distance</w:t>
      </w:r>
      <w:r>
        <w:br/>
      </w:r>
      <w:r>
        <w:rPr>
          <w:rStyle w:val="NormalTok"/>
        </w:rPr>
        <w:t xml:space="preserve">    )</w:t>
      </w:r>
    </w:p>
    <w:p>
      <w:pPr>
        <w:pStyle w:val="FirstParagraph"/>
      </w:pPr>
      <w:r>
        <w:t xml:space="preserve">Now we’ll take our previous plot of the individual antibody landscapes and add the summary antibody landscape on top (</w:t>
      </w:r>
      <w:hyperlink w:anchor="fig-sum-landscape">
        <w:r>
          <w:rPr>
            <w:rStyle w:val="Hyperlink"/>
          </w:rPr>
          <w:t xml:space="preserve">Figure 3</w:t>
        </w:r>
      </w:hyperlink>
      <w:r>
        <w:t xml:space="preserve">).</w:t>
      </w:r>
    </w:p>
    <w:p>
      <w:pPr>
        <w:pStyle w:val="BodyText"/>
      </w:pPr>
      <w:r>
        <w:t xml:space="preserve">We’re currently experimenting with nonlinear methods for fitting the summary antibody landscape, but right now this linear regression version appears to be doing ok. Now that we have the summary antibody landscape posterior samples, we can calculate the metrics based on the posterior samples.</w:t>
      </w:r>
    </w:p>
    <w:bookmarkEnd w:id="50"/>
    <w:bookmarkStart w:id="59" w:name="landscape-based-statistics"/>
    <w:p>
      <w:pPr>
        <w:pStyle w:val="Heading1"/>
      </w:pPr>
      <w:r>
        <w:t xml:space="preserve">Landscape-based statistics</w:t>
      </w:r>
    </w:p>
    <w:p>
      <w:pPr>
        <w:pStyle w:val="FirstParagraph"/>
      </w:pPr>
      <w:r>
        <w:t xml:space="preserve">All three of the landscape-based statistics can be expressed as functions of the posterior predictions of the summary antibody landscape, so we’ll use that to calculate them.</w:t>
      </w:r>
    </w:p>
    <w:tbl>
      <w:tblPr>
        <w:tblStyle w:val="Table"/>
        <w:tblW w:type="pct" w:w="5000"/>
        <w:tblLayout w:type="fixed"/>
        <w:tblLook w:firstRow="0" w:lastRow="0" w:firstColumn="0" w:lastColumn="0" w:noHBand="0" w:noVBand="0" w:val="0000"/>
      </w:tblPr>
      <w:tblGrid>
        <w:gridCol w:w="7920"/>
      </w:tblGrid>
      <w:tr>
        <w:tc>
          <w:tcPr/>
          <w:bookmarkStart w:id="54" w:name="fig-sum-landscape"/>
          <w:p>
            <w:pPr>
              <w:pStyle w:val="Compact"/>
              <w:jc w:val="center"/>
            </w:pPr>
            <w:r>
              <w:drawing>
                <wp:inline>
                  <wp:extent cx="4620126" cy="3696101"/>
                  <wp:effectExtent b="0" l="0" r="0" t="0"/>
                  <wp:docPr descr="" title="" id="52" name="Picture"/>
                  <a:graphic>
                    <a:graphicData uri="http://schemas.openxmlformats.org/drawingml/2006/picture">
                      <pic:pic>
                        <pic:nvPicPr>
                          <pic:cNvPr descr="Methods_files/figure-docx/fig-sum-landscape-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Individual antibody landscapes (lines) and observed HAI data (points), with the study-level posterior mean summary landscape and 95% HDCI (blue line and ribbon).</w:t>
            </w:r>
          </w:p>
          <w:bookmarkEnd w:id="54"/>
        </w:tc>
      </w:tr>
    </w:tbl>
    <w:bookmarkStart w:id="55" w:name="magnitude"/>
    <w:p>
      <w:pPr>
        <w:pStyle w:val="Heading2"/>
      </w:pPr>
      <w:r>
        <w:t xml:space="preserve">Magnitude</w:t>
      </w:r>
    </w:p>
    <w:p>
      <w:pPr>
        <w:pStyle w:val="FirstParagraph"/>
      </w:pPr>
      <w:r>
        <w:t xml:space="preserve">We measure the magnitude of the summary landscape as the intercept of the line – recall that we only saved the posterior samples of the conditional predictions though, so we should express this as the average prediction when</w:t>
      </w:r>
      <w:r>
        <w:t xml:space="preserve"> </w:t>
      </w:r>
      <m:oMath>
        <m:r>
          <m:t>d</m:t>
        </m:r>
        <m:r>
          <m:rPr>
            <m:sty m:val="p"/>
          </m:rPr>
          <m:t>=</m:t>
        </m:r>
        <m:r>
          <m:t>0</m:t>
        </m:r>
      </m:oMath>
      <w:r>
        <w:t xml:space="preserve">. That is,</w:t>
      </w:r>
    </w:p>
    <w:p>
      <w:pPr>
        <w:pStyle w:val="BodyText"/>
      </w:pPr>
      <m:oMathPara>
        <m:oMathParaPr>
          <m:jc m:val="center"/>
        </m:oMathParaPr>
        <m:oMath>
          <m:r>
            <m:rPr>
              <m:nor/>
              <m:sty m:val="p"/>
            </m:rPr>
            <m:t>Magnitude</m:t>
          </m:r>
          <m:r>
            <m:rPr>
              <m:sty m:val="p"/>
            </m:rPr>
            <m:t>=</m:t>
          </m:r>
          <m:f>
            <m:fPr>
              <m:type m:val="bar"/>
            </m:fPr>
            <m:num>
              <m:r>
                <m:t>1</m:t>
              </m:r>
            </m:num>
            <m:den>
              <m:r>
                <m:t>m</m:t>
              </m:r>
            </m:den>
          </m:f>
          <m:nary>
            <m:naryPr>
              <m:chr m:val="∑"/>
              <m:limLoc m:val="undOvr"/>
              <m:subHide m:val="off"/>
              <m:supHide m:val="off"/>
            </m:naryPr>
            <m:sub>
              <m:r>
                <m:t>j</m:t>
              </m:r>
              <m:r>
                <m:rPr>
                  <m:sty m:val="p"/>
                </m:rPr>
                <m:t>=</m:t>
              </m:r>
              <m:r>
                <m:t>1</m:t>
              </m:r>
            </m:sub>
            <m:sup>
              <m:r>
                <m:t>m</m:t>
              </m:r>
            </m:sup>
            <m:e>
              <m:sSub>
                <m:e>
                  <m:acc>
                    <m:accPr>
                      <m:chr m:val="̂"/>
                    </m:accPr>
                    <m:e>
                      <m:r>
                        <m:t>β</m:t>
                      </m:r>
                    </m:e>
                  </m:acc>
                </m:e>
                <m:sub>
                  <m:r>
                    <m:t>0</m:t>
                  </m:r>
                  <m:r>
                    <m:rPr>
                      <m:sty m:val="p"/>
                    </m:rPr>
                    <m:t>,</m:t>
                  </m:r>
                  <m:r>
                    <m:t>j</m:t>
                  </m:r>
                </m:sub>
              </m:sSub>
            </m:e>
          </m:nary>
          <m:r>
            <m:rPr>
              <m:sty m:val="p"/>
            </m:rPr>
            <m:t>,</m:t>
          </m:r>
        </m:oMath>
      </m:oMathPara>
    </w:p>
    <w:p>
      <w:pPr>
        <w:pStyle w:val="FirstParagraph"/>
      </w:pPr>
      <w:r>
        <w:t xml:space="preserve">where</w:t>
      </w:r>
      <w:r>
        <w:t xml:space="preserve"> </w:t>
      </w:r>
      <m:oMath>
        <m:r>
          <m:t>j</m:t>
        </m:r>
        <m:r>
          <m:rPr>
            <m:sty m:val="p"/>
          </m:rPr>
          <m:t>=</m:t>
        </m:r>
        <m:r>
          <m:t>1</m:t>
        </m:r>
        <m:r>
          <m:rPr>
            <m:sty m:val="p"/>
          </m:rPr>
          <m:t>,</m:t>
        </m:r>
        <m:r>
          <m:rPr>
            <m:sty m:val="p"/>
          </m:rPr>
          <m:t>…</m:t>
        </m:r>
        <m:r>
          <m:rPr>
            <m:sty m:val="p"/>
          </m:rPr>
          <m:t>,</m:t>
        </m:r>
        <m:r>
          <m:t>m</m:t>
        </m:r>
      </m:oMath>
      <w:r>
        <w:t xml:space="preserve"> </w:t>
      </w:r>
      <w:r>
        <w:t xml:space="preserve">indexes the posterior samples from the model. Estimating this from the posterior samples is easy because all we have to do is average the predictions where</w:t>
      </w:r>
      <w:r>
        <w:t xml:space="preserve"> </w:t>
      </w:r>
      <m:oMath>
        <m:r>
          <m:t>d</m:t>
        </m:r>
        <m:r>
          <m:rPr>
            <m:sty m:val="p"/>
          </m:rPr>
          <m:t>=</m:t>
        </m:r>
        <m:r>
          <m:t>0</m:t>
        </m:r>
      </m:oMath>
      <w:r>
        <w:t xml:space="preserve">.</w:t>
      </w:r>
    </w:p>
    <w:p>
      <w:pPr>
        <w:pStyle w:val="SourceCode"/>
      </w:pPr>
      <w:r>
        <w:rPr>
          <w:rStyle w:val="NormalTok"/>
        </w:rPr>
        <w:t xml:space="preserve">summary_landscapes_preds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(distance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(tidybayes</w:t>
      </w:r>
      <w:r>
        <w:rPr>
          <w:rStyle w:val="SpecialCharTok"/>
        </w:rPr>
        <w:t xml:space="preserve">::</w:t>
      </w:r>
      <w:r>
        <w:rPr>
          <w:rStyle w:val="FunctionTok"/>
        </w:rPr>
        <w:t xml:space="preserve">mean_hdci</w:t>
      </w:r>
      <w:r>
        <w:rPr>
          <w:rStyle w:val="NormalTok"/>
        </w:rPr>
        <w:t xml:space="preserve">(.epred))</w:t>
      </w:r>
    </w:p>
    <w:p>
      <w:pPr>
        <w:pStyle w:val="SourceCode"/>
      </w:pPr>
      <w:r>
        <w:rPr>
          <w:rStyle w:val="VerbatimChar"/>
        </w:rPr>
        <w:t xml:space="preserve"># A tibble: 1 × 6</w:t>
      </w:r>
      <w:r>
        <w:br/>
      </w:r>
      <w:r>
        <w:rPr>
          <w:rStyle w:val="VerbatimChar"/>
        </w:rPr>
        <w:t xml:space="preserve">      y  ymin  ymax .width .point .interval</w:t>
      </w:r>
      <w:r>
        <w:br/>
      </w:r>
      <w:r>
        <w:rPr>
          <w:rStyle w:val="VerbatimChar"/>
        </w:rPr>
        <w:t xml:space="preserve">  &lt;dbl&gt; &lt;dbl&gt; &lt;dbl&gt;  &lt;dbl&gt; &lt;chr&gt;  &lt;chr&gt;    </w:t>
      </w:r>
      <w:r>
        <w:br/>
      </w:r>
      <w:r>
        <w:rPr>
          <w:rStyle w:val="VerbatimChar"/>
        </w:rPr>
        <w:t xml:space="preserve">1  5.92  5.57  6.28   0.95 mean   hdci     </w:t>
      </w:r>
    </w:p>
    <w:p>
      <w:pPr>
        <w:pStyle w:val="FirstParagraph"/>
      </w:pPr>
      <w:r>
        <w:t xml:space="preserve">So we see that our estimate for the magnitude is</w:t>
      </w:r>
      <w:r>
        <w:t xml:space="preserve"> </w:t>
      </w:r>
      <m:oMath>
        <m:r>
          <m:t>5.92</m:t>
        </m:r>
      </m:oMath>
      <w:r>
        <w:t xml:space="preserve"> </w:t>
      </w:r>
      <w:r>
        <w:t xml:space="preserve">with a credible interval of</w:t>
      </w:r>
      <w:r>
        <w:t xml:space="preserve"> </w:t>
      </w:r>
      <m:oMath>
        <m:d>
          <m:dPr>
            <m:begChr m:val="("/>
            <m:endChr m:val=")"/>
            <m:sepChr m:val=""/>
            <m:grow/>
          </m:dPr>
          <m:e>
            <m:r>
              <m:t>5.57</m:t>
            </m:r>
            <m:r>
              <m:rPr>
                <m:sty m:val="p"/>
              </m:rPr>
              <m:t>,</m:t>
            </m:r>
            <m:r>
              <m:t>6.28</m:t>
            </m:r>
          </m:e>
        </m:d>
      </m:oMath>
      <w:r>
        <w:t xml:space="preserve">.</w:t>
      </w:r>
    </w:p>
    <w:p>
      <w:pPr>
        <w:pStyle w:val="BodyText"/>
      </w:pPr>
      <w:r>
        <w:t xml:space="preserve">We can also backtransform this one to HAI units to compare it to the GMT</w:t>
      </w:r>
      <w:r>
        <w:rPr>
          <w:vertAlign w:val="subscript"/>
        </w:rPr>
        <w:t xml:space="preserve">0</w:t>
      </w:r>
      <w:r>
        <w:t xml:space="preserve"> </w:t>
      </w:r>
      <w:r>
        <w:t xml:space="preserve">estimate.</w:t>
      </w:r>
    </w:p>
    <w:p>
      <w:pPr>
        <w:pStyle w:val="SourceCode"/>
      </w:pP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FloatTok"/>
        </w:rPr>
        <w:t xml:space="preserve">5.92</w:t>
      </w:r>
      <w:r>
        <w:rPr>
          <w:rStyle w:val="NormalTok"/>
        </w:rPr>
        <w:t xml:space="preserve">, </w:t>
      </w:r>
      <w:r>
        <w:rPr>
          <w:rStyle w:val="FloatTok"/>
        </w:rPr>
        <w:t xml:space="preserve">5.57</w:t>
      </w:r>
      <w:r>
        <w:rPr>
          <w:rStyle w:val="NormalTok"/>
        </w:rPr>
        <w:t xml:space="preserve">, </w:t>
      </w:r>
      <w:r>
        <w:rPr>
          <w:rStyle w:val="FloatTok"/>
        </w:rPr>
        <w:t xml:space="preserve">6.28</w:t>
      </w:r>
      <w:r>
        <w:rPr>
          <w:rStyle w:val="NormalTok"/>
        </w:rPr>
        <w:t xml:space="preserve">)</w:t>
      </w:r>
    </w:p>
    <w:p>
      <w:pPr>
        <w:pStyle w:val="SourceCode"/>
      </w:pPr>
      <w:r>
        <w:rPr>
          <w:rStyle w:val="VerbatimChar"/>
        </w:rPr>
        <w:t xml:space="preserve">[1] 302.7384 237.5238 388.5424</w:t>
      </w:r>
    </w:p>
    <w:p>
      <w:pPr>
        <w:pStyle w:val="FirstParagraph"/>
      </w:pPr>
      <w:r>
        <w:t xml:space="preserve">As you can see, this is actually larger than the</w:t>
      </w:r>
      <w:r>
        <w:t xml:space="preserve"> </w:t>
      </w:r>
      <m:oMath>
        <m:r>
          <m:t>G</m:t>
        </m:r>
        <m:r>
          <m:t>M</m:t>
        </m:r>
        <m:sSub>
          <m:e>
            <m:r>
              <m:t>T</m:t>
            </m:r>
          </m:e>
          <m:sub>
            <m:r>
              <m:t>0</m:t>
            </m:r>
          </m:sub>
        </m:sSub>
      </m:oMath>
      <w:r>
        <w:t xml:space="preserve"> </w:t>
      </w:r>
      <w:r>
        <w:t xml:space="preserve">estimate – accounting for the antigenic distance allows us to get a better estimate of the average homologous response.</w:t>
      </w:r>
    </w:p>
    <w:bookmarkEnd w:id="55"/>
    <w:bookmarkStart w:id="56" w:name="breadth"/>
    <w:p>
      <w:pPr>
        <w:pStyle w:val="Heading2"/>
      </w:pPr>
      <w:r>
        <w:t xml:space="preserve">Breadth</w:t>
      </w:r>
    </w:p>
    <w:p>
      <w:pPr>
        <w:pStyle w:val="FirstParagraph"/>
      </w:pPr>
      <w:r>
        <w:t xml:space="preserve">Our estimate of the breadth is the intersection between the horizontal line</w:t>
      </w:r>
      <w:r>
        <w:t xml:space="preserve"> </w:t>
      </w:r>
      <m:oMath>
        <m:r>
          <m:t>y</m:t>
        </m:r>
        <m:r>
          <m:rPr>
            <m:sty m:val="p"/>
          </m:rPr>
          <m:t>=</m:t>
        </m:r>
        <m:r>
          <m:t>3</m:t>
        </m:r>
      </m:oMath>
      <w:r>
        <w:t xml:space="preserve"> </w:t>
      </w:r>
      <w:r>
        <w:t xml:space="preserve">(or</w:t>
      </w:r>
      <w:r>
        <w:t xml:space="preserve"> </w:t>
      </w:r>
      <m:oMath>
        <m:r>
          <m:t>y</m:t>
        </m:r>
        <m:r>
          <m:rPr>
            <m:sty m:val="p"/>
          </m:rPr>
          <m:t>=</m:t>
        </m:r>
        <m:r>
          <m:t>40</m:t>
        </m:r>
      </m:oMath>
      <w:r>
        <w:t xml:space="preserve"> </w:t>
      </w:r>
      <w:r>
        <w:t xml:space="preserve">on the natural scale of the HAI titers) and the summary antibody landscape. This estimates the antigenic distance where we expect post-vaccination HAI titers to drop below the clinical protection threshold. The first thing we need to do is for each sample find the predicted values that are closest to 3. Then we get the distance value associated with that prediction, and that is our measurement of the breadth.</w:t>
      </w:r>
    </w:p>
    <w:p>
      <w:pPr>
        <w:pStyle w:val="SourceCode"/>
      </w:pPr>
      <w:r>
        <w:rPr>
          <w:rStyle w:val="NormalTok"/>
        </w:rPr>
        <w:t xml:space="preserve">summary_landscapes_preds </w:t>
      </w:r>
      <w:r>
        <w:rPr>
          <w:rStyle w:val="SpecialCharTok"/>
        </w:rPr>
        <w:t xml:space="preserve">|&gt;</w:t>
      </w:r>
      <w:r>
        <w:br/>
      </w:r>
      <w:r>
        <w:rPr>
          <w:rStyle w:val="NormalTok"/>
        </w:rPr>
        <w:t xml:space="preserve">    </w:t>
      </w:r>
      <w:r>
        <w:rPr>
          <w:rStyle w:val="CommentTok"/>
        </w:rPr>
        <w:t xml:space="preserve"># minimizing |prediction - 3| over the draws will tell us which x-value is</w:t>
      </w:r>
      <w:r>
        <w:br/>
      </w:r>
      <w:r>
        <w:rPr>
          <w:rStyle w:val="NormalTok"/>
        </w:rPr>
        <w:t xml:space="preserve">    </w:t>
      </w:r>
      <w:r>
        <w:rPr>
          <w:rStyle w:val="CommentTok"/>
        </w:rPr>
        <w:t xml:space="preserve"># closest to a y-value of 3.</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diff_from_threshold =</w:t>
      </w:r>
      <w:r>
        <w:rPr>
          <w:rStyle w:val="NormalTok"/>
        </w:rPr>
        <w:t xml:space="preserve"> </w:t>
      </w:r>
      <w:r>
        <w:rPr>
          <w:rStyle w:val="FunctionTok"/>
        </w:rPr>
        <w:t xml:space="preserve">abs</w:t>
      </w:r>
      <w:r>
        <w:rPr>
          <w:rStyle w:val="NormalTok"/>
        </w:rPr>
        <w:t xml:space="preserve">(.epred </w:t>
      </w:r>
      <w:r>
        <w:rPr>
          <w:rStyle w:val="SpecialCha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w:t>
      </w:r>
      <w:r>
        <w:rPr>
          <w:rStyle w:val="CommentTok"/>
        </w:rPr>
        <w:t xml:space="preserve"># For each posterior sample (aka posterior draw) of the summary landscape,</w:t>
      </w:r>
      <w:r>
        <w:br/>
      </w:r>
      <w:r>
        <w:rPr>
          <w:rStyle w:val="NormalTok"/>
        </w:rPr>
        <w:t xml:space="preserve">        </w:t>
      </w:r>
      <w:r>
        <w:rPr>
          <w:rStyle w:val="CommentTok"/>
        </w:rPr>
        <w:t xml:space="preserve"># get the predicted y-value that is closest to 3.</w:t>
      </w:r>
      <w:r>
        <w:br/>
      </w:r>
      <w:r>
        <w:rPr>
          <w:rStyle w:val="NormalTok"/>
        </w:rPr>
        <w:t xml:space="preserve">        </w:t>
      </w:r>
      <w:r>
        <w:rPr>
          <w:rStyle w:val="AttributeTok"/>
        </w:rPr>
        <w:t xml:space="preserve">closest =</w:t>
      </w:r>
      <w:r>
        <w:rPr>
          <w:rStyle w:val="NormalTok"/>
        </w:rPr>
        <w:t xml:space="preserve"> </w:t>
      </w:r>
      <w:r>
        <w:rPr>
          <w:rStyle w:val="FunctionTok"/>
        </w:rPr>
        <w:t xml:space="preserve">min</w:t>
      </w:r>
      <w:r>
        <w:rPr>
          <w:rStyle w:val="NormalTok"/>
        </w:rPr>
        <w:t xml:space="preserve">(diff_from_threshold),</w:t>
      </w:r>
      <w:r>
        <w:br/>
      </w:r>
      <w:r>
        <w:rPr>
          <w:rStyle w:val="NormalTok"/>
        </w:rPr>
        <w:t xml:space="preserve">        </w:t>
      </w:r>
      <w:r>
        <w:rPr>
          <w:rStyle w:val="CommentTok"/>
        </w:rPr>
        <w:t xml:space="preserve"># Now get the x-value that's associated with that y-value -- this is the</w:t>
      </w:r>
      <w:r>
        <w:br/>
      </w:r>
      <w:r>
        <w:rPr>
          <w:rStyle w:val="NormalTok"/>
        </w:rPr>
        <w:t xml:space="preserve">        </w:t>
      </w:r>
      <w:r>
        <w:rPr>
          <w:rStyle w:val="CommentTok"/>
        </w:rPr>
        <w:t xml:space="preserve"># estimate for that posterior draw.</w:t>
      </w:r>
      <w:r>
        <w:br/>
      </w:r>
      <w:r>
        <w:rPr>
          <w:rStyle w:val="NormalTok"/>
        </w:rPr>
        <w:t xml:space="preserve">        </w:t>
      </w:r>
      <w:r>
        <w:rPr>
          <w:rStyle w:val="AttributeTok"/>
        </w:rPr>
        <w:t xml:space="preserve">breadth =</w:t>
      </w:r>
      <w:r>
        <w:rPr>
          <w:rStyle w:val="NormalTok"/>
        </w:rPr>
        <w:t xml:space="preserve"> distance[</w:t>
      </w:r>
      <w:r>
        <w:rPr>
          <w:rStyle w:val="FunctionTok"/>
        </w:rPr>
        <w:t xml:space="preserve">which.min</w:t>
      </w:r>
      <w:r>
        <w:rPr>
          <w:rStyle w:val="NormalTok"/>
        </w:rPr>
        <w:t xml:space="preserve">(diff_from_threshold)],</w:t>
      </w:r>
      <w:r>
        <w:br/>
      </w:r>
      <w:r>
        <w:rPr>
          <w:rStyle w:val="NormalTok"/>
        </w:rPr>
        <w:t xml:space="preserve">        </w:t>
      </w:r>
      <w:r>
        <w:rPr>
          <w:rStyle w:val="AttributeTok"/>
        </w:rPr>
        <w:t xml:space="preserve">.by =</w:t>
      </w:r>
      <w:r>
        <w:rPr>
          <w:rStyle w:val="NormalTok"/>
        </w:rPr>
        <w:t xml:space="preserve"> .draw</w:t>
      </w:r>
      <w:r>
        <w:br/>
      </w:r>
      <w:r>
        <w:rPr>
          <w:rStyle w:val="NormalTok"/>
        </w:rPr>
        <w:t xml:space="preserve">    ) </w:t>
      </w:r>
      <w:r>
        <w:rPr>
          <w:rStyle w:val="SpecialCharTok"/>
        </w:rPr>
        <w:t xml:space="preserve">|&gt;</w:t>
      </w:r>
      <w:r>
        <w:br/>
      </w:r>
      <w:r>
        <w:rPr>
          <w:rStyle w:val="NormalTok"/>
        </w:rPr>
        <w:t xml:space="preserve">    </w:t>
      </w:r>
      <w:r>
        <w:rPr>
          <w:rStyle w:val="CommentTok"/>
        </w:rPr>
        <w:t xml:space="preserve"># Summarize the posterior samples into a point estimate and CI</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tidybayes</w:t>
      </w:r>
      <w:r>
        <w:rPr>
          <w:rStyle w:val="SpecialCharTok"/>
        </w:rPr>
        <w:t xml:space="preserve">::</w:t>
      </w:r>
      <w:r>
        <w:rPr>
          <w:rStyle w:val="FunctionTok"/>
        </w:rPr>
        <w:t xml:space="preserve">mean_hdci</w:t>
      </w:r>
      <w:r>
        <w:rPr>
          <w:rStyle w:val="NormalTok"/>
        </w:rPr>
        <w:t xml:space="preserve">(breadth)</w:t>
      </w:r>
      <w:r>
        <w:br/>
      </w:r>
      <w:r>
        <w:rPr>
          <w:rStyle w:val="NormalTok"/>
        </w:rPr>
        <w:t xml:space="preserve">    )</w:t>
      </w:r>
    </w:p>
    <w:p>
      <w:pPr>
        <w:pStyle w:val="SourceCode"/>
      </w:pPr>
      <w:r>
        <w:rPr>
          <w:rStyle w:val="VerbatimChar"/>
        </w:rPr>
        <w:t xml:space="preserve"># A tibble: 1 × 6</w:t>
      </w:r>
      <w:r>
        <w:br/>
      </w:r>
      <w:r>
        <w:rPr>
          <w:rStyle w:val="VerbatimChar"/>
        </w:rPr>
        <w:t xml:space="preserve">      y  ymin  ymax .width .point .interval</w:t>
      </w:r>
      <w:r>
        <w:br/>
      </w:r>
      <w:r>
        <w:rPr>
          <w:rStyle w:val="VerbatimChar"/>
        </w:rPr>
        <w:t xml:space="preserve">  &lt;dbl&gt; &lt;dbl&gt; &lt;dbl&gt;  &lt;dbl&gt; &lt;chr&gt;  &lt;chr&gt;    </w:t>
      </w:r>
      <w:r>
        <w:br/>
      </w:r>
      <w:r>
        <w:rPr>
          <w:rStyle w:val="VerbatimChar"/>
        </w:rPr>
        <w:t xml:space="preserve">1 0.613  0.56  0.66   0.95 mean   hdci     </w:t>
      </w:r>
    </w:p>
    <w:p>
      <w:pPr>
        <w:pStyle w:val="FirstParagraph"/>
      </w:pPr>
      <w:r>
        <w:t xml:space="preserve">So our estimate of the breadth for our example data is</w:t>
      </w:r>
      <w:r>
        <w:t xml:space="preserve"> </w:t>
      </w:r>
      <m:oMath>
        <m:r>
          <m:t>0.61</m:t>
        </m:r>
      </m:oMath>
      <w:r>
        <w:t xml:space="preserve"> </w:t>
      </w:r>
      <w:r>
        <w:t xml:space="preserve">with a 95% CI of</w:t>
      </w:r>
      <w:r>
        <w:t xml:space="preserve"> </w:t>
      </w:r>
      <m:oMath>
        <m:d>
          <m:dPr>
            <m:begChr m:val="("/>
            <m:endChr m:val=")"/>
            <m:sepChr m:val=""/>
            <m:grow/>
          </m:dPr>
          <m:e>
            <m:r>
              <m:t>0.56</m:t>
            </m:r>
            <m:r>
              <m:rPr>
                <m:sty m:val="p"/>
              </m:rPr>
              <m:t>,</m:t>
            </m:r>
            <m:r>
              <m:t>0.66</m:t>
            </m:r>
          </m:e>
        </m:d>
      </m:oMath>
      <w:r>
        <w:t xml:space="preserve">.</w:t>
      </w:r>
    </w:p>
    <w:bookmarkEnd w:id="56"/>
    <w:bookmarkStart w:id="58" w:name="strength"/>
    <w:p>
      <w:pPr>
        <w:pStyle w:val="Heading2"/>
      </w:pPr>
      <w:r>
        <w:t xml:space="preserve">Strength</w:t>
      </w:r>
    </w:p>
    <w:p>
      <w:pPr>
        <w:pStyle w:val="FirstParagraph"/>
      </w:pPr>
      <w:r>
        <w:t xml:space="preserve">The last metric we need to calculate is the AUC. Because we’re using a linear regression model, we could actually write out a formula to easily calculate the AUC from the intercept and slope samples. But because we want to generalize to potentially more complicated models, we need to do some numeric calculations (this is true for the breadth estimate as well).</w:t>
      </w:r>
    </w:p>
    <w:p>
      <w:pPr>
        <w:pStyle w:val="BodyText"/>
      </w:pPr>
      <w:r>
        <w:t xml:space="preserve">Since we already have the interpolated posterior samples, we can calculate the numeric AUC using</w:t>
      </w:r>
      <w:r>
        <w:t xml:space="preserve"> </w:t>
      </w:r>
      <w:hyperlink r:id="rId57">
        <w:r>
          <w:rPr>
            <w:rStyle w:val="Hyperlink"/>
          </w:rPr>
          <w:t xml:space="preserve">any of the existing methods for numerical integration</w:t>
        </w:r>
      </w:hyperlink>
      <w:r>
        <w:t xml:space="preserve">. The computationally fastest and simplest to implement is the trapezoidal rule, which has a computationally efficient implementation in the function</w:t>
      </w:r>
      <w:r>
        <w:t xml:space="preserve"> </w:t>
      </w:r>
      <w:r>
        <w:rPr>
          <w:rStyle w:val="VerbatimChar"/>
        </w:rPr>
        <w:t xml:space="preserve">pracma::trapz()</w:t>
      </w:r>
      <w:r>
        <w:t xml:space="preserve">. All we have to do is put in the interpolated</w:t>
      </w:r>
      <w:r>
        <w:t xml:space="preserve"> </w:t>
      </w:r>
      <w:r>
        <w:rPr>
          <w:rStyle w:val="VerbatimChar"/>
        </w:rPr>
        <w:t xml:space="preserve">distance</w:t>
      </w:r>
      <w:r>
        <w:t xml:space="preserve"> </w:t>
      </w:r>
      <w:r>
        <w:t xml:space="preserve">values and their corresponding posterior predictions and this function estimates the area under the curve for us – we repeat this for each posterior sample of the summary landscape to get a credible interval.</w:t>
      </w:r>
    </w:p>
    <w:p>
      <w:pPr>
        <w:pStyle w:val="SourceCode"/>
      </w:pPr>
      <w:r>
        <w:rPr>
          <w:rStyle w:val="NormalTok"/>
        </w:rPr>
        <w:t xml:space="preserve">summary_landscapes_preds </w:t>
      </w:r>
      <w:r>
        <w:rPr>
          <w:rStyle w:val="SpecialCharTok"/>
        </w:rPr>
        <w:t xml:space="preserve">|&gt;</w:t>
      </w:r>
      <w:r>
        <w:br/>
      </w:r>
      <w:r>
        <w:rPr>
          <w:rStyle w:val="NormalTok"/>
        </w:rPr>
        <w:t xml:space="preserve">    </w:t>
      </w:r>
      <w:r>
        <w:rPr>
          <w:rStyle w:val="CommentTok"/>
        </w:rPr>
        <w:t xml:space="preserve"># Calculate the AUC for each posterior sample of the line</w:t>
      </w:r>
      <w:r>
        <w:br/>
      </w:r>
      <w:r>
        <w:rPr>
          <w:rStyle w:val="NormalTok"/>
        </w:rPr>
        <w:t xml:space="preserve">    dplyr</w:t>
      </w:r>
      <w:r>
        <w:rPr>
          <w:rStyle w:val="SpecialCharTok"/>
        </w:rPr>
        <w:t xml:space="preserve">::</w:t>
      </w:r>
      <w:r>
        <w:rPr>
          <w:rStyle w:val="FunctionTok"/>
        </w:rPr>
        <w:t xml:space="preserve">summarize</w:t>
      </w:r>
      <w:r>
        <w:rPr>
          <w:rStyle w:val="NormalTok"/>
        </w:rPr>
        <w:t xml:space="preserve">(</w:t>
      </w:r>
      <w:r>
        <w:br/>
      </w:r>
      <w:r>
        <w:rPr>
          <w:rStyle w:val="NormalTok"/>
        </w:rPr>
        <w:t xml:space="preserve">        </w:t>
      </w:r>
      <w:r>
        <w:rPr>
          <w:rStyle w:val="AttributeTok"/>
        </w:rPr>
        <w:t xml:space="preserve">AUC =</w:t>
      </w:r>
      <w:r>
        <w:rPr>
          <w:rStyle w:val="NormalTok"/>
        </w:rPr>
        <w:t xml:space="preserve"> pracma</w:t>
      </w:r>
      <w:r>
        <w:rPr>
          <w:rStyle w:val="SpecialCharTok"/>
        </w:rPr>
        <w:t xml:space="preserve">::</w:t>
      </w:r>
      <w:r>
        <w:rPr>
          <w:rStyle w:val="FunctionTok"/>
        </w:rPr>
        <w:t xml:space="preserve">trapz</w:t>
      </w:r>
      <w:r>
        <w:rPr>
          <w:rStyle w:val="NormalTok"/>
        </w:rPr>
        <w:t xml:space="preserve">(</w:t>
      </w:r>
      <w:r>
        <w:rPr>
          <w:rStyle w:val="AttributeTok"/>
        </w:rPr>
        <w:t xml:space="preserve">x =</w:t>
      </w:r>
      <w:r>
        <w:rPr>
          <w:rStyle w:val="NormalTok"/>
        </w:rPr>
        <w:t xml:space="preserve"> distance, </w:t>
      </w:r>
      <w:r>
        <w:rPr>
          <w:rStyle w:val="AttributeTok"/>
        </w:rPr>
        <w:t xml:space="preserve">y =</w:t>
      </w:r>
      <w:r>
        <w:rPr>
          <w:rStyle w:val="NormalTok"/>
        </w:rPr>
        <w:t xml:space="preserve"> .epred),</w:t>
      </w:r>
      <w:r>
        <w:br/>
      </w:r>
      <w:r>
        <w:rPr>
          <w:rStyle w:val="NormalTok"/>
        </w:rPr>
        <w:t xml:space="preserve">        </w:t>
      </w:r>
      <w:r>
        <w:rPr>
          <w:rStyle w:val="AttributeTok"/>
        </w:rPr>
        <w:t xml:space="preserve">.by =</w:t>
      </w:r>
      <w:r>
        <w:rPr>
          <w:rStyle w:val="NormalTok"/>
        </w:rPr>
        <w:t xml:space="preserve"> .draw</w:t>
      </w:r>
      <w:r>
        <w:br/>
      </w:r>
      <w:r>
        <w:rPr>
          <w:rStyle w:val="NormalTok"/>
        </w:rPr>
        <w:t xml:space="preserve">    ) </w:t>
      </w:r>
      <w:r>
        <w:rPr>
          <w:rStyle w:val="SpecialCharTok"/>
        </w:rPr>
        <w:t xml:space="preserve">|&gt;</w:t>
      </w:r>
      <w:r>
        <w:br/>
      </w:r>
      <w:r>
        <w:rPr>
          <w:rStyle w:val="NormalTok"/>
        </w:rPr>
        <w:t xml:space="preserve">    </w:t>
      </w:r>
      <w:r>
        <w:rPr>
          <w:rStyle w:val="CommentTok"/>
        </w:rPr>
        <w:t xml:space="preserve"># And summarize it into a point estimate and interval</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tidybayes</w:t>
      </w:r>
      <w:r>
        <w:rPr>
          <w:rStyle w:val="SpecialCharTok"/>
        </w:rPr>
        <w:t xml:space="preserve">::</w:t>
      </w:r>
      <w:r>
        <w:rPr>
          <w:rStyle w:val="FunctionTok"/>
        </w:rPr>
        <w:t xml:space="preserve">mean_hdci</w:t>
      </w:r>
      <w:r>
        <w:rPr>
          <w:rStyle w:val="NormalTok"/>
        </w:rPr>
        <w:t xml:space="preserve">(AUC)</w:t>
      </w:r>
      <w:r>
        <w:br/>
      </w:r>
      <w:r>
        <w:rPr>
          <w:rStyle w:val="NormalTok"/>
        </w:rPr>
        <w:t xml:space="preserve">    )</w:t>
      </w:r>
    </w:p>
    <w:p>
      <w:pPr>
        <w:pStyle w:val="SourceCode"/>
      </w:pPr>
      <w:r>
        <w:rPr>
          <w:rStyle w:val="VerbatimChar"/>
        </w:rPr>
        <w:t xml:space="preserve"># A tibble: 1 × 6</w:t>
      </w:r>
      <w:r>
        <w:br/>
      </w:r>
      <w:r>
        <w:rPr>
          <w:rStyle w:val="VerbatimChar"/>
        </w:rPr>
        <w:t xml:space="preserve">      y  ymin  ymax .width .point .interval</w:t>
      </w:r>
      <w:r>
        <w:br/>
      </w:r>
      <w:r>
        <w:rPr>
          <w:rStyle w:val="VerbatimChar"/>
        </w:rPr>
        <w:t xml:space="preserve">  &lt;dbl&gt; &lt;dbl&gt; &lt;dbl&gt;  &lt;dbl&gt; &lt;chr&gt;  &lt;chr&gt;    </w:t>
      </w:r>
      <w:r>
        <w:br/>
      </w:r>
      <w:r>
        <w:rPr>
          <w:rStyle w:val="VerbatimChar"/>
        </w:rPr>
        <w:t xml:space="preserve">1  3.54  3.31  3.78   0.95 mean   hdci     </w:t>
      </w:r>
    </w:p>
    <w:p>
      <w:pPr>
        <w:pStyle w:val="FirstParagraph"/>
      </w:pPr>
      <w:r>
        <w:t xml:space="preserve">So our estimate for the AUC for the example data is</w:t>
      </w:r>
      <w:r>
        <w:t xml:space="preserve"> </w:t>
      </w:r>
      <m:oMath>
        <m:r>
          <m:t>3.54</m:t>
        </m:r>
      </m:oMath>
      <w:r>
        <w:t xml:space="preserve"> </w:t>
      </w:r>
      <w:r>
        <w:t xml:space="preserve">with a 95% CI of</w:t>
      </w:r>
      <w:r>
        <w:t xml:space="preserve"> </w:t>
      </w:r>
      <m:oMath>
        <m:d>
          <m:dPr>
            <m:begChr m:val="("/>
            <m:endChr m:val=")"/>
            <m:sepChr m:val=""/>
            <m:grow/>
          </m:dPr>
          <m:e>
            <m:r>
              <m:t>3.31</m:t>
            </m:r>
            <m:r>
              <m:rPr>
                <m:sty m:val="p"/>
              </m:rPr>
              <m:t>,</m:t>
            </m:r>
            <m:r>
              <m:t>3.78</m:t>
            </m:r>
          </m:e>
        </m:d>
      </m:oMath>
      <w:r>
        <w:t xml:space="preserve">. Normally, the units for the AUC estimate are a product of the units for the x-variable and the units for the y-variable. But since we min-max scaled the x-variable, it is actually unitless – that means we can interpret the AUC as an average log-titer measurement over the antigenic distances. So, we can backtransform the AUC to the nominal HAI scale to get a better understanding.</w:t>
      </w:r>
    </w:p>
    <w:p>
      <w:pPr>
        <w:pStyle w:val="SourceCode"/>
      </w:pPr>
      <w:r>
        <w:rPr>
          <w:rStyle w:val="VerbatimChar"/>
        </w:rPr>
        <w:t xml:space="preserve">[1] 58.15890 49.58831 68.68523</w:t>
      </w:r>
    </w:p>
    <w:p>
      <w:pPr>
        <w:pStyle w:val="FirstParagraph"/>
      </w:pPr>
      <w:r>
        <w:t xml:space="preserve">These numbers are on the same order of magnitude as the GMT estimates, but a bit smaller – it’s still kind of hard to directly interpret the</w:t>
      </w:r>
      <w:r>
        <w:t xml:space="preserve"> </w:t>
      </w:r>
      <w:r>
        <w:t xml:space="preserve">“goodness”</w:t>
      </w:r>
      <w:r>
        <w:t xml:space="preserve"> </w:t>
      </w:r>
      <w:r>
        <w:t xml:space="preserve">of this number, and it is best used for comparison across multiple vaccinces, panels of historical viruses, or subsamples.</w:t>
      </w:r>
    </w:p>
    <w:bookmarkEnd w:id="58"/>
    <w:bookmarkEnd w:id="59"/>
    <w:bookmarkStart w:id="60" w:name="contact-info"/>
    <w:p>
      <w:pPr>
        <w:pStyle w:val="Heading1"/>
      </w:pPr>
      <w:r>
        <w:t xml:space="preserve">Contact info</w:t>
      </w:r>
    </w:p>
    <w:p>
      <w:pPr>
        <w:pStyle w:val="FirstParagraph"/>
      </w:pPr>
      <w:r>
        <w:t xml:space="preserve">Please contact Zane Billings (email: wesley.billings@uga.edu) or Andreas Handel (email: ahandel@uga.edu) for questions about these methods.</w:t>
      </w:r>
    </w:p>
    <w:bookmarkEnd w:id="60"/>
    <w:sectPr w:rsidR="00C36501" w:rsidSect="00F81DBC">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4330317"/>
      <w:docPartObj>
        <w:docPartGallery w:val="Page Numbers (Bottom of Page)"/>
        <w:docPartUnique/>
      </w:docPartObj>
    </w:sdtPr>
    <w:sdtEndPr>
      <w:rPr>
        <w:noProof/>
      </w:rPr>
    </w:sdtEndPr>
    <w:sdtContent>
      <w:p w14:paraId="14FCFFC3" w14:textId="48E2B678" w:rsidR="00C37000" w:rsidRDefault="00C37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C6C316" w14:textId="77777777" w:rsidR="00C37000" w:rsidRDefault="00C3700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Min-max normalization is a linear and monotonic transformation, so it preserves all of the statistical properties we care about. Using min-max normalization on the antigenic distance makes sure that AUC values using different antigenic distance methods and different assay panels can be fairly compared against each other (as long as the outcome is HAI). Other normalization methods like</w:t>
      </w:r>
      <w:r>
        <w:t xml:space="preserve"> </w:t>
      </w:r>
      <m:oMath>
        <m:r>
          <m:t>z</m:t>
        </m:r>
      </m:oMath>
      <w:r>
        <w:t xml:space="preserve">-score standardization might be useful but we haven’t compared them.</w:t>
      </w:r>
    </w:p>
  </w:footnote>
  <w:footnote w:id="22">
    <w:p>
      <w:pPr>
        <w:pStyle w:val="FootnoteText"/>
      </w:pPr>
      <w:r>
        <w:rPr>
          <w:rStyle w:val="FootnoteReference"/>
        </w:rPr>
        <w:footnoteRef/>
      </w:r>
      <w:r>
        <w:t xml:space="preserve"> </w:t>
      </w:r>
      <w:r>
        <w:t xml:space="preserve">If you use</w:t>
      </w:r>
      <w:r>
        <w:t xml:space="preserve"> </w:t>
      </w:r>
      <w:r>
        <w:rPr>
          <w:rStyle w:val="VerbatimChar"/>
        </w:rPr>
        <w:t xml:space="preserve">ggplot2</w:t>
      </w:r>
      <w:r>
        <w:t xml:space="preserve"> </w:t>
      </w:r>
      <w:r>
        <w:t xml:space="preserve">like we do, we recommend adding jitter manually rather than using</w:t>
      </w:r>
      <w:r>
        <w:t xml:space="preserve"> </w:t>
      </w:r>
      <w:r>
        <w:rPr>
          <w:rStyle w:val="VerbatimChar"/>
        </w:rPr>
        <w:t xml:space="preserve">ggplot2</w:t>
      </w:r>
      <w:r>
        <w:t xml:space="preserve">’s built-in jitter functionality. As of the time of writing, there is no way to have</w:t>
      </w:r>
      <w:r>
        <w:t xml:space="preserve"> </w:t>
      </w:r>
      <w:r>
        <w:rPr>
          <w:rStyle w:val="VerbatimChar"/>
        </w:rPr>
        <w:t xml:space="preserve">ggplot2</w:t>
      </w:r>
      <w:r>
        <w:t xml:space="preserve">’s built-in jitter apply the same jitter to both ends of a line and to a point.</w:t>
      </w:r>
    </w:p>
  </w:footnote>
  <w:footnote w:id="34">
    <w:p>
      <w:pPr>
        <w:pStyle w:val="FootnoteText"/>
      </w:pPr>
      <w:r>
        <w:rPr>
          <w:rStyle w:val="FootnoteReference"/>
        </w:rPr>
        <w:footnoteRef/>
      </w:r>
      <w:r>
        <w:t xml:space="preserve"> </w:t>
      </w:r>
      <w:r>
        <w:t xml:space="preserve">If you prefer not to use</w:t>
      </w:r>
      <w:r>
        <w:t xml:space="preserve"> </w:t>
      </w:r>
      <w:r>
        <w:rPr>
          <w:rStyle w:val="VerbatimChar"/>
        </w:rPr>
        <w:t xml:space="preserve">tidyverse</w:t>
      </w:r>
      <w:r>
        <w:t xml:space="preserve">, the</w:t>
      </w:r>
      <w:r>
        <w:t xml:space="preserve"> </w:t>
      </w:r>
      <w:r>
        <w:rPr>
          <w:rStyle w:val="VerbatimChar"/>
        </w:rPr>
        <w:t xml:space="preserve">ifelse()</w:t>
      </w:r>
      <w:r>
        <w:t xml:space="preserve"> </w:t>
      </w:r>
      <w:r>
        <w:t xml:space="preserve">statements in the code will still work, you just need to make sure to use a function like</w:t>
      </w:r>
      <w:r>
        <w:t xml:space="preserve"> </w:t>
      </w:r>
      <w:r>
        <w:rPr>
          <w:rStyle w:val="VerbatimChar"/>
        </w:rPr>
        <w:t xml:space="preserve">transform()</w:t>
      </w:r>
      <w:r>
        <w:t xml:space="preserve"> </w:t>
      </w:r>
      <w:r>
        <w:t xml:space="preserve">or</w:t>
      </w:r>
      <w:r>
        <w:t xml:space="preserve"> </w:t>
      </w:r>
      <w:r>
        <w:rPr>
          <w:rStyle w:val="VerbatimChar"/>
        </w:rPr>
        <w:t xml:space="preserve">with()</w:t>
      </w:r>
      <w:r>
        <w:t xml:space="preserve">, or manually specify the dataset for each column every time, i.e. </w:t>
      </w:r>
      <w:r>
        <w:rPr>
          <w:rStyle w:val="VerbatimChar"/>
        </w:rPr>
        <w:t xml:space="preserve">titer_data$posttiter</w:t>
      </w:r>
      <w:r>
        <w:t xml:space="preserve"> </w:t>
      </w:r>
      <w:r>
        <w:t xml:space="preserve">if you aren’t using a function that adds the column names to the scope.</w:t>
      </w:r>
    </w:p>
  </w:footnote>
  <w:footnote w:id="41">
    <w:p>
      <w:pPr>
        <w:pStyle w:val="FootnoteText"/>
      </w:pPr>
      <w:r>
        <w:rPr>
          <w:rStyle w:val="FootnoteReference"/>
        </w:rPr>
        <w:footnoteRef/>
      </w:r>
      <w:r>
        <w:t xml:space="preserve"> </w:t>
      </w:r>
      <w:r>
        <w:t xml:space="preserve">We typically use the mean as the point estimate along with a 95% highest density continuous interval (HDCI), implemented through</w:t>
      </w:r>
      <w:r>
        <w:t xml:space="preserve"> </w:t>
      </w:r>
      <w:r>
        <w:rPr>
          <w:rStyle w:val="VerbatimChar"/>
        </w:rPr>
        <w:t xml:space="preserve">tidybayes::mean_hdci()</w:t>
      </w:r>
      <w:r>
        <w:t xml:space="preserve">. You could also use the median or the mode (also called the MAP or Maximum</w:t>
      </w:r>
      <w:r>
        <w:t xml:space="preserve"> </w:t>
      </w:r>
      <w:r>
        <w:rPr>
          <w:i/>
          <w:iCs/>
        </w:rPr>
        <w:t xml:space="preserve">a posteriori</w:t>
      </w:r>
      <w:r>
        <w:t xml:space="preserve"> </w:t>
      </w:r>
      <w:r>
        <w:t xml:space="preserve">estimate) for the point estimate, and you could also use an equal-tailed credible interval. The choice depends on personal preference and interpretation.</w:t>
      </w:r>
    </w:p>
  </w:footnote>
  <w:footnote w:id="43">
    <w:p>
      <w:pPr>
        <w:pStyle w:val="FootnoteText"/>
      </w:pPr>
      <w:r>
        <w:rPr>
          <w:rStyle w:val="FootnoteReference"/>
        </w:rPr>
        <w:footnoteRef/>
      </w:r>
      <w:r>
        <w:t xml:space="preserve"> </w:t>
      </w:r>
      <w:r>
        <w:t xml:space="preserve">That is,</w:t>
      </w:r>
      <w:r>
        <w:t xml:space="preserve"> </w:t>
      </w:r>
      <m:oMath>
        <m:r>
          <m:rPr>
            <m:sty m:val="p"/>
          </m:rPr>
          <m:t>log</m:t>
        </m:r>
        <m:d>
          <m:dPr>
            <m:begChr m:val="("/>
            <m:endChr m:val=")"/>
            <m:sepChr m:val=""/>
            <m:grow/>
          </m:dPr>
          <m:e>
            <m:r>
              <m:t>a</m:t>
            </m:r>
            <m:r>
              <m:rPr>
                <m:sty m:val="p"/>
              </m:rPr>
              <m:t>/</m:t>
            </m:r>
            <m:r>
              <m:t>b</m:t>
            </m:r>
          </m:e>
        </m:d>
        <m:r>
          <m:rPr>
            <m:sty m:val="p"/>
          </m:rPr>
          <m:t>=</m:t>
        </m:r>
        <m:r>
          <m:rPr>
            <m:sty m:val="p"/>
          </m:rPr>
          <m:t>log</m:t>
        </m:r>
        <m:d>
          <m:dPr>
            <m:begChr m:val="("/>
            <m:endChr m:val=")"/>
            <m:sepChr m:val=""/>
            <m:grow/>
          </m:dPr>
          <m:e>
            <m:r>
              <m:t>a</m:t>
            </m:r>
          </m:e>
        </m:d>
        <m:r>
          <m:rPr>
            <m:sty m:val="p"/>
          </m:rPr>
          <m:t>−</m:t>
        </m:r>
        <m:r>
          <m:rPr>
            <m:sty m:val="p"/>
          </m:rPr>
          <m:t>log</m:t>
        </m:r>
        <m:d>
          <m:dPr>
            <m:begChr m:val="("/>
            <m:endChr m:val=")"/>
            <m:sepChr m:val=""/>
            <m:grow/>
          </m:dPr>
          <m:e>
            <m:r>
              <m:t>b</m:t>
            </m:r>
          </m:e>
        </m:d>
      </m:oMath>
      <w:r>
        <w:t xml:space="preserve">.</w:t>
      </w:r>
    </w:p>
  </w:footnote>
  <w:footnote w:id="47">
    <w:p>
      <w:pPr>
        <w:pStyle w:val="FootnoteText"/>
      </w:pPr>
      <w:r>
        <w:rPr>
          <w:rStyle w:val="FootnoteReference"/>
        </w:rPr>
        <w:footnoteRef/>
      </w:r>
      <w:r>
        <w:t xml:space="preserve"> </w:t>
      </w:r>
      <w:r>
        <w:t xml:space="preserve">The Student</w:t>
      </w:r>
      <w:r>
        <w:t xml:space="preserve"> </w:t>
      </w:r>
      <m:oMath>
        <m:r>
          <m:t>t</m:t>
        </m:r>
      </m:oMath>
      <w:r>
        <w:t xml:space="preserve"> </w:t>
      </w:r>
      <w:r>
        <w:t xml:space="preserve">priors are the same as those we used in the simpler models. However, the multivariate normal distribution can be problematic to parametrize, especially in terms of a prior for</w:t>
      </w:r>
      <w:r>
        <w:t xml:space="preserve"> </w:t>
      </w:r>
      <m:oMath>
        <m:sSub>
          <m:e>
            <m:r>
              <m:t>Σ</m:t>
            </m:r>
          </m:e>
          <m:sub>
            <m:r>
              <m:t>b</m:t>
            </m:r>
          </m:sub>
        </m:sSub>
      </m:oMath>
      <w:r>
        <w:t xml:space="preserve">, the covariance matrix of the random effects. The best solution, and the one used by</w:t>
      </w:r>
      <w:r>
        <w:t xml:space="preserve"> </w:t>
      </w:r>
      <w:r>
        <w:rPr>
          <w:rStyle w:val="VerbatimChar"/>
        </w:rPr>
        <w:t xml:space="preserve">brms</w:t>
      </w:r>
      <w:r>
        <w:t xml:space="preserve">, is to use a Cholesky decomposition of the covariance matrix and apply a Lewandowski-Kurowicka-Joe prior to the Cholesky factor of</w:t>
      </w:r>
      <w:r>
        <w:t xml:space="preserve"> </w:t>
      </w:r>
      <m:oMath>
        <m:sSub>
          <m:e>
            <m:r>
              <m:t>Σ</m:t>
            </m:r>
          </m:e>
          <m:sub>
            <m:r>
              <m:t>b</m:t>
            </m:r>
          </m:sub>
        </m:sSub>
      </m:oMath>
      <w:r>
        <w:t xml:space="preserve">. We recommend</w:t>
      </w:r>
      <w:r>
        <w:t xml:space="preserve"> </w:t>
      </w:r>
      <m:oMath>
        <m:r>
          <m:t>η</m:t>
        </m:r>
        <m:r>
          <m:rPr>
            <m:sty m:val="p"/>
          </m:rPr>
          <m:t>=</m:t>
        </m:r>
        <m:r>
          <m:t>2</m:t>
        </m:r>
      </m:oMath>
      <w:r>
        <w:t xml:space="preserve"> </w:t>
      </w:r>
      <w:r>
        <w:t xml:space="preserve">as a sensible default for the covariance Cholesky factor prior.</w:t>
      </w:r>
    </w:p>
  </w:footnote>
  <w:footnote w:id="48">
    <w:p>
      <w:pPr>
        <w:pStyle w:val="FootnoteText"/>
      </w:pPr>
      <w:r>
        <w:rPr>
          <w:rStyle w:val="FootnoteReference"/>
        </w:rPr>
        <w:footnoteRef/>
      </w:r>
      <w:r>
        <w:t xml:space="preserve"> </w:t>
      </w:r>
      <w:r>
        <w:t xml:space="preserve">there is unfortunately no standard language used to describe these different methods, other than getting lost in describing different parts of the model as marginal or conditional. We adopt the terminology of Andrew Heiss, who provides an excellent layman-friendly explanation of this issue in</w:t>
      </w:r>
      <w:r>
        <w:t xml:space="preserve"> </w:t>
      </w:r>
      <w:hyperlink r:id="rId49">
        <w:r>
          <w:rPr>
            <w:rStyle w:val="Hyperlink"/>
          </w:rPr>
          <w:t xml:space="preserve">a blog post</w:t>
        </w:r>
      </w:hyperlink>
      <w:r>
        <w:t xml:space="preserv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FD2E9160"/>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11E02556"/>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779134149" w:numId="1">
    <w:abstractNumId w:val="0"/>
  </w:num>
  <w:num w16cid:durableId="1590117339" w:numId="2">
    <w:abstractNumId w:val="1"/>
  </w:num>
  <w:num w16cid:durableId="166406846" w:numId="3">
    <w:abstractNumId w:val="1"/>
  </w:num>
  <w:num w16cid:durableId="214511979" w:numId="4">
    <w:abstractNumId w:val="1"/>
  </w:num>
  <w:num w16cid:durableId="1077706229" w:numId="5">
    <w:abstractNumId w:val="1"/>
  </w:num>
  <w:num w16cid:durableId="931622122" w:numId="6">
    <w:abstractNumId w:val="1"/>
  </w:num>
  <w:num w16cid:durableId="1990086472" w:numId="7">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01"/>
    <w:rsid w:val="001276DB"/>
    <w:rsid w:val="004959CA"/>
    <w:rsid w:val="00C36501"/>
    <w:rsid w:val="00C37000"/>
    <w:rsid w:val="00F60300"/>
    <w:rsid w:val="00F81DBC"/>
    <w:rsid w:val="00FE3A19"/>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b/>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b/>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LineNumber" w:type="character">
    <w:name w:val="line number"/>
    <w:basedOn w:val="DefaultParagraphFont"/>
    <w:rsid w:val="00F81DBC"/>
  </w:style>
  <w:style w:styleId="Header" w:type="paragraph">
    <w:name w:val="header"/>
    <w:basedOn w:val="Normal"/>
    <w:link w:val="HeaderChar"/>
    <w:rsid w:val="00C37000"/>
    <w:pPr>
      <w:tabs>
        <w:tab w:pos="4680" w:val="center"/>
        <w:tab w:pos="9360" w:val="right"/>
      </w:tabs>
      <w:spacing w:after="0"/>
    </w:pPr>
  </w:style>
  <w:style w:customStyle="1" w:styleId="HeaderChar" w:type="character">
    <w:name w:val="Header Char"/>
    <w:basedOn w:val="DefaultParagraphFont"/>
    <w:link w:val="Header"/>
    <w:rsid w:val="00C37000"/>
  </w:style>
  <w:style w:styleId="Footer" w:type="paragraph">
    <w:name w:val="footer"/>
    <w:basedOn w:val="Normal"/>
    <w:link w:val="FooterChar"/>
    <w:uiPriority w:val="99"/>
    <w:rsid w:val="00C37000"/>
    <w:pPr>
      <w:tabs>
        <w:tab w:pos="4680" w:val="center"/>
        <w:tab w:pos="9360" w:val="right"/>
      </w:tabs>
      <w:spacing w:after="0"/>
    </w:pPr>
  </w:style>
  <w:style w:customStyle="1" w:styleId="FooterChar" w:type="character">
    <w:name w:val="Footer Char"/>
    <w:basedOn w:val="DefaultParagraphFont"/>
    <w:link w:val="Footer"/>
    <w:uiPriority w:val="99"/>
    <w:rsid w:val="00C37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51" Target="media/rId51.png" /><Relationship Type="http://schemas.openxmlformats.org/officeDocument/2006/relationships/hyperlink" Id="rId40" Target="https://discourse.mc-stan.org/" TargetMode="External" /><Relationship Type="http://schemas.openxmlformats.org/officeDocument/2006/relationships/hyperlink" Id="rId57" Target="https://en.wikipedia.org/wiki/Numerical_integration" TargetMode="External" /><Relationship Type="http://schemas.openxmlformats.org/officeDocument/2006/relationships/hyperlink" Id="rId39" Target="https://mc-stan.org/cmdstanr/articles/cmdstanr.html" TargetMode="External" /><Relationship Type="http://schemas.openxmlformats.org/officeDocument/2006/relationships/hyperlink" Id="rId38" Target="https://paulbuerkner.com/brms/" TargetMode="External" /><Relationship Type="http://schemas.openxmlformats.org/officeDocument/2006/relationships/hyperlink" Id="rId25" Target="https://paulbuerkner.com/brms/reference/brmsformula.html" TargetMode="External" /><Relationship Type="http://schemas.openxmlformats.org/officeDocument/2006/relationships/hyperlink" Id="rId49" Target="https://www.andrewheiss.com/blog/2021/11/10/ame-bayes-re-guide/" TargetMode="External" /></Relationships>
</file>

<file path=word/_rels/footnotes.xml.rels><?xml version="1.0" encoding="UTF-8"?><Relationships xmlns="http://schemas.openxmlformats.org/package/2006/relationships"><Relationship Type="http://schemas.openxmlformats.org/officeDocument/2006/relationships/hyperlink" Id="rId40" Target="https://discourse.mc-stan.org/" TargetMode="External" /><Relationship Type="http://schemas.openxmlformats.org/officeDocument/2006/relationships/hyperlink" Id="rId57" Target="https://en.wikipedia.org/wiki/Numerical_integration" TargetMode="External" /><Relationship Type="http://schemas.openxmlformats.org/officeDocument/2006/relationships/hyperlink" Id="rId39" Target="https://mc-stan.org/cmdstanr/articles/cmdstanr.html" TargetMode="External" /><Relationship Type="http://schemas.openxmlformats.org/officeDocument/2006/relationships/hyperlink" Id="rId38" Target="https://paulbuerkner.com/brms/" TargetMode="External" /><Relationship Type="http://schemas.openxmlformats.org/officeDocument/2006/relationships/hyperlink" Id="rId25" Target="https://paulbuerkner.com/brms/reference/brmsformula.html" TargetMode="External" /><Relationship Type="http://schemas.openxmlformats.org/officeDocument/2006/relationships/hyperlink" Id="rId49" Target="https://www.andrewheiss.com/blog/2021/11/10/ame-bayes-re-gu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1684</Words>
  <Characters>9599</Characters>
  <Application>Microsoft Office Word</Application>
  <DocSecurity>0</DocSecurity>
  <Lines>79</Lines>
  <Paragraphs>22</Paragraphs>
  <ScaleCrop>false</ScaleCrop>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Calculating breadth statistics</dc:title>
  <dc:creator>Zane Billings</dc:creator>
  <cp:keywords/>
  <dcterms:created xsi:type="dcterms:W3CDTF">2025-05-16T15:20:39Z</dcterms:created>
  <dcterms:modified xsi:type="dcterms:W3CDTF">2025-05-16T15:20:39Z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2025-05-15</vt:lpwstr>
  </property>
  <property fmtid="{D5CDD505-2E9C-101B-9397-08002B2CF9AE}" pid="6" name="date-format">
    <vt:lpwstr>iso</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