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4146" w14:textId="77777777" w:rsidR="004C23B3" w:rsidRDefault="00000000">
      <w:pPr>
        <w:pStyle w:val="Title"/>
      </w:pPr>
      <w:r>
        <w:t>Different antigenic distance metrics generate similar predictions of influenza vaccine response breadth despite moderate correlation</w:t>
      </w:r>
    </w:p>
    <w:p w14:paraId="6FD407BF" w14:textId="77777777" w:rsidR="004C23B3" w:rsidRDefault="00000000">
      <w:pPr>
        <w:pStyle w:val="Heading1"/>
      </w:pPr>
      <w:bookmarkStart w:id="0" w:name="authors"/>
      <w:r>
        <w:t>Authors</w:t>
      </w:r>
    </w:p>
    <w:p w14:paraId="343A2B1D" w14:textId="77777777" w:rsidR="004C23B3"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3694D3C6" w14:textId="77777777" w:rsidR="004C23B3"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068D1D6A" w14:textId="77777777" w:rsidR="004C23B3"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6EAE0DBF" w14:textId="77777777" w:rsidR="004C23B3"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265258F7" w14:textId="77777777" w:rsidR="004C23B3"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402BC9E2" w14:textId="77777777" w:rsidR="004C23B3"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6AECA7E2" w14:textId="77777777" w:rsidR="004C23B3"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13F17F91" w14:textId="77777777" w:rsidR="004C23B3"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32B797E5" w14:textId="77777777" w:rsidR="004C23B3"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484B0B33" w14:textId="77777777" w:rsidR="004C23B3"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01F989A9" w14:textId="77777777" w:rsidR="004C23B3"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5D22BB9C" w14:textId="77777777" w:rsidR="004C23B3"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188437C1" w14:textId="77777777" w:rsidR="004C23B3" w:rsidRDefault="00000000">
      <w:pPr>
        <w:pStyle w:val="FirstParagraph"/>
      </w:pPr>
      <w:r>
        <w:rPr>
          <w:b/>
          <w:bCs/>
        </w:rPr>
        <w:t>Affiliations</w:t>
      </w:r>
    </w:p>
    <w:p w14:paraId="235B96B2" w14:textId="77777777" w:rsidR="004C23B3"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0BB0EB41" w14:textId="77777777" w:rsidR="004C23B3"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1D3DE61F" w14:textId="77777777" w:rsidR="004C23B3" w:rsidRDefault="00000000">
      <w:pPr>
        <w:pStyle w:val="Compact"/>
        <w:numPr>
          <w:ilvl w:val="0"/>
          <w:numId w:val="10"/>
        </w:numPr>
      </w:pPr>
      <m:oMath>
        <m:r>
          <w:rPr>
            <w:rFonts w:ascii="Cambria Math" w:hAnsi="Cambria Math"/>
          </w:rPr>
          <m:t>3</m:t>
        </m:r>
      </m:oMath>
      <w:r>
        <w:t>: Vivli, Cambridge, MA, USA.</w:t>
      </w:r>
    </w:p>
    <w:p w14:paraId="6AB1EE01" w14:textId="77777777" w:rsidR="004C23B3"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470485CA" w14:textId="77777777" w:rsidR="004C23B3"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138D5FAA" w14:textId="77777777" w:rsidR="004C23B3" w:rsidRDefault="00000000">
      <w:pPr>
        <w:pStyle w:val="Compact"/>
        <w:numPr>
          <w:ilvl w:val="0"/>
          <w:numId w:val="10"/>
        </w:numPr>
      </w:pPr>
      <m:oMath>
        <m:r>
          <w:rPr>
            <w:rFonts w:ascii="Cambria Math" w:hAnsi="Cambria Math"/>
          </w:rPr>
          <m:t>6</m:t>
        </m:r>
      </m:oMath>
      <w:r>
        <w:t>: Department of Ecology and Evolution, University of Chicago, Chicago, IL, USA.</w:t>
      </w:r>
    </w:p>
    <w:p w14:paraId="319BC8F6" w14:textId="77777777" w:rsidR="004C23B3"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407954CB" w14:textId="77777777" w:rsidR="004C23B3" w:rsidRDefault="00000000">
      <w:pPr>
        <w:pStyle w:val="Compact"/>
        <w:numPr>
          <w:ilvl w:val="0"/>
          <w:numId w:val="10"/>
        </w:numPr>
      </w:pPr>
      <m:oMath>
        <m:r>
          <w:rPr>
            <w:rFonts w:ascii="Cambria Math" w:hAnsi="Cambria Math"/>
          </w:rPr>
          <m:t>8</m:t>
        </m:r>
      </m:oMath>
      <w:r>
        <w:t>: Florida Research &amp; Innovation Center, Cleveland Clinic, Port St. Lucie, FL, USA.</w:t>
      </w:r>
    </w:p>
    <w:p w14:paraId="09B6B7E8" w14:textId="77777777" w:rsidR="004C23B3"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41B9EFAF" w14:textId="77777777" w:rsidR="004C23B3" w:rsidRDefault="00000000">
      <w:pPr>
        <w:pStyle w:val="BodyText"/>
      </w:pPr>
      <w:r>
        <w:rPr>
          <w:b/>
          <w:bCs/>
        </w:rPr>
        <w:t>Author contributions (CRediT)</w:t>
      </w:r>
    </w:p>
    <w:p w14:paraId="152CF374" w14:textId="77777777" w:rsidR="004C23B3" w:rsidRDefault="00000000">
      <w:pPr>
        <w:pStyle w:val="Compact"/>
        <w:numPr>
          <w:ilvl w:val="0"/>
          <w:numId w:val="11"/>
        </w:numPr>
      </w:pPr>
      <w:r>
        <w:t>ZB: conceptualization, data curation, formal analysis, methodology, software, visualization, writing (original draft preparation), writing (review and editing)</w:t>
      </w:r>
    </w:p>
    <w:p w14:paraId="78846BAC" w14:textId="77777777" w:rsidR="004C23B3" w:rsidRDefault="00000000">
      <w:pPr>
        <w:pStyle w:val="Compact"/>
        <w:numPr>
          <w:ilvl w:val="0"/>
          <w:numId w:val="11"/>
        </w:numPr>
      </w:pPr>
      <w:r>
        <w:t>YG: data curation, methodology, writing (review and editing)</w:t>
      </w:r>
    </w:p>
    <w:p w14:paraId="0B23B114" w14:textId="77777777" w:rsidR="004C23B3" w:rsidRDefault="00000000">
      <w:pPr>
        <w:pStyle w:val="Compact"/>
        <w:numPr>
          <w:ilvl w:val="0"/>
          <w:numId w:val="11"/>
        </w:numPr>
      </w:pPr>
      <w:r>
        <w:t>ALS: data curation, methodology, writing (review and editing)</w:t>
      </w:r>
    </w:p>
    <w:p w14:paraId="734D0F06" w14:textId="77777777" w:rsidR="004C23B3" w:rsidRDefault="00000000">
      <w:pPr>
        <w:pStyle w:val="Compact"/>
        <w:numPr>
          <w:ilvl w:val="0"/>
          <w:numId w:val="11"/>
        </w:numPr>
      </w:pPr>
      <w:r>
        <w:t>SLM: methodology, validation, writing (review and editing)</w:t>
      </w:r>
    </w:p>
    <w:p w14:paraId="6E46534F" w14:textId="77777777" w:rsidR="004C23B3" w:rsidRDefault="00000000">
      <w:pPr>
        <w:pStyle w:val="Compact"/>
        <w:numPr>
          <w:ilvl w:val="0"/>
          <w:numId w:val="11"/>
        </w:numPr>
      </w:pPr>
      <w:r>
        <w:t>HH: methodology, validation, writing (review and editing)</w:t>
      </w:r>
    </w:p>
    <w:p w14:paraId="1AF700E7" w14:textId="77777777" w:rsidR="004C23B3" w:rsidRDefault="00000000">
      <w:pPr>
        <w:pStyle w:val="Compact"/>
        <w:numPr>
          <w:ilvl w:val="0"/>
          <w:numId w:val="11"/>
        </w:numPr>
      </w:pPr>
      <w:r>
        <w:t>MJ: methodology, validation, writing (review and editing)</w:t>
      </w:r>
    </w:p>
    <w:p w14:paraId="10EA537F" w14:textId="77777777" w:rsidR="004C23B3" w:rsidRDefault="00000000">
      <w:pPr>
        <w:pStyle w:val="Compact"/>
        <w:numPr>
          <w:ilvl w:val="0"/>
          <w:numId w:val="11"/>
        </w:numPr>
      </w:pPr>
      <w:r>
        <w:t>NED: writing (review and editing)</w:t>
      </w:r>
    </w:p>
    <w:p w14:paraId="0891DDBF" w14:textId="77777777" w:rsidR="004C23B3" w:rsidRDefault="00000000">
      <w:pPr>
        <w:pStyle w:val="Compact"/>
        <w:numPr>
          <w:ilvl w:val="0"/>
          <w:numId w:val="11"/>
        </w:numPr>
      </w:pPr>
      <w:r>
        <w:t>SC: writing (review and editing)</w:t>
      </w:r>
    </w:p>
    <w:p w14:paraId="5EF49B1D" w14:textId="77777777" w:rsidR="004C23B3" w:rsidRDefault="00000000">
      <w:pPr>
        <w:pStyle w:val="Compact"/>
        <w:numPr>
          <w:ilvl w:val="0"/>
          <w:numId w:val="11"/>
        </w:numPr>
      </w:pPr>
      <w:r>
        <w:t>BJC: writing (review and editing)</w:t>
      </w:r>
    </w:p>
    <w:p w14:paraId="68EF8040" w14:textId="77777777" w:rsidR="004C23B3" w:rsidRDefault="00000000">
      <w:pPr>
        <w:pStyle w:val="Compact"/>
        <w:numPr>
          <w:ilvl w:val="0"/>
          <w:numId w:val="11"/>
        </w:numPr>
      </w:pPr>
      <w:r>
        <w:t>YS: writing (review and editing)</w:t>
      </w:r>
    </w:p>
    <w:p w14:paraId="4717F37D" w14:textId="77777777" w:rsidR="004C23B3" w:rsidRDefault="00000000">
      <w:pPr>
        <w:pStyle w:val="Compact"/>
        <w:numPr>
          <w:ilvl w:val="0"/>
          <w:numId w:val="11"/>
        </w:numPr>
      </w:pPr>
      <w:r>
        <w:t>TMR: data curation, investigation, resources, writing (review and editing)</w:t>
      </w:r>
    </w:p>
    <w:p w14:paraId="7CE4CCE3" w14:textId="77777777" w:rsidR="004C23B3" w:rsidRDefault="00000000">
      <w:pPr>
        <w:pStyle w:val="Compact"/>
        <w:numPr>
          <w:ilvl w:val="0"/>
          <w:numId w:val="11"/>
        </w:numPr>
      </w:pPr>
      <w:r>
        <w:t>AH: conceptualization, methodology, supervision, writing (original draft preparation), writing (review and editing), funding acquisition</w:t>
      </w:r>
    </w:p>
    <w:p w14:paraId="70950F6E" w14:textId="77777777" w:rsidR="004C23B3" w:rsidRDefault="00000000">
      <w:pPr>
        <w:pStyle w:val="FirstParagraph"/>
      </w:pPr>
      <w:r>
        <w:rPr>
          <w:b/>
          <w:bCs/>
        </w:rPr>
        <w:t>Funding sources</w:t>
      </w:r>
    </w:p>
    <w:p w14:paraId="217DEF9D" w14:textId="77777777" w:rsidR="004C23B3" w:rsidRDefault="00000000">
      <w:pPr>
        <w:pStyle w:val="Compact"/>
        <w:numPr>
          <w:ilvl w:val="0"/>
          <w:numId w:val="12"/>
        </w:numPr>
      </w:pPr>
      <w:r>
        <w:t>NED: partial funding from NIH contract(s)/grant(s) R01-AI139761.</w:t>
      </w:r>
    </w:p>
    <w:p w14:paraId="775E2F3A" w14:textId="77777777" w:rsidR="004C23B3" w:rsidRDefault="00000000">
      <w:pPr>
        <w:pStyle w:val="Compact"/>
        <w:numPr>
          <w:ilvl w:val="0"/>
          <w:numId w:val="12"/>
        </w:numPr>
      </w:pPr>
      <w:r>
        <w:t>TMR: partial funding from the Georgia Research Alliance as an Eminent Scholar.</w:t>
      </w:r>
    </w:p>
    <w:p w14:paraId="7346B210" w14:textId="77777777" w:rsidR="004C23B3" w:rsidRDefault="00000000">
      <w:pPr>
        <w:pStyle w:val="Compact"/>
        <w:numPr>
          <w:ilvl w:val="0"/>
          <w:numId w:val="12"/>
        </w:numPr>
      </w:pPr>
      <w:r>
        <w:t>AH: partial funding from NIH contract(s)/grant(s) U01AI150747, R01AI170116, and 75N93019C00052.</w:t>
      </w:r>
    </w:p>
    <w:p w14:paraId="7A2A0286" w14:textId="77777777" w:rsidR="004C23B3" w:rsidRDefault="00000000">
      <w:pPr>
        <w:pStyle w:val="Compact"/>
        <w:numPr>
          <w:ilvl w:val="0"/>
          <w:numId w:val="12"/>
        </w:numPr>
      </w:pPr>
      <w:r>
        <w:t>YS: partial funding from NIH contract(s)/grant(s) R35GM146612, R01AI170116, and 75N93019C00052.</w:t>
      </w:r>
    </w:p>
    <w:p w14:paraId="38AFD27B" w14:textId="77777777" w:rsidR="004C23B3" w:rsidRDefault="00000000">
      <w:pPr>
        <w:pStyle w:val="Compact"/>
        <w:numPr>
          <w:ilvl w:val="0"/>
          <w:numId w:val="12"/>
        </w:numPr>
      </w:pPr>
      <w:r>
        <w:t>SC: partial funding from NIH contract(s)/grant(s) R01AI170116.</w:t>
      </w:r>
    </w:p>
    <w:p w14:paraId="4C2A7FA4" w14:textId="77777777" w:rsidR="004C23B3" w:rsidRDefault="00000000">
      <w:pPr>
        <w:pStyle w:val="Compact"/>
        <w:numPr>
          <w:ilvl w:val="0"/>
          <w:numId w:val="12"/>
        </w:numPr>
      </w:pPr>
      <w:r>
        <w:t>All other authors: none declared</w:t>
      </w:r>
    </w:p>
    <w:p w14:paraId="156F90F2" w14:textId="77777777" w:rsidR="004C23B3" w:rsidRDefault="00000000">
      <w:pPr>
        <w:pStyle w:val="FirstParagraph"/>
      </w:pPr>
      <w:r>
        <w:t>The funders had no role in the decision to conduct or publish the study or in the formulation of the study.</w:t>
      </w:r>
    </w:p>
    <w:p w14:paraId="741849A3" w14:textId="77777777" w:rsidR="004C23B3"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declare no potential conflicts of interest.</w:t>
      </w:r>
    </w:p>
    <w:p w14:paraId="62CDD51E" w14:textId="77777777" w:rsidR="004C23B3" w:rsidRDefault="00000000">
      <w:r>
        <w:br w:type="page"/>
      </w:r>
    </w:p>
    <w:p w14:paraId="0D75D71D" w14:textId="77777777" w:rsidR="004C23B3" w:rsidRDefault="00000000">
      <w:pPr>
        <w:pStyle w:val="Heading1"/>
      </w:pPr>
      <w:bookmarkStart w:id="1" w:name="abstract"/>
      <w:bookmarkEnd w:id="0"/>
      <w:r>
        <w:lastRenderedPageBreak/>
        <w:t>Abstract</w:t>
      </w:r>
    </w:p>
    <w:p w14:paraId="7CCA26A2" w14:textId="77777777" w:rsidR="004C23B3"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the predicted breadth of vaccine-induced antibody response varies when different metrics are used to calculate antigenic distance.</w:t>
      </w:r>
    </w:p>
    <w:p w14:paraId="72391068" w14:textId="77777777" w:rsidR="004C23B3" w:rsidRDefault="00000000">
      <w:pPr>
        <w:pStyle w:val="BodyText"/>
      </w:pPr>
      <w:r>
        <w:rPr>
          <w:b/>
          <w:bCs/>
        </w:rPr>
        <w:t>Methods:</w:t>
      </w:r>
      <w:r>
        <w:t xml:space="preserve"> We analyzed data from a seasonal influenza vaccine cohort that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123753DB" w14:textId="77777777" w:rsidR="004C23B3"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6F98A597" w14:textId="77777777" w:rsidR="004C23B3" w:rsidRDefault="00000000">
      <w:pPr>
        <w:pStyle w:val="BodyText"/>
      </w:pPr>
      <w:r>
        <w:rPr>
          <w:b/>
          <w:bCs/>
        </w:rPr>
        <w:t>Discussion:</w:t>
      </w:r>
      <w:r>
        <w:t xml:space="preserve"> Despite moderate correlation among metrics, we found that different antigenic distance metrics generated similar predictions about breadth of vaccine response. Costly titer assays for antigenic cartography may not be needed when simpler sequence-based metrics suffice for quantifying vaccine breadth.</w:t>
      </w:r>
    </w:p>
    <w:p w14:paraId="4E157210" w14:textId="77777777" w:rsidR="004C23B3" w:rsidRDefault="00000000">
      <w:r>
        <w:br w:type="page"/>
      </w:r>
    </w:p>
    <w:p w14:paraId="27C5B258" w14:textId="77777777" w:rsidR="004C23B3" w:rsidRDefault="00000000">
      <w:pPr>
        <w:pStyle w:val="Heading1"/>
      </w:pPr>
      <w:bookmarkStart w:id="2" w:name="author-summary"/>
      <w:bookmarkEnd w:id="1"/>
      <w:r>
        <w:lastRenderedPageBreak/>
        <w:t>Author Summary</w:t>
      </w:r>
    </w:p>
    <w:p w14:paraId="6657AE56" w14:textId="77777777" w:rsidR="004C23B3" w:rsidRDefault="00000000">
      <w:pPr>
        <w:pStyle w:val="FirstParagraph"/>
      </w:pPr>
      <w:r>
        <w:t>Influenza viruses change rapidly, so designing vaccines that remain effective is difficult. Small differences between the strains in the vaccine and strains in circulation can reduce protection. We can use a variety of methods to measure how “different” two strains are, but these methods can disagree.</w:t>
      </w:r>
    </w:p>
    <w:p w14:paraId="4CC80750" w14:textId="77777777" w:rsidR="004C23B3" w:rsidRDefault="00000000">
      <w:pPr>
        <w:pStyle w:val="BodyText"/>
      </w:pPr>
      <w:r>
        <w:t>We compared four ways of measuring these differences (genetic, biochemical, antigenic cartography, and time-based). Using immunological data from several flu seasons, we measured strain differences four ways. Then, we compared the relationship between immunogenicity and distance for each method. Our comparisons used a causal framework so we can identify valid conclusions from observational data.</w:t>
      </w:r>
    </w:p>
    <w:p w14:paraId="30CD5B62" w14:textId="77777777" w:rsidR="004C23B3" w:rsidRDefault="00000000">
      <w:pPr>
        <w:pStyle w:val="BodyText"/>
      </w:pPr>
      <w:r>
        <w:t>We found that the four measures did not always agree with each other. But, the metrics produced similar predictions about the breadth of immune response to vaccination. Thus, complex and expensive laboratory tests may not always be necessary. Many studies could use simpler methods to save time and money. These results may aid in evaluation of future influenza vaccines</w:t>
      </w:r>
    </w:p>
    <w:p w14:paraId="513797D7" w14:textId="77777777" w:rsidR="004C23B3" w:rsidRDefault="00000000">
      <w:r>
        <w:br w:type="page"/>
      </w:r>
    </w:p>
    <w:p w14:paraId="5CC8F9C1" w14:textId="77777777" w:rsidR="004C23B3" w:rsidRDefault="00000000">
      <w:pPr>
        <w:pStyle w:val="Heading1"/>
      </w:pPr>
      <w:bookmarkStart w:id="3" w:name="introduction"/>
      <w:bookmarkEnd w:id="2"/>
      <w:r>
        <w:lastRenderedPageBreak/>
        <w:t>Introduction</w:t>
      </w:r>
    </w:p>
    <w:p w14:paraId="25225B79" w14:textId="77777777" w:rsidR="004C23B3"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how mismatch between a circulating strain and the vaccine reduces VE, a full understanding of how viral changes affect vaccine response requires quantitative antigenic distance calculations (21–25). If our goal is the development of a broadly-protective (or even “universal”) influenza vaccine, which induces a robust immune response to both historical and future influenza strains, defining a broad response is a crucial first step. Defining a broad response relies on accurate measurements of antigenic distance.</w:t>
      </w:r>
    </w:p>
    <w:p w14:paraId="321BFC30" w14:textId="77777777" w:rsidR="004C23B3" w:rsidRDefault="00000000">
      <w:pPr>
        <w:pStyle w:val="BodyText"/>
      </w:pPr>
      <w:r>
        <w:t>The most common method for quantifying antigenic distance between influenza strains is antigenic cartography, which relies on extensive serological data generated against a wide panel of strains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76A67EFF" w14:textId="77777777" w:rsidR="004C23B3" w:rsidRDefault="00000000">
      <w:pPr>
        <w:pStyle w:val="BodyText"/>
      </w:pPr>
      <w:r>
        <w:t xml:space="preserve">We can also compute antigenic distance without serological data. Simpler antigenic distance metrics calculated from genetic or amino acid sequences correlate with vaccine effectiveness at a population level (52–54), even though they only weakly correlate with antigenic distances derived from serological data (27,32,55). Influenza strains that evolve to escape prior immune response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the breadth of the vaccine </w:t>
      </w:r>
      <w:r>
        <w:lastRenderedPageBreak/>
        <w:t xml:space="preserve">response (30,44,52–55,69–71).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6C62FA5D" w14:textId="77777777" w:rsidR="004C23B3"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modest correlation in antigenic distance metrics, these different metrics lead to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2C2BBA32" w14:textId="77777777" w:rsidR="004C23B3" w:rsidRDefault="00000000">
      <w:pPr>
        <w:pStyle w:val="Heading1"/>
      </w:pPr>
      <w:bookmarkStart w:id="4" w:name="methods"/>
      <w:bookmarkEnd w:id="3"/>
      <w:r>
        <w:t>Methods</w:t>
      </w:r>
    </w:p>
    <w:p w14:paraId="2492E61C" w14:textId="77777777" w:rsidR="004C23B3" w:rsidRDefault="00000000">
      <w:pPr>
        <w:pStyle w:val="Heading2"/>
      </w:pPr>
      <w:bookmarkStart w:id="5" w:name="data-source"/>
      <w:r>
        <w:t>Data source</w:t>
      </w:r>
    </w:p>
    <w:p w14:paraId="329280C3" w14:textId="77777777" w:rsidR="004C23B3" w:rsidRDefault="00000000">
      <w:pPr>
        <w:pStyle w:val="Heading3"/>
      </w:pPr>
      <w:bookmarkStart w:id="6" w:name="immunological-data"/>
      <w:r>
        <w:t>Immunological data</w:t>
      </w:r>
    </w:p>
    <w:p w14:paraId="39628258" w14:textId="77777777" w:rsidR="004C23B3" w:rsidRDefault="00000000">
      <w:pPr>
        <w:pStyle w:val="FirstParagraph"/>
      </w:pPr>
      <w:r>
        <w:t>The data for our study are from a human vaccination cohort study that has been described in detail previously (73–75). Briefly, the study recruited participants at three study sites. The first two sites were Pittsburgh, PA, USA (PA site), and Port St. Lucie, FL, USA (FL site), beginning in the 2013/14 influenza season (approximately September through March (76)) and continuing through the 2016/17 influenza season. In January 2017, the study moved to Athens, GA, USA (UGA site).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(SD) and high dose (HD) Fluzone vaccines. The study was a prospective, open cohort design where individuals could enroll in multiple years in the study, but were not required to re-enroll in every consecutive year.</w:t>
      </w:r>
    </w:p>
    <w:p w14:paraId="132F4B14" w14:textId="77777777" w:rsidR="004C23B3"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w:t>
      </w:r>
      <w:r>
        <w:lastRenderedPageBreak/>
        <w:t>and correlate with the amount of antibodies in a serum sample that bind to the receptor-binding domain of the influenza hemagglutinin protein (77,78). Strains included in the historical panel represented major lineages of circulating influenza viruses. See the Supplement for details on the Fluzone vaccine formulation and for a list of strains used in each season.</w:t>
      </w:r>
    </w:p>
    <w:p w14:paraId="18600154" w14:textId="77777777" w:rsidR="004C23B3" w:rsidRDefault="00000000">
      <w:pPr>
        <w:pStyle w:val="BodyText"/>
      </w:pPr>
      <w:r>
        <w:t>Each HAI assay in our dataset can be defined by its (1) subtype, (2) vaccine strain, and (3) assay strain. The broadest grouping is “subtype”, which we use to describe both influenza A subtypes (H1N1 and H3N2) and influenza B lineages (Pre-divergence or Pre-split,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361FBCCC" w14:textId="77777777" w:rsidR="004C23B3"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SD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that shows agglutination), which we log transformed:</w:t>
      </w:r>
    </w:p>
    <w:p w14:paraId="7A9AAA4F" w14:textId="77777777" w:rsidR="004C23B3"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1A848E7D" w14:textId="77777777" w:rsidR="004C23B3"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6A5B1990" w14:textId="77777777" w:rsidR="004C23B3"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43F0A671" w14:textId="77777777" w:rsidR="004C23B3" w:rsidRDefault="00000000">
      <w:pPr>
        <w:pStyle w:val="Heading3"/>
      </w:pPr>
      <w:bookmarkStart w:id="7" w:name="sequence-data"/>
      <w:bookmarkEnd w:id="6"/>
      <w:r>
        <w:lastRenderedPageBreak/>
        <w:t>Sequence data</w:t>
      </w:r>
    </w:p>
    <w:p w14:paraId="022E23EE" w14:textId="77777777" w:rsidR="004C23B3" w:rsidRDefault="00000000">
      <w:pPr>
        <w:pStyle w:val="FirstParagraph"/>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that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3F2523FF" w14:textId="77777777" w:rsidR="004C23B3" w:rsidRDefault="00000000">
      <w:pPr>
        <w:pStyle w:val="BodyText"/>
      </w:pPr>
      <w:r>
        <w:t>To calculate the sequence-based, distances, we obtained sequences for the HA amino acid sequences for each of the strains used in the UGAFluVac data from either the U.S. National Center for Biotechnology Information (NCBI)’s GenBank database (82,83), the UniProt dataset (84), or GISAID’s EpiFlu database (85,86). Accession numbers and sources for the sequence for each strain are shown in the supplement.</w:t>
      </w:r>
    </w:p>
    <w:p w14:paraId="0EE2D2DF" w14:textId="77777777" w:rsidR="004C23B3" w:rsidRDefault="00000000">
      <w:pPr>
        <w:pStyle w:val="Heading2"/>
      </w:pPr>
      <w:bookmarkStart w:id="8" w:name="statistical-analyses"/>
      <w:bookmarkEnd w:id="5"/>
      <w:bookmarkEnd w:id="7"/>
      <w:r>
        <w:t>Statistical analyses</w:t>
      </w:r>
    </w:p>
    <w:p w14:paraId="2EC06857" w14:textId="77777777" w:rsidR="004C23B3"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266F9558" w14:textId="77777777" w:rsidR="004C23B3" w:rsidRDefault="00000000">
      <w:pPr>
        <w:pStyle w:val="BodyText"/>
      </w:pPr>
      <w:r>
        <w:t>We calculated reliability statistics between the different 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(87–89). The Supplement shows the exact model we fit and formula for calculating the ICC. To analyze which metrics drove disagreement or agreement, we also calculated the Spearman rank correlation coefficient (90) between each pair of antigenic distance metrics. We show credible intervals for the Spearman correlations in the Supplement, calculated with the Bayesian bootstrap (91).</w:t>
      </w:r>
    </w:p>
    <w:p w14:paraId="21C10C3D" w14:textId="77777777" w:rsidR="004C23B3" w:rsidRDefault="00000000">
      <w:pPr>
        <w:pStyle w:val="BodyText"/>
      </w:pPr>
      <w:r>
        <w:t xml:space="preserve">We built generalized additive mixed-effects models (GAMMs) and linear mixed-effects models (LMMs) with the transformed post-vaccination titers as the outcome, (92,93) and adjusted for interval censoring (94) (see Supplement for details). To answer our primary question, we modeled antigenic distance in two ways. For the LMM, we included a linear effect of antigenic distance that was allowed to vary by subtype. For the GAMM, we modeled antigenic distance using a flexible semi-parametric spline that allows the relationship to be nonlinear, but constrained. We adjusted for effects of birth year, age, </w:t>
      </w:r>
      <w:r>
        <w:lastRenderedPageBreak/>
        <w:t>sex, race/ethnicity, effects of the vaccine and assay strain, differences between study sites, and repeated measurements from the same individual.</w:t>
      </w:r>
    </w:p>
    <w:p w14:paraId="05FF4DA4" w14:textId="77777777" w:rsidR="004C23B3" w:rsidRDefault="00000000">
      <w:pPr>
        <w:pStyle w:val="BodyText"/>
      </w:pPr>
      <w:r>
        <w:t xml:space="preserve">We fit the models in a Bayesian framework using weakly informative priors chosen by a prior predictive simulation (92,95). We obtained posterior samples of the model parameters using the No U-Turn Sampler (NUTS) algorithm implemented by Stan (96,97), via the </w:t>
      </w:r>
      <w:r>
        <w:rPr>
          <w:rStyle w:val="VerbatimChar"/>
        </w:rPr>
        <w:t>brms</w:t>
      </w:r>
      <w:r>
        <w:t xml:space="preserve"> (98–100) and </w:t>
      </w:r>
      <w:r>
        <w:rPr>
          <w:rStyle w:val="VerbatimChar"/>
        </w:rPr>
        <w:t>cmdstanr</w:t>
      </w:r>
      <w:r>
        <w:t xml:space="preserve"> (101) packages for </w:t>
      </w:r>
      <w:r>
        <w:rPr>
          <w:rStyle w:val="VerbatimChar"/>
        </w:rPr>
        <w:t>R</w:t>
      </w:r>
      <w:r>
        <w:t xml:space="preserve"> (102). After obtaining the posterior samples, we calculated marginal posterior predictions for interpolated values of the normalized antigenic distance (103). We summarized the posterior prediction samples with a mean point estimate and 95% highest density continuous interval (HDCI). We compared the GAMM and LMM for each antigenic distance metric using the leave-one-out expected log pointwise predictive density (LOO-ELPD) that is conceptually similar to model selection using cross-validation in a frequentist scenario (105). See the Supplement for extensive details on our models.</w:t>
      </w:r>
    </w:p>
    <w:p w14:paraId="2E523903" w14:textId="77777777" w:rsidR="004C23B3"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(106) and calculated the proportion of variance explained by each of the variance components, defining the total variance as the sum of the residual variance parameter, the fixed effects variance contribution, and all random effects variance components.</w:t>
      </w:r>
    </w:p>
    <w:p w14:paraId="2361F6EB" w14:textId="77777777" w:rsidR="004C23B3" w:rsidRDefault="00000000">
      <w:pPr>
        <w:pStyle w:val="Heading2"/>
      </w:pPr>
      <w:bookmarkStart w:id="9" w:name="implementation"/>
      <w:bookmarkEnd w:id="8"/>
      <w:r>
        <w:t>Implementation</w:t>
      </w:r>
    </w:p>
    <w:p w14:paraId="004A4C26" w14:textId="77777777" w:rsidR="004C23B3" w:rsidRDefault="00000000">
      <w:pPr>
        <w:pStyle w:val="FirstParagraph"/>
      </w:pPr>
      <w:r>
        <w:t xml:space="preserve">We conducted our analysis with R version 4.4.1 (2024-06-14 ucrt) (102) in RStudio version 2024.09.0+375 (107). Our analysis pipeline was implemented in </w:t>
      </w:r>
      <w:r>
        <w:rPr>
          <w:rStyle w:val="VerbatimChar"/>
        </w:rPr>
        <w:t>targets</w:t>
      </w:r>
      <w:r>
        <w:t xml:space="preserve"> (108). We used the packages </w:t>
      </w:r>
      <w:r>
        <w:rPr>
          <w:rStyle w:val="VerbatimChar"/>
        </w:rPr>
        <w:t>here</w:t>
      </w:r>
      <w:r>
        <w:t xml:space="preserve"> (109), </w:t>
      </w:r>
      <w:r>
        <w:rPr>
          <w:rStyle w:val="VerbatimChar"/>
        </w:rPr>
        <w:t>renv</w:t>
      </w:r>
      <w:r>
        <w:t xml:space="preserve"> (110), and the </w:t>
      </w:r>
      <w:r>
        <w:rPr>
          <w:rStyle w:val="VerbatimChar"/>
        </w:rPr>
        <w:t>tidyverse</w:t>
      </w:r>
      <w:r>
        <w:t xml:space="preserve"> (111) suite for data curation and project management and the packages </w:t>
      </w:r>
      <w:r>
        <w:rPr>
          <w:rStyle w:val="VerbatimChar"/>
        </w:rPr>
        <w:t>marginaleffects</w:t>
      </w:r>
      <w:r>
        <w:t xml:space="preserve"> (103), </w:t>
      </w:r>
      <w:r>
        <w:rPr>
          <w:rStyle w:val="VerbatimChar"/>
        </w:rPr>
        <w:t>tidybayes</w:t>
      </w:r>
      <w:r>
        <w:t xml:space="preserve"> (112), </w:t>
      </w:r>
      <w:r>
        <w:rPr>
          <w:rStyle w:val="VerbatimChar"/>
        </w:rPr>
        <w:t>ggdist</w:t>
      </w:r>
      <w:r>
        <w:t xml:space="preserve"> (113,114), </w:t>
      </w:r>
      <w:r>
        <w:rPr>
          <w:rStyle w:val="VerbatimChar"/>
        </w:rPr>
        <w:t>bayesboot</w:t>
      </w:r>
      <w:r>
        <w:t xml:space="preserve"> (115), and </w:t>
      </w:r>
      <w:r>
        <w:rPr>
          <w:rStyle w:val="VerbatimChar"/>
        </w:rPr>
        <w:t>loo</w:t>
      </w:r>
      <w:r>
        <w:t xml:space="preserve"> (105) for formal analysis. We used the packages </w:t>
      </w:r>
      <w:r>
        <w:rPr>
          <w:rStyle w:val="VerbatimChar"/>
        </w:rPr>
        <w:t>ggplot2</w:t>
      </w:r>
      <w:r>
        <w:t xml:space="preserve"> (117) and </w:t>
      </w:r>
      <w:r>
        <w:rPr>
          <w:rStyle w:val="VerbatimChar"/>
        </w:rPr>
        <w:t>GGally</w:t>
      </w:r>
      <w:r>
        <w:t xml:space="preserve"> (118) for generating figures; and the packages </w:t>
      </w:r>
      <w:r>
        <w:rPr>
          <w:rStyle w:val="VerbatimChar"/>
        </w:rPr>
        <w:t>gtsummary</w:t>
      </w:r>
      <w:r>
        <w:t xml:space="preserve"> (119) and </w:t>
      </w:r>
      <w:r>
        <w:rPr>
          <w:rStyle w:val="VerbatimChar"/>
        </w:rPr>
        <w:t>flextable</w:t>
      </w:r>
      <w:r>
        <w:t xml:space="preserve"> (120) for generating tables. We generated the manuscript using Quarto version 1.6.40 (121) along with the </w:t>
      </w:r>
      <w:r>
        <w:rPr>
          <w:rStyle w:val="VerbatimChar"/>
        </w:rPr>
        <w:t>R</w:t>
      </w:r>
      <w:r>
        <w:t xml:space="preserve"> packages </w:t>
      </w:r>
      <w:r>
        <w:rPr>
          <w:rStyle w:val="VerbatimChar"/>
        </w:rPr>
        <w:t>knitr</w:t>
      </w:r>
      <w:r>
        <w:t xml:space="preserve"> (122–124) and </w:t>
      </w:r>
      <w:r>
        <w:rPr>
          <w:rStyle w:val="VerbatimChar"/>
        </w:rPr>
        <w:t>softbib</w:t>
      </w:r>
      <w:r>
        <w:t xml:space="preserve"> (125). We implemented our Bayesian models with the </w:t>
      </w:r>
      <w:r>
        <w:rPr>
          <w:rStyle w:val="VerbatimChar"/>
        </w:rPr>
        <w:t>brms</w:t>
      </w:r>
      <w:r>
        <w:t xml:space="preserve"> package (98–100) using the </w:t>
      </w:r>
      <w:r>
        <w:rPr>
          <w:rStyle w:val="VerbatimChar"/>
        </w:rPr>
        <w:t>cmdstanr</w:t>
      </w:r>
      <w:r>
        <w:t xml:space="preserve"> backend and cmdstan version 2.34.1 (101) as the interface to the Stan programming language for Bayesian modeling. The Supplement contains more exhaustive details on our methodology, including instructions for reproducing our results. Our dataset and code are archived on GitHub (</w:t>
      </w:r>
      <w:hyperlink r:id="rId7">
        <w:r w:rsidR="004C23B3">
          <w:rPr>
            <w:rStyle w:val="Hyperlink"/>
          </w:rPr>
          <w:t>https://github.com/ahgroup/billings-comp-agdist-public</w:t>
        </w:r>
      </w:hyperlink>
      <w:r>
        <w:t>) and Zenodo (</w:t>
      </w:r>
      <w:hyperlink r:id="rId8">
        <w:r w:rsidR="004C23B3">
          <w:rPr>
            <w:rStyle w:val="Hyperlink"/>
          </w:rPr>
          <w:t>DOI: 10.5281/zenodo.15522148</w:t>
        </w:r>
      </w:hyperlink>
      <w:r>
        <w:t>).</w:t>
      </w:r>
    </w:p>
    <w:p w14:paraId="3D57F8D0" w14:textId="77777777" w:rsidR="004C23B3" w:rsidRDefault="00000000">
      <w:pPr>
        <w:pStyle w:val="Heading2"/>
      </w:pPr>
      <w:bookmarkStart w:id="10" w:name="study-ethics"/>
      <w:bookmarkEnd w:id="9"/>
      <w:r>
        <w:lastRenderedPageBreak/>
        <w:t>Study ethics</w:t>
      </w:r>
    </w:p>
    <w:p w14:paraId="72F12771" w14:textId="77777777" w:rsidR="004C23B3" w:rsidRDefault="00000000">
      <w:pPr>
        <w:pStyle w:val="FirstParagraph"/>
      </w:pPr>
      <w:r>
        <w:t>Study participants in the UGAFluVac study were enrolled into the study with written informed consent at their respective study site. The study procedures, informed consent, and data collection documents were previously reviewed by the University of Georgia Institutional Review Board (IRB), and by WCG IRB. We only used deidentified data from UGAFluVac, and our study was determined to be not human research and exempt from review by the University of Georgia IRB.</w:t>
      </w:r>
    </w:p>
    <w:p w14:paraId="28830726" w14:textId="77777777" w:rsidR="004C23B3" w:rsidRDefault="00000000">
      <w:pPr>
        <w:pStyle w:val="Heading1"/>
      </w:pPr>
      <w:bookmarkStart w:id="11" w:name="results"/>
      <w:bookmarkEnd w:id="4"/>
      <w:bookmarkEnd w:id="10"/>
      <w:r>
        <w:t>Results</w:t>
      </w:r>
    </w:p>
    <w:p w14:paraId="45B60243" w14:textId="77777777" w:rsidR="004C23B3" w:rsidRDefault="00000000">
      <w:pPr>
        <w:pStyle w:val="Heading2"/>
      </w:pPr>
      <w:bookmarkStart w:id="12" w:name="data-description"/>
      <w:r>
        <w:t>Data description</w:t>
      </w:r>
    </w:p>
    <w:p w14:paraId="7281ACCA" w14:textId="77777777" w:rsidR="004C23B3"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sidR="004C23B3">
          <w:rPr>
            <w:rStyle w:val="Hyperlink"/>
          </w:rPr>
          <w:t>Table 1</w:t>
        </w:r>
      </w:hyperlink>
      <w:r>
        <w:t>. In a given year, each individual contributed three (trivalent vaccine in 2013/14 and 14/15) or four (quadrivalent vaccine from 2015/16 onward)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4C23B3" w14:paraId="2608DC77" w14:textId="77777777">
        <w:tc>
          <w:tcPr>
            <w:tcW w:w="7920" w:type="dxa"/>
          </w:tcPr>
          <w:p w14:paraId="73CEA329" w14:textId="77777777" w:rsidR="004C23B3" w:rsidRDefault="00000000">
            <w:pPr>
              <w:pStyle w:val="ImageCaption"/>
              <w:spacing w:before="200"/>
            </w:pPr>
            <w:bookmarkStart w:id="13" w:name="tbl-counts"/>
            <w:r>
              <w:t>Table 1: Counts of HAI assay pairs, person-years, and new participants who enrolled for the first time that season contributed by each study site for the duration of the study.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4C23B3" w14:paraId="5840DE70" w14:textId="77777777" w:rsidTr="00A91B9F">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565DB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5739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584AF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4C23B3" w14:paraId="0DAA43F4" w14:textId="77777777" w:rsidTr="00A91B9F">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A2606E"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5A2B7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421CF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F0E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CC349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0B9D2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983EB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4C23B3" w14:paraId="64ED9BD1" w14:textId="77777777" w:rsidTr="00A91B9F">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DA2D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CB240"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F182A"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EF812"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FAB32"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78324"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EDE29"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20AB2CB8"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F815D"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2777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F0B2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B534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66D2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78C3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B52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4C23B3" w14:paraId="036035BB"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F57E6"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BF03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B49C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9D19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ABBE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7D7F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54E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4C23B3" w14:paraId="29B087A4"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A038E"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7100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F24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A606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0A07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7C6C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25F5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4C23B3" w14:paraId="1767AAF7"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05BCB"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E63F2"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D15A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4803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84C3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1ED8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2D37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4C23B3" w14:paraId="54DAA47F"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68FA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31121"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4EFD5"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1BE35"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CC73"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21F69"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BCB7F"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79552225"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58269"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8F40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66A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DDB2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CDD0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927E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D474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4C23B3" w14:paraId="782DC18E"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BE917"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9F6BE"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B934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D730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3309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B97D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C4F6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4C23B3" w14:paraId="1B707B83"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760D2"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A120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3A5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E3C9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6E777"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A70B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2BD9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4C23B3" w14:paraId="1D6D9B8C"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F1DC4"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5D3E1"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E12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7787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62E1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2608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CE0E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4C23B3" w14:paraId="76461FE3"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50D39"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90E00"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AE05F"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E477C"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92D43"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A30F7"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55476" w14:textId="77777777" w:rsidR="004C23B3" w:rsidRDefault="004C23B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4C23B3" w14:paraId="5C3409B7"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22C51"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B0C2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DD6D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89395"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296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47C68"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55CC0"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4C23B3" w14:paraId="4A9ADCD0"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594C2"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8CA2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0987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67DD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5EB0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05800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D26E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4C23B3" w14:paraId="1DEFFBDB" w14:textId="77777777" w:rsidTr="00A91B9F">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5F06E"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56FC6"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DC12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857F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3E4FF"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4AF9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0894C"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4C23B3" w14:paraId="2B19588B" w14:textId="77777777" w:rsidTr="00A91B9F">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9DD2D5" w14:textId="77777777" w:rsidR="004C23B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ADF9CA"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548E01"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D88B1D"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5DADB4"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DDA7E3"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7E6C9B" w14:textId="77777777" w:rsidR="004C23B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3"/>
          </w:tbl>
          <w:p w14:paraId="066684FF" w14:textId="77777777" w:rsidR="004F0F63" w:rsidRDefault="004F0F63">
            <w:pPr>
              <w:spacing w:after="0"/>
            </w:pPr>
          </w:p>
        </w:tc>
      </w:tr>
    </w:tbl>
    <w:p w14:paraId="3CFE930D" w14:textId="77777777" w:rsidR="004C23B3" w:rsidRDefault="00000000">
      <w:pPr>
        <w:pStyle w:val="Heading2"/>
      </w:pPr>
      <w:bookmarkStart w:id="14" w:name="Xb227981fad106f7c12d32898730bb0729781a1d"/>
      <w:bookmarkEnd w:id="12"/>
      <w:r>
        <w:lastRenderedPageBreak/>
        <w:t>Antigenic distance metrics have low or moderate correlation for all subtypes except A(H3N2)</w:t>
      </w:r>
    </w:p>
    <w:p w14:paraId="0D5C410D" w14:textId="77777777" w:rsidR="004C23B3" w:rsidRDefault="00000000">
      <w:pPr>
        <w:pStyle w:val="FirstParagraph"/>
      </w:pPr>
      <w:r>
        <w:t xml:space="preserve">First, we examined the overall agreement between the different distance metrics. We analyzed agreement using the intraclass correlation (ICC), shown in </w:t>
      </w:r>
      <w:hyperlink w:anchor="tbl-icc">
        <w:r w:rsidR="004C23B3">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4C23B3" w14:paraId="48D68F2B" w14:textId="77777777">
        <w:tc>
          <w:tcPr>
            <w:tcW w:w="7920" w:type="dxa"/>
          </w:tcPr>
          <w:p w14:paraId="273855B5" w14:textId="77777777" w:rsidR="004C23B3" w:rsidRDefault="00000000">
            <w:pPr>
              <w:pStyle w:val="ImageCaption"/>
              <w:spacing w:before="200"/>
            </w:pPr>
            <w:bookmarkStart w:id="15"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4C23B3" w14:paraId="0470C5AF"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CCD4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B21E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4C23B3" w14:paraId="056F6E75"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7C7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02D1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4C23B3" w14:paraId="6B937018"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D258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6115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4C23B3" w14:paraId="70F7EBA5"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04BD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A728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4C23B3" w14:paraId="09AD8787"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813E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03B3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5"/>
          </w:tbl>
          <w:p w14:paraId="6134FCE4" w14:textId="77777777" w:rsidR="004F0F63" w:rsidRDefault="004F0F63">
            <w:pPr>
              <w:spacing w:after="0"/>
            </w:pPr>
          </w:p>
        </w:tc>
      </w:tr>
    </w:tbl>
    <w:p w14:paraId="6A3F4461" w14:textId="77777777" w:rsidR="004C23B3" w:rsidRDefault="00000000">
      <w:pPr>
        <w:pStyle w:val="BodyText"/>
      </w:pPr>
      <w:r>
        <w:t xml:space="preserve">To better understand the lack of overall agreement, we computed the Spearman rank correlation between each pair of metrics (again, separately for each subtype). </w:t>
      </w:r>
      <w:hyperlink w:anchor="fig-ag-dist-corr">
        <w:r w:rsidR="004C23B3">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lineages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w:t>
      </w:r>
      <w:r>
        <w:lastRenderedPageBreak/>
        <w:t xml:space="preserve">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4C23B3" w14:paraId="5A0463EC" w14:textId="77777777">
        <w:tc>
          <w:tcPr>
            <w:tcW w:w="7920" w:type="dxa"/>
          </w:tcPr>
          <w:p w14:paraId="182F1C53" w14:textId="77777777" w:rsidR="004C23B3" w:rsidRDefault="00000000">
            <w:pPr>
              <w:pStyle w:val="Compact"/>
              <w:jc w:val="center"/>
            </w:pPr>
            <w:bookmarkStart w:id="16" w:name="fig-ag-dist-corr"/>
            <w:r>
              <w:rPr>
                <w:noProof/>
              </w:rPr>
              <w:drawing>
                <wp:inline distT="0" distB="0" distL="0" distR="0" wp14:anchorId="2390F1E9" wp14:editId="0A9D4653">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625E62E2" w14:textId="77777777" w:rsidR="004C23B3" w:rsidRDefault="00000000">
            <w:pPr>
              <w:pStyle w:val="ImageCaption"/>
              <w:spacing w:before="200"/>
            </w:pPr>
            <w:r>
              <w:t xml:space="preserve">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w:t>
            </w:r>
            <w:r>
              <w:lastRenderedPageBreak/>
              <w:t>each unique combination as only one point in this plot. We calculated correlation coefficients separately for each subtype – colors in the plot indicate subtype.</w:t>
            </w:r>
          </w:p>
        </w:tc>
        <w:bookmarkEnd w:id="16"/>
      </w:tr>
    </w:tbl>
    <w:p w14:paraId="757A3D2E" w14:textId="77777777" w:rsidR="004C23B3" w:rsidRDefault="00000000">
      <w:pPr>
        <w:pStyle w:val="Heading2"/>
      </w:pPr>
      <w:bookmarkStart w:id="17" w:name="X4dba41a3d2f6c4385b2c6003f4a848853f59590"/>
      <w:bookmarkEnd w:id="14"/>
      <w:r>
        <w:lastRenderedPageBreak/>
        <w:t>Predicted vaccine response breadth is similar across antigenic distance metrics, despite the low between-metric correlation</w:t>
      </w:r>
    </w:p>
    <w:p w14:paraId="6D8A15DA" w14:textId="77777777" w:rsidR="004C23B3"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65754E0B" w14:textId="77777777" w:rsidR="004C23B3"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sidR="004C23B3">
          <w:rPr>
            <w:rStyle w:val="Hyperlink"/>
          </w:rPr>
          <w:t>Table 3</w:t>
        </w:r>
      </w:hyperlink>
      <w:r>
        <w:t>. LOO-ELPD is comparable to frequentist information metrics such as the Akaike Information Criterion (AIC), and differences in ELPD strongly supported the linear model for every antigenic distance metric.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4C23B3" w14:paraId="0C40454A" w14:textId="77777777">
        <w:tc>
          <w:tcPr>
            <w:tcW w:w="7920" w:type="dxa"/>
          </w:tcPr>
          <w:p w14:paraId="603FF3F4" w14:textId="77777777" w:rsidR="004C23B3" w:rsidRDefault="00000000">
            <w:pPr>
              <w:pStyle w:val="ImageCaption"/>
              <w:spacing w:before="200"/>
            </w:pPr>
            <w:bookmarkStart w:id="18"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4C23B3" w14:paraId="01CD2EE6"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ED06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EB7F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38A4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4C23B3" w14:paraId="6697D1C5"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E44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D5C0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476"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4C23B3" w14:paraId="1C346309"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678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B94A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20EF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4C23B3" w14:paraId="7570B081"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135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6D2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8A1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4C23B3" w14:paraId="250636EB"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0336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00D7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095F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8"/>
          </w:tbl>
          <w:p w14:paraId="7A759774" w14:textId="77777777" w:rsidR="004F0F63" w:rsidRDefault="004F0F63">
            <w:pPr>
              <w:spacing w:after="0"/>
            </w:pPr>
          </w:p>
        </w:tc>
      </w:tr>
    </w:tbl>
    <w:p w14:paraId="18AEDD02" w14:textId="77777777" w:rsidR="004C23B3" w:rsidRDefault="004C23B3">
      <w:pPr>
        <w:pStyle w:val="BodyText"/>
      </w:pPr>
      <w:hyperlink w:anchor="fig-gamm-plot">
        <w:r>
          <w:rPr>
            <w:rStyle w:val="Hyperlink"/>
          </w:rPr>
          <w:t>Figure 2</w:t>
        </w:r>
      </w:hyperlink>
      <w:r w:rsidR="00000000">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w:t>
      </w:r>
      <w:r w:rsidR="00000000">
        <w:lastRenderedPageBreak/>
        <w:t xml:space="preserve">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There were some interesting trends in the shape of the spline curves, but the nonlinear effects for the </w:t>
      </w:r>
      <m:oMath>
        <m:r>
          <w:rPr>
            <w:rFonts w:ascii="Cambria Math" w:hAnsi="Cambria Math"/>
          </w:rPr>
          <m:t>p</m:t>
        </m:r>
      </m:oMath>
      <w:r w:rsidR="00000000">
        <w:t>-epitope and Grantham distance did not appear to match the data well. Combined with the lack of ELPD support (</w:t>
      </w:r>
      <w:hyperlink w:anchor="tbl-loo">
        <w:r>
          <w:rPr>
            <w:rStyle w:val="Hyperlink"/>
          </w:rPr>
          <w:t>Table 3</w:t>
        </w:r>
      </w:hyperlink>
      <w:r w:rsidR="00000000">
        <w:t>), the spline models are likely picking up random fluctuations that may be partially driven by gaps in antigenic distance space rather than by true non-monotone signals (see the Supplement for an analysis of the gaps in antigenic distance space).</w:t>
      </w:r>
    </w:p>
    <w:p w14:paraId="07616741" w14:textId="77777777" w:rsidR="004C23B3" w:rsidRDefault="00000000">
      <w:pPr>
        <w:pStyle w:val="BodyText"/>
      </w:pPr>
      <w:r>
        <w:t>Since the linear model had better ELPD support for all metrics (</w:t>
      </w:r>
      <w:hyperlink w:anchor="tbl-loo">
        <w:r w:rsidR="004C23B3">
          <w:rPr>
            <w:rStyle w:val="Hyperlink"/>
          </w:rPr>
          <w:t>Table 3</w:t>
        </w:r>
      </w:hyperlink>
      <w:r>
        <w:t xml:space="preserve">), we focused on attempting to understand the effects in the linear model. Other than the normalized antigenic distance effect, the other effects were similar across the four models (what we expect). </w:t>
      </w:r>
      <w:hyperlink w:anchor="tbl-fixed-effects">
        <w:r w:rsidR="004C23B3">
          <w:rPr>
            <w:rStyle w:val="Hyperlink"/>
          </w:rPr>
          <w:t>Table 4</w:t>
        </w:r>
      </w:hyperlink>
      <w:r>
        <w:t xml:space="preserve"> shows the estimated fixed effects coefficients from our models. The effects of sex and race/ethnicity were negligible, and the effects of age and birth year appear to be highly negative because they are not identifiable in our dataset, but together they provide a non-negligible contribution for each individual. Log pre-vaccination titer had a strong positive effect on post-vaccination titer as expected. We did not interpret those effects further, since we did not control for potential confounders of relationships other than the effect of antigenic distance on the outcome. The effect of antigenic distance was negative for all four models, as we would expect, but the magnitude of the effect varied. While the point estimates were similar, the effect size for </w:t>
      </w:r>
      <m:oMath>
        <m:r>
          <w:rPr>
            <w:rFonts w:ascii="Cambria Math" w:hAnsi="Cambria Math"/>
          </w:rPr>
          <m:t>p</m:t>
        </m:r>
      </m:oMath>
      <w:r>
        <w:t>-epitope was the smallest and the effect size for cartographic distance was the largest. The effect size for the cartographic distance also had the most density away from zero. Only the temporal distance model had an HDCI for the distance effect that included zero.</w:t>
      </w:r>
    </w:p>
    <w:p w14:paraId="3EC2CDB4" w14:textId="77777777" w:rsidR="004C23B3" w:rsidRDefault="00000000">
      <w:pPr>
        <w:pStyle w:val="BodyText"/>
      </w:pPr>
      <w:r>
        <w:t>We also attempted to understand the variance contributions in the model by decomposing the variance (</w:t>
      </w:r>
      <w:hyperlink w:anchor="tbl-var-decomp">
        <w:r w:rsidR="004C23B3">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noticeably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4C23B3" w14:paraId="4DA6591E" w14:textId="77777777">
        <w:tc>
          <w:tcPr>
            <w:tcW w:w="7920" w:type="dxa"/>
          </w:tcPr>
          <w:p w14:paraId="525A48DB" w14:textId="77777777" w:rsidR="004C23B3" w:rsidRDefault="00000000">
            <w:pPr>
              <w:pStyle w:val="Compact"/>
              <w:jc w:val="center"/>
            </w:pPr>
            <w:bookmarkStart w:id="19" w:name="fig-gamm-plot"/>
            <w:r>
              <w:rPr>
                <w:noProof/>
              </w:rPr>
              <w:lastRenderedPageBreak/>
              <w:drawing>
                <wp:inline distT="0" distB="0" distL="0" distR="0" wp14:anchorId="4E9F86FD" wp14:editId="590A7186">
                  <wp:extent cx="5943600" cy="7315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6CA9EAEC" w14:textId="77777777" w:rsidR="004C23B3"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9"/>
      </w:tr>
      <w:tr w:rsidR="004C23B3" w14:paraId="69F5158B" w14:textId="77777777">
        <w:tc>
          <w:tcPr>
            <w:tcW w:w="7920" w:type="dxa"/>
          </w:tcPr>
          <w:p w14:paraId="01B5B7A2" w14:textId="77777777" w:rsidR="004C23B3" w:rsidRDefault="00000000">
            <w:pPr>
              <w:pStyle w:val="ImageCaption"/>
              <w:spacing w:before="200"/>
            </w:pPr>
            <w:bookmarkStart w:id="20" w:name="tbl-fixed-effects"/>
            <w:r>
              <w:lastRenderedPageBreak/>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4C23B3" w14:paraId="7EC3113E"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26C4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018D6"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5BA1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FB614"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Sex</w:t>
                  </w:r>
                  <w:r w:rsidRPr="00A91B9F">
                    <w:rPr>
                      <w:rFonts w:ascii="DejaVu Sans" w:eastAsia="DejaVu Sans" w:hAnsi="DejaVu Sans" w:cs="DejaVu Sans"/>
                      <w:color w:val="000000"/>
                      <w:sz w:val="12"/>
                      <w:szCs w:val="12"/>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8F4F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Race/Ethnicity</w:t>
                  </w:r>
                  <w:r w:rsidRPr="00A91B9F">
                    <w:rPr>
                      <w:rFonts w:ascii="DejaVu Sans" w:eastAsia="DejaVu Sans" w:hAnsi="DejaVu Sans" w:cs="DejaVu Sans"/>
                      <w:color w:val="000000"/>
                      <w:sz w:val="12"/>
                      <w:szCs w:val="12"/>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93C3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8813E"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Normalized antigenic distance</w:t>
                  </w:r>
                </w:p>
              </w:tc>
            </w:tr>
            <w:tr w:rsidR="004C23B3" w14:paraId="791347BF"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830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4F8D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(-4.08,-2.20)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C152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04C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84C6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5DB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16C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4C23B3" w14:paraId="47B901E4"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75D3"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921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(-4.12,-2.26)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BA3F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90C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5E05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2C1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8C8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4C23B3" w14:paraId="4B8AB6AA"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A626B"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6D8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(-4.08,-2.19)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B9E0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ADDF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241F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916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037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4C23B3" w14:paraId="24709CA3"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E72F3"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A91B9F">
                    <w:rPr>
                      <w:rFonts w:ascii="DejaVu Sans" w:eastAsia="DejaVu Sans" w:hAnsi="DejaVu Sans" w:cs="DejaVu Sans"/>
                      <w:color w:val="000000"/>
                      <w:sz w:val="10"/>
                      <w:szCs w:val="10"/>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C985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(-4.11,-2.24)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C0C3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D0A4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EE75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D768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9F4C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4C23B3" w14:paraId="22D15C3C"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35ECFD"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4C23B3" w14:paraId="39828A73"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CC37B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20"/>
          </w:tbl>
          <w:p w14:paraId="60063A3D" w14:textId="77777777" w:rsidR="004F0F63" w:rsidRDefault="004F0F63">
            <w:pPr>
              <w:spacing w:after="0"/>
            </w:pPr>
          </w:p>
        </w:tc>
      </w:tr>
      <w:tr w:rsidR="004C23B3" w14:paraId="08FCE3FC" w14:textId="77777777">
        <w:tc>
          <w:tcPr>
            <w:tcW w:w="7920" w:type="dxa"/>
          </w:tcPr>
          <w:p w14:paraId="7A485819" w14:textId="77777777" w:rsidR="004C23B3" w:rsidRDefault="00000000">
            <w:pPr>
              <w:pStyle w:val="ImageCaption"/>
              <w:spacing w:before="200"/>
            </w:pPr>
            <w:bookmarkStart w:id="21"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4C23B3" w14:paraId="65DC8D3B"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4468B8C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0085BAAF"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5577FE0"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28D185FA"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090D7F6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Specific random effects</w:t>
                  </w:r>
                </w:p>
              </w:tc>
            </w:tr>
            <w:tr w:rsidR="004C23B3" w14:paraId="79555D98"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59230296" w14:textId="77777777" w:rsidR="004C23B3"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2F271719"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9ADF56C"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71ACF3D1" w14:textId="77777777" w:rsidR="004C23B3" w:rsidRPr="00A91B9F" w:rsidRDefault="004C23B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31292FD"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DA357"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0199F"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3BA8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6ED95"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Subject</w:t>
                  </w:r>
                </w:p>
              </w:tc>
            </w:tr>
            <w:tr w:rsidR="004C23B3" w14:paraId="43854DA9"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5AF482B5"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147489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7FBA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B3F18C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EA5761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F90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E6B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1FB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4037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57A27B79"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6C012209"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283A4B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B44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2DA0F2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28477C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4E07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26A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B4B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BF21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347328BB"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0F67B032"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7DF1C7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0B2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43D802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66B65D0"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DB52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A814A"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C69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FBA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4C23B3" w14:paraId="0C62121D"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40EE4E39" w14:textId="77777777" w:rsidR="004C23B3" w:rsidRPr="00A91B9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A91B9F">
                    <w:rPr>
                      <w:rFonts w:ascii="DejaVu Sans" w:eastAsia="DejaVu Sans" w:hAnsi="DejaVu Sans" w:cs="DejaVu Sans"/>
                      <w:color w:val="000000"/>
                      <w:sz w:val="12"/>
                      <w:szCs w:val="12"/>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13BB4B4"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0289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7731D5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638D085"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45036"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615E9"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373DE"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0FEF8"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21"/>
          </w:tbl>
          <w:p w14:paraId="295DA7D8" w14:textId="77777777" w:rsidR="004F0F63" w:rsidRDefault="004F0F63">
            <w:pPr>
              <w:spacing w:after="0"/>
            </w:pPr>
          </w:p>
        </w:tc>
      </w:tr>
    </w:tbl>
    <w:p w14:paraId="68C2FE34" w14:textId="77777777" w:rsidR="004C23B3" w:rsidRDefault="00000000">
      <w:pPr>
        <w:pStyle w:val="Heading2"/>
      </w:pPr>
      <w:bookmarkStart w:id="22" w:name="Xf638f546061bf8df7a44df670d1d308f6bdb1df"/>
      <w:bookmarkEnd w:id="17"/>
      <w:r>
        <w:lastRenderedPageBreak/>
        <w:t>Predictions made by different antigenic distance metrics are similar after accounting for host factors</w:t>
      </w:r>
    </w:p>
    <w:p w14:paraId="1B9F11EB" w14:textId="77777777" w:rsidR="004C23B3" w:rsidRDefault="00000000">
      <w:pPr>
        <w:pStyle w:val="FirstParagraph"/>
      </w:pPr>
      <w:r>
        <w:t>Finally, we directly compared estimates from the models across normalized antigenic distance metrics for each subtype (</w:t>
      </w:r>
      <w:hyperlink w:anchor="fig-contr-preds">
        <w:r w:rsidR="004C23B3">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sidR="004C23B3">
          <w:rPr>
            <w:rStyle w:val="Hyperlink"/>
          </w:rPr>
          <w:t>Figure 2</w:t>
        </w:r>
      </w:hyperlink>
      <w:r>
        <w:t>), despite the high correlation between the antigenic distances for A(H3N2) (</w:t>
      </w:r>
      <w:hyperlink w:anchor="fig-ag-dist-corr">
        <w:r w:rsidR="004C23B3">
          <w:rPr>
            <w:rStyle w:val="Hyperlink"/>
          </w:rPr>
          <w:t>Figure 1</w:t>
        </w:r>
      </w:hyperlink>
      <w:r>
        <w:t>). We can only perform a visual inspection of these overlaps, because there is no existing approach to combine posterior distributions across the four models.</w:t>
      </w:r>
    </w:p>
    <w:p w14:paraId="407F35F8" w14:textId="77777777" w:rsidR="004C23B3"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4C23B3" w14:paraId="64FB2C6C" w14:textId="77777777">
        <w:tc>
          <w:tcPr>
            <w:tcW w:w="7920" w:type="dxa"/>
          </w:tcPr>
          <w:p w14:paraId="6B463D83" w14:textId="77777777" w:rsidR="004C23B3" w:rsidRDefault="00000000">
            <w:pPr>
              <w:pStyle w:val="Compact"/>
              <w:jc w:val="center"/>
            </w:pPr>
            <w:bookmarkStart w:id="23" w:name="fig-contr-preds"/>
            <w:r>
              <w:rPr>
                <w:noProof/>
              </w:rPr>
              <w:drawing>
                <wp:inline distT="0" distB="0" distL="0" distR="0" wp14:anchorId="00B204D0" wp14:editId="486F5EF4">
                  <wp:extent cx="5943600" cy="3200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00B2C34E" w14:textId="77777777" w:rsidR="004C23B3"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23"/>
      </w:tr>
    </w:tbl>
    <w:p w14:paraId="12E42812" w14:textId="77777777" w:rsidR="004C23B3" w:rsidRDefault="00000000">
      <w:pPr>
        <w:pStyle w:val="BodyText"/>
      </w:pPr>
      <w:r>
        <w:lastRenderedPageBreak/>
        <w:t xml:space="preserve">We compare the relative LOO-ELPD for each model in </w:t>
      </w:r>
      <w:hyperlink w:anchor="tbl-lmm-elpd">
        <w:r w:rsidR="004C23B3">
          <w:rPr>
            <w:rStyle w:val="Hyperlink"/>
          </w:rPr>
          <w:t>Table 6</w:t>
        </w:r>
      </w:hyperlink>
      <w:r>
        <w:t xml:space="preserve">. The models are fit to the same set of predictors and data points and the antigenic distances are normalized, so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4C23B3" w14:paraId="23A49424" w14:textId="77777777">
        <w:tc>
          <w:tcPr>
            <w:tcW w:w="7920" w:type="dxa"/>
          </w:tcPr>
          <w:p w14:paraId="55E1EAA4" w14:textId="77777777" w:rsidR="004C23B3" w:rsidRDefault="00000000">
            <w:pPr>
              <w:pStyle w:val="ImageCaption"/>
              <w:spacing w:before="200"/>
            </w:pPr>
            <w:bookmarkStart w:id="24"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4C23B3" w14:paraId="4E6BE88E"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386F2"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CC4E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4C23B3" w14:paraId="55B4BFAF"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5605C"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7BE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4C23B3" w14:paraId="164AFB3D"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8A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700B"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4C23B3" w14:paraId="6D226C6F"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1133"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1BAA7"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4C23B3" w14:paraId="4F528796"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6E15F"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0EDE1" w14:textId="77777777" w:rsidR="004C23B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4"/>
          </w:tbl>
          <w:p w14:paraId="2C285DD6" w14:textId="77777777" w:rsidR="004F0F63" w:rsidRDefault="004F0F63">
            <w:pPr>
              <w:spacing w:after="0"/>
            </w:pPr>
          </w:p>
        </w:tc>
      </w:tr>
    </w:tbl>
    <w:p w14:paraId="7BD3E1CC" w14:textId="77777777" w:rsidR="004C23B3" w:rsidRDefault="00000000">
      <w:pPr>
        <w:pStyle w:val="Heading1"/>
      </w:pPr>
      <w:bookmarkStart w:id="25" w:name="discussion"/>
      <w:bookmarkEnd w:id="11"/>
      <w:bookmarkEnd w:id="22"/>
      <w:r>
        <w:t>Discussion</w:t>
      </w:r>
    </w:p>
    <w:p w14:paraId="0A8A3C35" w14:textId="77777777" w:rsidR="004C23B3"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that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743482B6" w14:textId="63C49C5C" w:rsidR="004C23B3" w:rsidRDefault="00000000">
      <w:pPr>
        <w:pStyle w:val="BodyText"/>
      </w:pPr>
      <w:r>
        <w:lastRenderedPageBreak/>
        <w:t xml:space="preserve">We observed moderate correlations between the four antigenic distance measures for all subtypes except A(H3N2). Low ICC for influenza B could be due to the relative </w:t>
      </w:r>
      <w:r w:rsidR="002E6281">
        <w:t>sparsity</w:t>
      </w:r>
      <w:r>
        <w:t xml:space="preserve"> of the heterologous panel compared to the influenza A strains, but the four metrics clearly behave differently for A(H1N1) and A(H3N2) strains. Notably, the strains of A(H1N1) that have emerged since 1918 can be divided into two major groups — the group that is more similar to the 2009 or 1918 pandemic lineage, and the group that is more similar to the pre-2009 seasonal A(H1N1) lineage. The temporal separation between the similar strains distorts the temporal distance considerably, and temporal distance cannot be used in a fair comparison due to this difference. While the low reliability observed between antigenic cartography and the sequence-based distances is harder to explain, we postulate that currently used genetic differences fail to adequately consider the indel mutation that differentiates the 2009 pandemic-like strains from the pre-2009 seasonal strains. Indel mutations are also important for distinguishing influenza B lineages, so incorporating a better gap penalty into genetic or biophysical distances may provide insight into the low reliability between metrics.</w:t>
      </w:r>
    </w:p>
    <w:p w14:paraId="1D876892" w14:textId="77777777" w:rsidR="004C23B3" w:rsidRDefault="00000000">
      <w:pPr>
        <w:pStyle w:val="BodyText"/>
      </w:pPr>
      <w:r>
        <w:t xml:space="preserve">Despite the moderate correlations between metrics,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that might be more easily captured by Grantham or cartographic distance are important, but we were unable to identify specific strains driving this effect. Alternatively, the difference could be due to some form of noise or sampling error in our study — we have no data from equivalent human cohort studies with wide heterologous panels to compare our results to, so we do not know if this result is consistent.</w:t>
      </w:r>
    </w:p>
    <w:p w14:paraId="6EC3649B" w14:textId="77777777" w:rsidR="004C23B3" w:rsidRDefault="00000000">
      <w:pPr>
        <w:pStyle w:val="BodyText"/>
      </w:pPr>
      <w:r>
        <w:t xml:space="preserve">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For example, we might expect a tapering effect or a sharp drop-off, which could both be produced by the GAMMs. Notably, we even found that temporal distance tends to produce similar predictions to cartographic distance in this setting, despite the evidence for epochal antigenic evolution and emergence or circulation of multiple clusters in a single year (3,9,59,126). Combining our the antigenic </w:t>
      </w:r>
      <w:r>
        <w:lastRenderedPageBreak/>
        <w:t>distance metrics we considered (and potentially other epidemiological or virological data) could produce a better with less nuisance variation across experimental units.</w:t>
      </w:r>
    </w:p>
    <w:p w14:paraId="58F777A8" w14:textId="77777777" w:rsidR="004C23B3"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that could confound our results (9,127). While exposure history does not statistically confound the effect of antigenic distance in our study, exposure history could be a major source of between-subject variability. Controlling for exposure history would provide interesting conclusions in its own right but could help us resolve the effect of antigenic distance on immunogenicity.</w:t>
      </w:r>
    </w:p>
    <w:p w14:paraId="28B650DC" w14:textId="77777777" w:rsidR="004C23B3" w:rsidRDefault="00000000">
      <w:pPr>
        <w:pStyle w:val="BodyText"/>
      </w:pPr>
      <w:r>
        <w:t>Our results also only apply to the split-inactivated Fluzone standard dose vaccine. Higher doses can either help or hinder heterologous responses (128–130), and in a previous study we found that the heterologous antibody response varied by Fluzone vaccine dose (79), so our results might change for other vaccine doses or formulations. A balanced design with randomized vaccine design would be preferable for understanding the impact of vaccine design on agreement between antigenic distance metrics.</w:t>
      </w:r>
    </w:p>
    <w:p w14:paraId="7548BFD1" w14:textId="77777777" w:rsidR="004C23B3" w:rsidRDefault="00000000">
      <w:pPr>
        <w:pStyle w:val="BodyText"/>
      </w:pPr>
      <w:r>
        <w:t>We also used cartographies based on our pre-immune human data, which were generated on the same data we analyzed. With access to multiple cartographies on the same data set or imputation techniques (131,132)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that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02F3A21A" w14:textId="77777777" w:rsidR="004C23B3"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579E6595" w14:textId="77777777" w:rsidR="004C23B3" w:rsidRDefault="00000000">
      <w:pPr>
        <w:pStyle w:val="Heading1"/>
      </w:pPr>
      <w:bookmarkStart w:id="26" w:name="acknowledgements"/>
      <w:bookmarkEnd w:id="25"/>
      <w:r>
        <w:lastRenderedPageBreak/>
        <w:t>Acknowledgements</w:t>
      </w:r>
    </w:p>
    <w:p w14:paraId="72ABF06D" w14:textId="77777777" w:rsidR="004C23B3" w:rsidRDefault="00000000">
      <w:pPr>
        <w:pStyle w:val="FirstParagraph"/>
      </w:pPr>
      <w:r>
        <w:t>We thank William Michael Landau (Eli Lilly and Company, Indianapolis, IN, USA) and Eric R. Scott (University of Arizona, Tucson,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49337AA3" w14:textId="77777777" w:rsidR="004C23B3" w:rsidRDefault="00000000">
      <w:pPr>
        <w:pStyle w:val="BodyText"/>
      </w:pPr>
      <w:r>
        <w:t>We gratefully acknowledge all data contributors, i.e., the Authors and their Originating laboratories responsible for obtaining the specimens, and their Submitting laboratories for generating the genetic sequence and metadata and sharing via the GISAID Initiative, on which this research is based. Similarly, we gratefully acknowledge all data contributors for generating the genetic sequence and metadata and sharing via NCBI GenBank and UniProt, on which this research is based.</w:t>
      </w:r>
    </w:p>
    <w:p w14:paraId="56F48E90" w14:textId="77777777" w:rsidR="004C23B3" w:rsidRDefault="00000000">
      <w:r>
        <w:br w:type="page"/>
      </w:r>
    </w:p>
    <w:p w14:paraId="7F0E11DC" w14:textId="77777777" w:rsidR="004C23B3" w:rsidRDefault="00000000">
      <w:pPr>
        <w:pStyle w:val="Heading1"/>
      </w:pPr>
      <w:bookmarkStart w:id="27" w:name="references"/>
      <w:bookmarkEnd w:id="26"/>
      <w:r>
        <w:lastRenderedPageBreak/>
        <w:t>References</w:t>
      </w:r>
    </w:p>
    <w:p w14:paraId="59D0262C" w14:textId="77777777" w:rsidR="004C23B3" w:rsidRDefault="00000000">
      <w:pPr>
        <w:pStyle w:val="Bibliography"/>
      </w:pPr>
      <w:bookmarkStart w:id="28" w:name="ref-krammer2018a"/>
      <w:bookmarkStart w:id="29" w:name="refs"/>
      <w:r>
        <w:t xml:space="preserve">1. </w:t>
      </w:r>
      <w:r>
        <w:tab/>
        <w:t xml:space="preserve">Krammer F, Smith GJD, Fouchier RAM, Peiris M, Kedzierska K, Doherty PC, et al. </w:t>
      </w:r>
      <w:hyperlink r:id="rId12">
        <w:r w:rsidR="004C23B3">
          <w:rPr>
            <w:rStyle w:val="Hyperlink"/>
          </w:rPr>
          <w:t>Influenza</w:t>
        </w:r>
      </w:hyperlink>
      <w:r>
        <w:t xml:space="preserve">. Nature Reviews Disease Primers. 2018 Jun;4(1):1–21. </w:t>
      </w:r>
    </w:p>
    <w:p w14:paraId="21554C90" w14:textId="77777777" w:rsidR="004C23B3" w:rsidRDefault="00000000">
      <w:pPr>
        <w:pStyle w:val="Bibliography"/>
      </w:pPr>
      <w:bookmarkStart w:id="30" w:name="ref-vandesandt2012"/>
      <w:bookmarkEnd w:id="28"/>
      <w:r>
        <w:t xml:space="preserve">2. </w:t>
      </w:r>
      <w:r>
        <w:tab/>
        <w:t xml:space="preserve">van de Sandt CE, Kreijtz JHCM, Rimmelzwaan GF. </w:t>
      </w:r>
      <w:hyperlink r:id="rId13">
        <w:r w:rsidR="004C23B3">
          <w:rPr>
            <w:rStyle w:val="Hyperlink"/>
          </w:rPr>
          <w:t>Evasion of Influenza A Viruses from Innate and Adaptive Immune Responses</w:t>
        </w:r>
      </w:hyperlink>
      <w:r>
        <w:t xml:space="preserve">. Viruses. 2012 Sep;4(9):1438–76. </w:t>
      </w:r>
    </w:p>
    <w:p w14:paraId="6066FD56" w14:textId="77777777" w:rsidR="004C23B3" w:rsidRDefault="00000000">
      <w:pPr>
        <w:pStyle w:val="Bibliography"/>
      </w:pPr>
      <w:bookmarkStart w:id="31" w:name="ref-petrova2018"/>
      <w:bookmarkEnd w:id="30"/>
      <w:r>
        <w:t xml:space="preserve">3. </w:t>
      </w:r>
      <w:r>
        <w:tab/>
        <w:t xml:space="preserve">Petrova VN, Russell CA. </w:t>
      </w:r>
      <w:hyperlink r:id="rId14">
        <w:r w:rsidR="004C23B3">
          <w:rPr>
            <w:rStyle w:val="Hyperlink"/>
          </w:rPr>
          <w:t>The evolution of seasonal influenza viruses</w:t>
        </w:r>
      </w:hyperlink>
      <w:r>
        <w:t xml:space="preserve">. Nature Reviews Microbiology. 2018 Jan;16(1):47–60. </w:t>
      </w:r>
    </w:p>
    <w:p w14:paraId="6A11C1F4" w14:textId="77777777" w:rsidR="004C23B3" w:rsidRDefault="00000000">
      <w:pPr>
        <w:pStyle w:val="Bibliography"/>
      </w:pPr>
      <w:bookmarkStart w:id="32" w:name="ref-morens2010"/>
      <w:bookmarkEnd w:id="31"/>
      <w:r>
        <w:t xml:space="preserve">4. </w:t>
      </w:r>
      <w:r>
        <w:tab/>
        <w:t xml:space="preserve">Morens DM, Taubenberger JK, Fauci AS. </w:t>
      </w:r>
      <w:hyperlink r:id="rId15">
        <w:r w:rsidR="004C23B3">
          <w:rPr>
            <w:rStyle w:val="Hyperlink"/>
          </w:rPr>
          <w:t>The 2009 H1N1 Pandemic Influenza Virus: What Next?</w:t>
        </w:r>
      </w:hyperlink>
      <w:r>
        <w:t xml:space="preserve"> mBio. 2010 Sep;1(4):e00211–10. </w:t>
      </w:r>
    </w:p>
    <w:p w14:paraId="464A9531" w14:textId="77777777" w:rsidR="004C23B3" w:rsidRDefault="00000000">
      <w:pPr>
        <w:pStyle w:val="Bibliography"/>
      </w:pPr>
      <w:bookmarkStart w:id="33" w:name="ref-paules2019"/>
      <w:bookmarkEnd w:id="32"/>
      <w:r>
        <w:t xml:space="preserve">5. </w:t>
      </w:r>
      <w:r>
        <w:tab/>
        <w:t xml:space="preserve">Paules CI, Fauci AS. </w:t>
      </w:r>
      <w:hyperlink r:id="rId16">
        <w:r w:rsidR="004C23B3">
          <w:rPr>
            <w:rStyle w:val="Hyperlink"/>
          </w:rPr>
          <w:t>Influenza Vaccines: Good, but We Can Do Better</w:t>
        </w:r>
      </w:hyperlink>
      <w:r>
        <w:t xml:space="preserve">. The Journal of Infectious Diseases. 2019 Apr;219(Suppl 1):S1–4. </w:t>
      </w:r>
    </w:p>
    <w:p w14:paraId="364A53B1" w14:textId="77777777" w:rsidR="004C23B3" w:rsidRDefault="00000000">
      <w:pPr>
        <w:pStyle w:val="Bibliography"/>
      </w:pPr>
      <w:bookmarkStart w:id="34" w:name="ref-kim2018"/>
      <w:bookmarkEnd w:id="33"/>
      <w:r>
        <w:t xml:space="preserve">6. </w:t>
      </w:r>
      <w:r>
        <w:tab/>
        <w:t xml:space="preserve">Kim H, Webster RG, Webby RJ. </w:t>
      </w:r>
      <w:hyperlink r:id="rId17">
        <w:r w:rsidR="004C23B3">
          <w:rPr>
            <w:rStyle w:val="Hyperlink"/>
          </w:rPr>
          <w:t>Influenza Virus: Dealing with a Drifting and Shifting Pathogen</w:t>
        </w:r>
      </w:hyperlink>
      <w:r>
        <w:t xml:space="preserve">. Viral Immunology. 2018 Mar;31(2):174–83. </w:t>
      </w:r>
    </w:p>
    <w:p w14:paraId="5C796D70" w14:textId="77777777" w:rsidR="004C23B3" w:rsidRDefault="00000000">
      <w:pPr>
        <w:pStyle w:val="Bibliography"/>
      </w:pPr>
      <w:bookmarkStart w:id="35" w:name="ref-koelle2006"/>
      <w:bookmarkEnd w:id="34"/>
      <w:r>
        <w:t xml:space="preserve">7. </w:t>
      </w:r>
      <w:r>
        <w:tab/>
        <w:t xml:space="preserve">Koelle K, Cobey S, Grenfell B, Pascual M. </w:t>
      </w:r>
      <w:hyperlink r:id="rId18">
        <w:r w:rsidR="004C23B3">
          <w:rPr>
            <w:rStyle w:val="Hyperlink"/>
          </w:rPr>
          <w:t>Epochal Evolution Shapes the Phylodynamics of Interpandemic Influenza A (H3N2) in Humans</w:t>
        </w:r>
      </w:hyperlink>
      <w:r>
        <w:t xml:space="preserve">. Science. 2006 Dec;314(5807):1898–903. </w:t>
      </w:r>
    </w:p>
    <w:p w14:paraId="39684E1C" w14:textId="77777777" w:rsidR="004C23B3" w:rsidRDefault="00000000">
      <w:pPr>
        <w:pStyle w:val="Bibliography"/>
      </w:pPr>
      <w:bookmarkStart w:id="36" w:name="ref-zinder2013"/>
      <w:bookmarkEnd w:id="35"/>
      <w:r>
        <w:t xml:space="preserve">8. </w:t>
      </w:r>
      <w:r>
        <w:tab/>
        <w:t xml:space="preserve">Zinder D, Bedford T, Gupta S, Pascual M. </w:t>
      </w:r>
      <w:hyperlink r:id="rId19">
        <w:r w:rsidR="004C23B3">
          <w:rPr>
            <w:rStyle w:val="Hyperlink"/>
          </w:rPr>
          <w:t>The Roles of Competition and Mutation in Shaping Antigenic and Genetic Diversity in Influenza</w:t>
        </w:r>
      </w:hyperlink>
      <w:r>
        <w:t xml:space="preserve">. PLOS Pathogens. 2013 Jan;9(1):e1003104. </w:t>
      </w:r>
    </w:p>
    <w:p w14:paraId="71895BA4" w14:textId="77777777" w:rsidR="004C23B3" w:rsidRDefault="00000000">
      <w:pPr>
        <w:pStyle w:val="Bibliography"/>
      </w:pPr>
      <w:bookmarkStart w:id="37" w:name="ref-oidtman2021"/>
      <w:bookmarkEnd w:id="36"/>
      <w:r>
        <w:t xml:space="preserve">9. </w:t>
      </w:r>
      <w:r>
        <w:tab/>
        <w:t xml:space="preserve">Oidtman RJ, Arevalo P, Bi Q, McGough L, Russo CJ, Cruz DV, et al. </w:t>
      </w:r>
      <w:hyperlink r:id="rId20">
        <w:r w:rsidR="004C23B3">
          <w:rPr>
            <w:rStyle w:val="Hyperlink"/>
          </w:rPr>
          <w:t>Influenza immune escape under heterogeneous host immune histories</w:t>
        </w:r>
      </w:hyperlink>
      <w:r>
        <w:t xml:space="preserve">. Trends in microbiology. 2021 Dec;29(12):1072–82. </w:t>
      </w:r>
    </w:p>
    <w:p w14:paraId="3D8D89C1" w14:textId="77777777" w:rsidR="004C23B3" w:rsidRDefault="00000000">
      <w:pPr>
        <w:pStyle w:val="Bibliography"/>
      </w:pPr>
      <w:bookmarkStart w:id="38" w:name="ref-CDCVE"/>
      <w:bookmarkEnd w:id="37"/>
      <w:r>
        <w:t xml:space="preserve">10. </w:t>
      </w:r>
      <w:r>
        <w:tab/>
        <w:t xml:space="preserve">Centers for Disease Control and Prevention (CDC). National, Regional, and State Level Outpatient Illness and Viral Surveillance. https://gis.cdc.gov/grasp/fluview/fluportaldashboard.html; </w:t>
      </w:r>
    </w:p>
    <w:p w14:paraId="79EA8F98" w14:textId="77777777" w:rsidR="004C23B3" w:rsidRDefault="00000000">
      <w:pPr>
        <w:pStyle w:val="Bibliography"/>
      </w:pPr>
      <w:bookmarkStart w:id="39" w:name="ref-smith1999"/>
      <w:bookmarkEnd w:id="38"/>
      <w:r>
        <w:t xml:space="preserve">11. </w:t>
      </w:r>
      <w:r>
        <w:tab/>
        <w:t xml:space="preserve">Smith DJ, Forrest S, Ackley DH, Perelson AlanS. </w:t>
      </w:r>
      <w:hyperlink r:id="rId21">
        <w:r w:rsidR="004C23B3">
          <w:rPr>
            <w:rStyle w:val="Hyperlink"/>
          </w:rPr>
          <w:t>Variable efficacy of repeated annual influenza vaccination</w:t>
        </w:r>
      </w:hyperlink>
      <w:r>
        <w:t xml:space="preserve">. Proceedings of the National Academy of Sciences of the United States of America. 1999 Nov;96(24):14001–6. </w:t>
      </w:r>
    </w:p>
    <w:p w14:paraId="3693BC4C" w14:textId="77777777" w:rsidR="004C23B3" w:rsidRDefault="00000000">
      <w:pPr>
        <w:pStyle w:val="Bibliography"/>
      </w:pPr>
      <w:bookmarkStart w:id="40" w:name="ref-skowronski2017"/>
      <w:bookmarkEnd w:id="39"/>
      <w:r>
        <w:t xml:space="preserve">12. </w:t>
      </w:r>
      <w:r>
        <w:tab/>
        <w:t xml:space="preserve">Skowronski DM, Chambers C, De Serres G, Sabaiduc S, Winter AL, Dickinson JA, et al. </w:t>
      </w:r>
      <w:hyperlink r:id="rId22">
        <w:r w:rsidR="004C23B3">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5CAB6FAC" w14:textId="77777777" w:rsidR="004C23B3" w:rsidRDefault="00000000">
      <w:pPr>
        <w:pStyle w:val="Bibliography"/>
      </w:pPr>
      <w:bookmarkStart w:id="41" w:name="ref-lim2022"/>
      <w:bookmarkEnd w:id="40"/>
      <w:r>
        <w:t xml:space="preserve">13. </w:t>
      </w:r>
      <w:r>
        <w:tab/>
        <w:t xml:space="preserve">Lim WW, Cowling BJ, Nakafero G, Feng S, Nguyen-Van-Tam JS, Bolt H. </w:t>
      </w:r>
      <w:hyperlink r:id="rId23">
        <w:r w:rsidR="004C23B3">
          <w:rPr>
            <w:rStyle w:val="Hyperlink"/>
          </w:rPr>
          <w:t>The impact of repeated vaccination on relative influenza vaccine effectiveness among vaccinated adults in the United Kingdom</w:t>
        </w:r>
      </w:hyperlink>
      <w:r>
        <w:t xml:space="preserve">. Epidemiology and Infection. 2022 Nov;150:e198. </w:t>
      </w:r>
    </w:p>
    <w:p w14:paraId="37E7FEF0" w14:textId="77777777" w:rsidR="004C23B3" w:rsidRDefault="00000000">
      <w:pPr>
        <w:pStyle w:val="Bibliography"/>
      </w:pPr>
      <w:bookmarkStart w:id="42" w:name="ref-jones-gray2023"/>
      <w:bookmarkEnd w:id="41"/>
      <w:r>
        <w:lastRenderedPageBreak/>
        <w:t xml:space="preserve">14. </w:t>
      </w:r>
      <w:r>
        <w:tab/>
        <w:t xml:space="preserve">Jones-Gray E, Robinson EJ, Kucharski AJ, Fox A, Sullivan SG. </w:t>
      </w:r>
      <w:hyperlink r:id="rId24">
        <w:r w:rsidR="004C23B3">
          <w:rPr>
            <w:rStyle w:val="Hyperlink"/>
          </w:rPr>
          <w:t>Does repeated influenza vaccination attenuate effectiveness? A systematic review and meta-analysis</w:t>
        </w:r>
      </w:hyperlink>
      <w:r>
        <w:t xml:space="preserve">. The Lancet Respiratory Medicine. 2023 Jan;11(1):27–44. </w:t>
      </w:r>
    </w:p>
    <w:p w14:paraId="5A2C14C7" w14:textId="77777777" w:rsidR="004C23B3" w:rsidRDefault="00000000">
      <w:pPr>
        <w:pStyle w:val="Bibliography"/>
      </w:pPr>
      <w:bookmarkStart w:id="43" w:name="ref-xie2015"/>
      <w:bookmarkEnd w:id="42"/>
      <w:r>
        <w:t xml:space="preserve">15. </w:t>
      </w:r>
      <w:r>
        <w:tab/>
        <w:t xml:space="preserve">Xie H, Wan XF, Ye Z, Plant EP, Zhao Y, Xu Y, et al. </w:t>
      </w:r>
      <w:hyperlink r:id="rId25">
        <w:r w:rsidR="004C23B3">
          <w:rPr>
            <w:rStyle w:val="Hyperlink"/>
          </w:rPr>
          <w:t>H3N2 Mismatch of 2014–15 Northern Hemisphere Influenza Vaccines and Head-to-head Comparison between Human and Ferret Antisera derived Antigenic Maps</w:t>
        </w:r>
      </w:hyperlink>
      <w:r>
        <w:t xml:space="preserve">. Scientific Reports. 2015 Oct;5:15279. </w:t>
      </w:r>
    </w:p>
    <w:p w14:paraId="6825FD18" w14:textId="77777777" w:rsidR="004C23B3" w:rsidRDefault="00000000">
      <w:pPr>
        <w:pStyle w:val="Bibliography"/>
      </w:pPr>
      <w:bookmarkStart w:id="44" w:name="ref-sandbulte2011"/>
      <w:bookmarkEnd w:id="43"/>
      <w:r>
        <w:t xml:space="preserve">16. </w:t>
      </w:r>
      <w:r>
        <w:tab/>
        <w:t xml:space="preserve">Sandbulte MR, Westgeest KB, Gao J, Xu X, Klimov AI, Russell CA, et al. </w:t>
      </w:r>
      <w:hyperlink r:id="rId26">
        <w:r w:rsidR="004C23B3">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146B63A7" w14:textId="77777777" w:rsidR="004C23B3" w:rsidRDefault="00000000">
      <w:pPr>
        <w:pStyle w:val="Bibliography"/>
      </w:pPr>
      <w:bookmarkStart w:id="45" w:name="ref-smith2009"/>
      <w:bookmarkEnd w:id="44"/>
      <w:r>
        <w:t xml:space="preserve">17. </w:t>
      </w:r>
      <w:r>
        <w:tab/>
        <w:t xml:space="preserve">Smith GJD, Vijaykrishna D, Bahl J, Lycett SJ, Worobey M, Pybus OG, et al. </w:t>
      </w:r>
      <w:hyperlink r:id="rId27">
        <w:r w:rsidR="004C23B3">
          <w:rPr>
            <w:rStyle w:val="Hyperlink"/>
          </w:rPr>
          <w:t>Origins and evolutionary genomics of the 2009 swine-origin H1N1 influenza A epidemic</w:t>
        </w:r>
      </w:hyperlink>
      <w:r>
        <w:t xml:space="preserve">. Nature. 2009 Jun;459(7250):1122–5. </w:t>
      </w:r>
    </w:p>
    <w:p w14:paraId="76DAC0A7" w14:textId="77777777" w:rsidR="004C23B3" w:rsidRDefault="00000000">
      <w:pPr>
        <w:pStyle w:val="Bibliography"/>
      </w:pPr>
      <w:bookmarkStart w:id="46" w:name="ref-morimoto2018"/>
      <w:bookmarkEnd w:id="45"/>
      <w:r>
        <w:t xml:space="preserve">18. </w:t>
      </w:r>
      <w:r>
        <w:tab/>
        <w:t xml:space="preserve">Morimoto N, Takeishi K. </w:t>
      </w:r>
      <w:hyperlink r:id="rId28">
        <w:r w:rsidR="004C23B3">
          <w:rPr>
            <w:rStyle w:val="Hyperlink"/>
          </w:rPr>
          <w:t>Change in the efficacy of influenza vaccination after repeated inoculation under antigenic mismatch: A systematic review and meta-analysis</w:t>
        </w:r>
      </w:hyperlink>
      <w:r>
        <w:t xml:space="preserve">. Vaccine. 2018 Feb;36(7):949–57. </w:t>
      </w:r>
    </w:p>
    <w:p w14:paraId="411DAF58" w14:textId="77777777" w:rsidR="004C23B3" w:rsidRDefault="00000000">
      <w:pPr>
        <w:pStyle w:val="Bibliography"/>
      </w:pPr>
      <w:bookmarkStart w:id="47" w:name="ref-okoli2021"/>
      <w:bookmarkEnd w:id="46"/>
      <w:r>
        <w:t xml:space="preserve">19. </w:t>
      </w:r>
      <w:r>
        <w:tab/>
        <w:t xml:space="preserve">Okoli GN, Racovitan F, Abdulwahid T, Righolt CH, Mahmud SM. </w:t>
      </w:r>
      <w:hyperlink r:id="rId29">
        <w:r w:rsidR="004C23B3">
          <w:rPr>
            <w:rStyle w:val="Hyperlink"/>
          </w:rPr>
          <w:t xml:space="preserve">Variable seasonal influenza vaccine effectiveness across geographical regions, age groups and levels of vaccine antigenic similarity with circulating virus strains: A systematic review and </w:t>
        </w:r>
        <w:r w:rsidR="004C23B3">
          <w:rPr>
            <w:rStyle w:val="Hyperlink"/>
            <w:i/>
            <w:iCs/>
          </w:rPr>
          <w:t>Meta</w:t>
        </w:r>
        <w:r w:rsidR="004C23B3">
          <w:rPr>
            <w:rStyle w:val="Hyperlink"/>
          </w:rPr>
          <w:t>-analysis of the evidence from test-negative design studies after the 2009/10 influenza pandemic</w:t>
        </w:r>
      </w:hyperlink>
      <w:r>
        <w:t xml:space="preserve">. Vaccine. 2021 Feb;39(8):1225–40. </w:t>
      </w:r>
    </w:p>
    <w:p w14:paraId="2ADC935E" w14:textId="77777777" w:rsidR="004C23B3" w:rsidRDefault="00000000">
      <w:pPr>
        <w:pStyle w:val="Bibliography"/>
      </w:pPr>
      <w:bookmarkStart w:id="48" w:name="ref-erbelding2018"/>
      <w:bookmarkEnd w:id="47"/>
      <w:r>
        <w:t xml:space="preserve">20. </w:t>
      </w:r>
      <w:r>
        <w:tab/>
        <w:t xml:space="preserve">Erbelding EJ, Post DJ, Stemmy EJ, Roberts PC, Augustine AD, Ferguson S, et al. </w:t>
      </w:r>
      <w:hyperlink r:id="rId30">
        <w:r w:rsidR="004C23B3">
          <w:rPr>
            <w:rStyle w:val="Hyperlink"/>
          </w:rPr>
          <w:t>A Universal Influenza Vaccine: The Strategic Plan for the National Institute of Allergy and Infectious Diseases</w:t>
        </w:r>
      </w:hyperlink>
      <w:r>
        <w:t xml:space="preserve">. The Journal of Infectious Diseases. 2018 Jul;218(3):347–54. </w:t>
      </w:r>
    </w:p>
    <w:p w14:paraId="6B0E532A" w14:textId="77777777" w:rsidR="004C23B3" w:rsidRDefault="00000000">
      <w:pPr>
        <w:pStyle w:val="Bibliography"/>
      </w:pPr>
      <w:bookmarkStart w:id="49" w:name="ref-hensley2009"/>
      <w:bookmarkEnd w:id="48"/>
      <w:r>
        <w:t xml:space="preserve">21. </w:t>
      </w:r>
      <w:r>
        <w:tab/>
        <w:t xml:space="preserve">Hensley SE, Das SR, Bailey AL, Schmidt LM, Hickman HD, Jayaraman A, et al. </w:t>
      </w:r>
      <w:hyperlink r:id="rId31">
        <w:r w:rsidR="004C23B3">
          <w:rPr>
            <w:rStyle w:val="Hyperlink"/>
          </w:rPr>
          <w:t>Hemagglutinin receptor binding avidity drives influenza A virus antigenic drift</w:t>
        </w:r>
      </w:hyperlink>
      <w:r>
        <w:t xml:space="preserve">. Science (New York, NY). 2009 Oct;326(5953):734–6. </w:t>
      </w:r>
    </w:p>
    <w:p w14:paraId="1F99602E" w14:textId="77777777" w:rsidR="004C23B3" w:rsidRDefault="00000000">
      <w:pPr>
        <w:pStyle w:val="Bibliography"/>
      </w:pPr>
      <w:bookmarkStart w:id="50" w:name="ref-hensley2014"/>
      <w:bookmarkEnd w:id="49"/>
      <w:r>
        <w:t xml:space="preserve">22. </w:t>
      </w:r>
      <w:r>
        <w:tab/>
        <w:t xml:space="preserve">Hensley SE. </w:t>
      </w:r>
      <w:hyperlink r:id="rId32">
        <w:r w:rsidR="004C23B3">
          <w:rPr>
            <w:rStyle w:val="Hyperlink"/>
          </w:rPr>
          <w:t>Challenges of selecting seasonal influenza vaccine strains for humans with diverse pre-exposure histories</w:t>
        </w:r>
      </w:hyperlink>
      <w:r>
        <w:t xml:space="preserve">. Current Opinion in Virology. 2014 Oct;8:85–9. </w:t>
      </w:r>
    </w:p>
    <w:p w14:paraId="5A0B8A2B" w14:textId="77777777" w:rsidR="004C23B3" w:rsidRDefault="00000000">
      <w:pPr>
        <w:pStyle w:val="Bibliography"/>
      </w:pPr>
      <w:bookmarkStart w:id="51" w:name="ref-wang2021b"/>
      <w:bookmarkEnd w:id="50"/>
      <w:r>
        <w:t xml:space="preserve">23. </w:t>
      </w:r>
      <w:r>
        <w:tab/>
        <w:t xml:space="preserve">Wang Y, Tang CY, Wan XF. </w:t>
      </w:r>
      <w:hyperlink r:id="rId33">
        <w:r w:rsidR="004C23B3">
          <w:rPr>
            <w:rStyle w:val="Hyperlink"/>
          </w:rPr>
          <w:t>Antigenic characterization of influenza and SARS-CoV-2 viruses</w:t>
        </w:r>
      </w:hyperlink>
      <w:r>
        <w:t xml:space="preserve">. Analytical and Bioanalytical Chemistry. 2021-12-14, 2021-12;414(9):2841–81. </w:t>
      </w:r>
    </w:p>
    <w:p w14:paraId="07C07C13" w14:textId="77777777" w:rsidR="004C23B3" w:rsidRDefault="00000000">
      <w:pPr>
        <w:pStyle w:val="Bibliography"/>
      </w:pPr>
      <w:bookmarkStart w:id="52" w:name="ref-parker2016"/>
      <w:bookmarkEnd w:id="51"/>
      <w:r>
        <w:t xml:space="preserve">24. </w:t>
      </w:r>
      <w:r>
        <w:tab/>
        <w:t xml:space="preserve">Parker L, Wharton SA, Martin SR, Cross K, Lin Y, Liu Y, et al. </w:t>
      </w:r>
      <w:hyperlink r:id="rId34">
        <w:r w:rsidR="004C23B3">
          <w:rPr>
            <w:rStyle w:val="Hyperlink"/>
          </w:rPr>
          <w:t>Effects of egg-adaptation on receptor-binding and antigenic properties of recent influenza A (H3N2) vaccine viruses</w:t>
        </w:r>
      </w:hyperlink>
      <w:r>
        <w:t xml:space="preserve">. The Journal of General Virology. 2016 Jun;97(6):1333–44. </w:t>
      </w:r>
    </w:p>
    <w:p w14:paraId="7E64A051" w14:textId="77777777" w:rsidR="004C23B3" w:rsidRDefault="00000000">
      <w:pPr>
        <w:pStyle w:val="Bibliography"/>
      </w:pPr>
      <w:bookmarkStart w:id="53" w:name="ref-gambaryan1999"/>
      <w:bookmarkEnd w:id="52"/>
      <w:r>
        <w:lastRenderedPageBreak/>
        <w:t xml:space="preserve">25. </w:t>
      </w:r>
      <w:r>
        <w:tab/>
        <w:t xml:space="preserve">Gambaryan AS, Robertson JS, Matrosovich MN. </w:t>
      </w:r>
      <w:hyperlink r:id="rId35">
        <w:r w:rsidR="004C23B3">
          <w:rPr>
            <w:rStyle w:val="Hyperlink"/>
          </w:rPr>
          <w:t>Effects of Egg-Adaptation on the Receptor-Binding Properties of Human Influenza A and B Viruses</w:t>
        </w:r>
      </w:hyperlink>
      <w:r>
        <w:t xml:space="preserve">. Virology. 1999 Jun;258(2):232–9. </w:t>
      </w:r>
    </w:p>
    <w:p w14:paraId="75674533" w14:textId="77777777" w:rsidR="004C23B3" w:rsidRDefault="00000000">
      <w:pPr>
        <w:pStyle w:val="Bibliography"/>
      </w:pPr>
      <w:bookmarkStart w:id="54" w:name="ref-smith2004"/>
      <w:bookmarkEnd w:id="53"/>
      <w:r>
        <w:t xml:space="preserve">26. </w:t>
      </w:r>
      <w:r>
        <w:tab/>
        <w:t xml:space="preserve">Smith DJ, Lapedes AS, de Jong JC, Bestebroer TM, Rimmelzwaan GF, Osterhaus ADME, et al. </w:t>
      </w:r>
      <w:hyperlink r:id="rId36">
        <w:r w:rsidR="004C23B3">
          <w:rPr>
            <w:rStyle w:val="Hyperlink"/>
          </w:rPr>
          <w:t>Mapping the Antigenic and Genetic Evolution of Influenza Virus</w:t>
        </w:r>
      </w:hyperlink>
      <w:r>
        <w:t xml:space="preserve">. Science. 2004 Jul;305(5682):371–6. </w:t>
      </w:r>
    </w:p>
    <w:p w14:paraId="15D6A672" w14:textId="77777777" w:rsidR="004C23B3" w:rsidRDefault="00000000">
      <w:pPr>
        <w:pStyle w:val="Bibliography"/>
      </w:pPr>
      <w:bookmarkStart w:id="55" w:name="ref-bedford2014"/>
      <w:bookmarkEnd w:id="54"/>
      <w:r>
        <w:t xml:space="preserve">27. </w:t>
      </w:r>
      <w:r>
        <w:tab/>
        <w:t xml:space="preserve">Bedford T, Suchard MA, Lemey P, Dudas G, Gregory V, Hay AJ, et al. </w:t>
      </w:r>
      <w:hyperlink r:id="rId37">
        <w:r w:rsidR="004C23B3">
          <w:rPr>
            <w:rStyle w:val="Hyperlink"/>
          </w:rPr>
          <w:t>Integrating influenza antigenic dynamics with molecular evolution</w:t>
        </w:r>
      </w:hyperlink>
      <w:r>
        <w:t xml:space="preserve">. eLife. 2014;3:e01914. </w:t>
      </w:r>
    </w:p>
    <w:p w14:paraId="66BC3310" w14:textId="77777777" w:rsidR="004C23B3" w:rsidRDefault="00000000">
      <w:pPr>
        <w:pStyle w:val="Bibliography"/>
      </w:pPr>
      <w:bookmarkStart w:id="56" w:name="ref-fonville2014"/>
      <w:bookmarkEnd w:id="55"/>
      <w:r>
        <w:t xml:space="preserve">28. </w:t>
      </w:r>
      <w:r>
        <w:tab/>
        <w:t xml:space="preserve">Fonville JM, Wilks SH, James SL, Fox A, Ventresca M, Aban M, et al. </w:t>
      </w:r>
      <w:hyperlink r:id="rId38">
        <w:r w:rsidR="004C23B3">
          <w:rPr>
            <w:rStyle w:val="Hyperlink"/>
          </w:rPr>
          <w:t>Antibody landscapes after influenza virus infection or vaccination</w:t>
        </w:r>
      </w:hyperlink>
      <w:r>
        <w:t xml:space="preserve">. Science (New York, NY). 2014 Nov;346(6212):996–1000. </w:t>
      </w:r>
    </w:p>
    <w:p w14:paraId="5CFFC9DF" w14:textId="77777777" w:rsidR="004C23B3" w:rsidRDefault="00000000">
      <w:pPr>
        <w:pStyle w:val="Bibliography"/>
      </w:pPr>
      <w:bookmarkStart w:id="57" w:name="ref-hay2019a"/>
      <w:bookmarkEnd w:id="56"/>
      <w:r>
        <w:t xml:space="preserve">29. </w:t>
      </w:r>
      <w:r>
        <w:tab/>
        <w:t xml:space="preserve">Hay JA, Laurie K, White M, Riley S. </w:t>
      </w:r>
      <w:hyperlink r:id="rId39">
        <w:r w:rsidR="004C23B3">
          <w:rPr>
            <w:rStyle w:val="Hyperlink"/>
          </w:rPr>
          <w:t>Characterising antibody kinetics from multiple influenza infection and vaccination events in ferrets</w:t>
        </w:r>
      </w:hyperlink>
      <w:r>
        <w:t xml:space="preserve">. PLoS Computational Biology. 2019 Aug;15(8):e1007294. </w:t>
      </w:r>
    </w:p>
    <w:p w14:paraId="5BF060C7" w14:textId="77777777" w:rsidR="004C23B3" w:rsidRDefault="00000000">
      <w:pPr>
        <w:pStyle w:val="Bibliography"/>
      </w:pPr>
      <w:bookmarkStart w:id="58" w:name="ref-sun2013"/>
      <w:bookmarkEnd w:id="57"/>
      <w:r>
        <w:t xml:space="preserve">30. </w:t>
      </w:r>
      <w:r>
        <w:tab/>
        <w:t xml:space="preserve">Sun H, Yang J, Zhang T, Long LP, Jia K, Yang G, et al. </w:t>
      </w:r>
      <w:hyperlink r:id="rId40">
        <w:r w:rsidR="004C23B3">
          <w:rPr>
            <w:rStyle w:val="Hyperlink"/>
          </w:rPr>
          <w:t>Using sequence data to infer the antigenicity of influenza virus</w:t>
        </w:r>
      </w:hyperlink>
      <w:r>
        <w:t xml:space="preserve">. Perlman S, Biron C, editors. mBio. 2013-08-30, 2013-08;4(4). </w:t>
      </w:r>
    </w:p>
    <w:p w14:paraId="2FBD9A4B" w14:textId="77777777" w:rsidR="004C23B3" w:rsidRDefault="00000000">
      <w:pPr>
        <w:pStyle w:val="Bibliography"/>
      </w:pPr>
      <w:bookmarkStart w:id="59" w:name="ref-neher2014"/>
      <w:bookmarkEnd w:id="58"/>
      <w:r>
        <w:t xml:space="preserve">31. </w:t>
      </w:r>
      <w:r>
        <w:tab/>
        <w:t xml:space="preserve">Neher RA, Russell CA, Shraiman BI. </w:t>
      </w:r>
      <w:hyperlink r:id="rId41">
        <w:r w:rsidR="004C23B3">
          <w:rPr>
            <w:rStyle w:val="Hyperlink"/>
          </w:rPr>
          <w:t>Predicting evolution from the shape of genealogical trees</w:t>
        </w:r>
      </w:hyperlink>
      <w:r>
        <w:t xml:space="preserve">. eLife. 2014 Nov;3:e03568. </w:t>
      </w:r>
    </w:p>
    <w:p w14:paraId="17D50D95" w14:textId="77777777" w:rsidR="004C23B3" w:rsidRDefault="00000000">
      <w:pPr>
        <w:pStyle w:val="Bibliography"/>
      </w:pPr>
      <w:bookmarkStart w:id="60" w:name="ref-neher2016"/>
      <w:bookmarkEnd w:id="59"/>
      <w:r>
        <w:t xml:space="preserve">32. </w:t>
      </w:r>
      <w:r>
        <w:tab/>
        <w:t xml:space="preserve">Neher RA, Bedford T, Daniels RS, Russell CA, Shraiman BI. </w:t>
      </w:r>
      <w:hyperlink r:id="rId42">
        <w:r w:rsidR="004C23B3">
          <w:rPr>
            <w:rStyle w:val="Hyperlink"/>
          </w:rPr>
          <w:t>Prediction, dynamics, and visualization of antigenic phenotypes of seasonal influenza viruses</w:t>
        </w:r>
      </w:hyperlink>
      <w:r>
        <w:t xml:space="preserve">. Proceedings of the National Academy of Sciences. 2016-03-07, 2016-03;113(12). </w:t>
      </w:r>
    </w:p>
    <w:p w14:paraId="6376DAE7" w14:textId="77777777" w:rsidR="004C23B3" w:rsidRDefault="00000000">
      <w:pPr>
        <w:pStyle w:val="Bibliography"/>
      </w:pPr>
      <w:bookmarkStart w:id="61" w:name="ref-huang2017"/>
      <w:bookmarkEnd w:id="60"/>
      <w:r>
        <w:t xml:space="preserve">33. </w:t>
      </w:r>
      <w:r>
        <w:tab/>
        <w:t xml:space="preserve">Huang L, Li X, Guo P, Yao Y, Liao B, Zhang W, et al. </w:t>
      </w:r>
      <w:hyperlink r:id="rId43">
        <w:r w:rsidR="004C23B3">
          <w:rPr>
            <w:rStyle w:val="Hyperlink"/>
          </w:rPr>
          <w:t>Matrix completion with side information and its applications in predicting the antigenicity of influenza viruses</w:t>
        </w:r>
      </w:hyperlink>
      <w:r>
        <w:t xml:space="preserve">. Bioinformatics. 2017 Oct;33(20):3195–201. </w:t>
      </w:r>
    </w:p>
    <w:p w14:paraId="61B8BE96" w14:textId="77777777" w:rsidR="004C23B3" w:rsidRDefault="00000000">
      <w:pPr>
        <w:pStyle w:val="Bibliography"/>
      </w:pPr>
      <w:bookmarkStart w:id="62" w:name="ref-han2019"/>
      <w:bookmarkEnd w:id="61"/>
      <w:r>
        <w:t xml:space="preserve">34. </w:t>
      </w:r>
      <w:r>
        <w:tab/>
        <w:t xml:space="preserve">Han L, Li L, Wen F, Zhong L, Zhang T, Wan XF. </w:t>
      </w:r>
      <w:hyperlink r:id="rId44">
        <w:r w:rsidR="004C23B3">
          <w:rPr>
            <w:rStyle w:val="Hyperlink"/>
          </w:rPr>
          <w:t>Graph-guided multi-task sparse learning model: A method for identifying antigenic variants of influenza A(H3N2) virus</w:t>
        </w:r>
      </w:hyperlink>
      <w:r>
        <w:t xml:space="preserve">. Bioinformatics. 2019 Jan;35(1):77–87. </w:t>
      </w:r>
    </w:p>
    <w:p w14:paraId="07746533" w14:textId="77777777" w:rsidR="004C23B3" w:rsidRDefault="00000000">
      <w:pPr>
        <w:pStyle w:val="Bibliography"/>
      </w:pPr>
      <w:bookmarkStart w:id="63" w:name="ref-li2020"/>
      <w:bookmarkEnd w:id="62"/>
      <w:r>
        <w:t xml:space="preserve">35. </w:t>
      </w:r>
      <w:r>
        <w:tab/>
        <w:t xml:space="preserve">Li L, Chang D, Han L, Zhang X, Zaia J, Wan XF. </w:t>
      </w:r>
      <w:hyperlink r:id="rId45">
        <w:r w:rsidR="004C23B3">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175B0DCD" w14:textId="77777777" w:rsidR="004C23B3" w:rsidRDefault="00000000">
      <w:pPr>
        <w:pStyle w:val="Bibliography"/>
      </w:pPr>
      <w:bookmarkStart w:id="64" w:name="ref-harvey2023"/>
      <w:bookmarkEnd w:id="63"/>
      <w:r>
        <w:t xml:space="preserve">36. </w:t>
      </w:r>
      <w:r>
        <w:tab/>
        <w:t xml:space="preserve">Harvey WT, Davies V, Daniels RS, Whittaker L, Gregory V, Hay AJ, et al. </w:t>
      </w:r>
      <w:hyperlink r:id="rId46">
        <w:r w:rsidR="004C23B3">
          <w:rPr>
            <w:rStyle w:val="Hyperlink"/>
          </w:rPr>
          <w:t>A Bayesian approach to incorporate structural data into the mapping of genotype to antigenic phenotype of influenza A(H3N2) viruses</w:t>
        </w:r>
      </w:hyperlink>
      <w:r>
        <w:t xml:space="preserve">. PLOS Computational Biology. 2023 Mar;19(3):e1010885. </w:t>
      </w:r>
    </w:p>
    <w:p w14:paraId="1B2D34C3" w14:textId="77777777" w:rsidR="004C23B3" w:rsidRDefault="00000000">
      <w:pPr>
        <w:pStyle w:val="Bibliography"/>
      </w:pPr>
      <w:bookmarkStart w:id="65" w:name="ref-jia2024"/>
      <w:bookmarkEnd w:id="64"/>
      <w:r>
        <w:lastRenderedPageBreak/>
        <w:t xml:space="preserve">37. </w:t>
      </w:r>
      <w:r>
        <w:tab/>
        <w:t xml:space="preserve">Jia Q, Xia Y, Dong F, Li W. </w:t>
      </w:r>
      <w:hyperlink r:id="rId47">
        <w:r w:rsidR="004C23B3">
          <w:rPr>
            <w:rStyle w:val="Hyperlink"/>
          </w:rPr>
          <w:t>MetaFluAD: Meta-learning for predicting antigenic distances among influenza viruses</w:t>
        </w:r>
      </w:hyperlink>
      <w:r>
        <w:t xml:space="preserve">. Briefings in Bioinformatics. 2024 Aug;25(5):bbae395. </w:t>
      </w:r>
    </w:p>
    <w:p w14:paraId="304DD4AA" w14:textId="77777777" w:rsidR="004C23B3" w:rsidRDefault="00000000">
      <w:pPr>
        <w:pStyle w:val="Bibliography"/>
      </w:pPr>
      <w:bookmarkStart w:id="66" w:name="ref-wang2024"/>
      <w:bookmarkEnd w:id="65"/>
      <w:r>
        <w:t xml:space="preserve">38. </w:t>
      </w:r>
      <w:r>
        <w:tab/>
        <w:t xml:space="preserve">Wang L, Yao S, Pei Y, Huang A, lefrancq N, Sun K, et al. </w:t>
      </w:r>
      <w:hyperlink r:id="rId48">
        <w:r w:rsidR="004C23B3">
          <w:rPr>
            <w:rStyle w:val="Hyperlink"/>
          </w:rPr>
          <w:t>Using pathogen genomics to predict antigenic changes of influenza H3N2 virus</w:t>
        </w:r>
      </w:hyperlink>
      <w:r>
        <w:t xml:space="preserve">. Research Square; 2024. </w:t>
      </w:r>
    </w:p>
    <w:p w14:paraId="34E43D99" w14:textId="77777777" w:rsidR="004C23B3" w:rsidRDefault="00000000">
      <w:pPr>
        <w:pStyle w:val="Bibliography"/>
      </w:pPr>
      <w:bookmarkStart w:id="67" w:name="ref-cai2010"/>
      <w:bookmarkEnd w:id="66"/>
      <w:r>
        <w:t xml:space="preserve">39. </w:t>
      </w:r>
      <w:r>
        <w:tab/>
        <w:t xml:space="preserve">Cai Z, Zhang T, Wan XF. </w:t>
      </w:r>
      <w:hyperlink r:id="rId49">
        <w:r w:rsidR="004C23B3">
          <w:rPr>
            <w:rStyle w:val="Hyperlink"/>
          </w:rPr>
          <w:t>A computational framework for influenza antigenic cartography</w:t>
        </w:r>
      </w:hyperlink>
      <w:r>
        <w:t xml:space="preserve">. Fraser C, editor. PLoS Computational Biology. 2010-10-07, 2010-10;6(10):e1000949. </w:t>
      </w:r>
    </w:p>
    <w:p w14:paraId="331BE722" w14:textId="77777777" w:rsidR="004C23B3" w:rsidRDefault="00000000">
      <w:pPr>
        <w:pStyle w:val="Bibliography"/>
      </w:pPr>
      <w:bookmarkStart w:id="68" w:name="ref-barnett2012"/>
      <w:bookmarkEnd w:id="67"/>
      <w:r>
        <w:t xml:space="preserve">40. </w:t>
      </w:r>
      <w:r>
        <w:tab/>
        <w:t xml:space="preserve">Barnett JL, Yang J, Cai Z, Zhang T, Wan XF. </w:t>
      </w:r>
      <w:hyperlink r:id="rId50">
        <w:r w:rsidR="004C23B3">
          <w:rPr>
            <w:rStyle w:val="Hyperlink"/>
          </w:rPr>
          <w:t>AntigenMap 3D: An online antigenic cartography resource</w:t>
        </w:r>
      </w:hyperlink>
      <w:r>
        <w:t xml:space="preserve">. Bioinformatics. 2012 May;28(9):1292–3. </w:t>
      </w:r>
    </w:p>
    <w:p w14:paraId="507EC0F1" w14:textId="77777777" w:rsidR="004C23B3" w:rsidRDefault="00000000">
      <w:pPr>
        <w:pStyle w:val="Bibliography"/>
      </w:pPr>
      <w:bookmarkStart w:id="69" w:name="ref-arhami2025"/>
      <w:bookmarkEnd w:id="68"/>
      <w:r>
        <w:t xml:space="preserve">41. </w:t>
      </w:r>
      <w:r>
        <w:tab/>
        <w:t xml:space="preserve">Arhami O, Rohani P. </w:t>
      </w:r>
      <w:hyperlink r:id="rId51">
        <w:r w:rsidR="004C23B3">
          <w:rPr>
            <w:rStyle w:val="Hyperlink"/>
          </w:rPr>
          <w:t>Topolow: A mapping algorithm for antigenic cross-reactivity and binding affinity assays</w:t>
        </w:r>
      </w:hyperlink>
      <w:r>
        <w:t xml:space="preserve">. Bioinformatics. 2025 Jun;btaf372. </w:t>
      </w:r>
    </w:p>
    <w:p w14:paraId="29BCC33B" w14:textId="77777777" w:rsidR="004C23B3" w:rsidRDefault="00000000">
      <w:pPr>
        <w:pStyle w:val="Bibliography"/>
      </w:pPr>
      <w:bookmarkStart w:id="70" w:name="ref-waldock2021"/>
      <w:bookmarkEnd w:id="69"/>
      <w:r>
        <w:t xml:space="preserve">42. </w:t>
      </w:r>
      <w:r>
        <w:tab/>
        <w:t xml:space="preserve">Waldock J, Zheng L, Remarque EJ, Civet A, Hu B, Jalloh SL, et al. </w:t>
      </w:r>
      <w:hyperlink r:id="rId52">
        <w:r w:rsidR="004C23B3">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499A7491" w14:textId="77777777" w:rsidR="004C23B3" w:rsidRDefault="00000000">
      <w:pPr>
        <w:pStyle w:val="Bibliography"/>
      </w:pPr>
      <w:bookmarkStart w:id="71" w:name="ref-zacour2016"/>
      <w:bookmarkEnd w:id="70"/>
      <w:r>
        <w:t xml:space="preserve">43. </w:t>
      </w:r>
      <w:r>
        <w:tab/>
        <w:t xml:space="preserve">Zacour M, Ward BJ, Brewer A, Tang P, Boivin G, Li Y, et al. </w:t>
      </w:r>
      <w:hyperlink r:id="rId53">
        <w:r w:rsidR="004C23B3">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4576B91D" w14:textId="77777777" w:rsidR="004C23B3" w:rsidRDefault="00000000">
      <w:pPr>
        <w:pStyle w:val="Bibliography"/>
      </w:pPr>
      <w:bookmarkStart w:id="72" w:name="ref-adabor2018"/>
      <w:bookmarkEnd w:id="71"/>
      <w:r>
        <w:t xml:space="preserve">44. </w:t>
      </w:r>
      <w:r>
        <w:tab/>
        <w:t xml:space="preserve">Adabor ES, Ndifon W. </w:t>
      </w:r>
      <w:hyperlink r:id="rId54">
        <w:r w:rsidR="004C23B3">
          <w:rPr>
            <w:rStyle w:val="Hyperlink"/>
          </w:rPr>
          <w:t>Bayesian inference of antigenic and non-antigenic variables from haemagglutination inhibition assays for influenza surveillance</w:t>
        </w:r>
      </w:hyperlink>
      <w:r>
        <w:t xml:space="preserve">. Royal Society Open Science. 2018 Jul;5(7):180113. </w:t>
      </w:r>
    </w:p>
    <w:p w14:paraId="76A87096" w14:textId="77777777" w:rsidR="004C23B3" w:rsidRDefault="00000000">
      <w:pPr>
        <w:pStyle w:val="Bibliography"/>
      </w:pPr>
      <w:bookmarkStart w:id="73" w:name="ref-ndifon2011"/>
      <w:bookmarkEnd w:id="72"/>
      <w:r>
        <w:t xml:space="preserve">45. </w:t>
      </w:r>
      <w:r>
        <w:tab/>
        <w:t xml:space="preserve">Ndifon W. </w:t>
      </w:r>
      <w:hyperlink r:id="rId55">
        <w:r w:rsidR="004C23B3">
          <w:rPr>
            <w:rStyle w:val="Hyperlink"/>
          </w:rPr>
          <w:t>New methods for analyzing serological data with applications to influenza surveillance</w:t>
        </w:r>
      </w:hyperlink>
      <w:r>
        <w:t xml:space="preserve">. Influenza and Other Respiratory Viruses. 2011-01-05, 2011-01;5(3):206–12. </w:t>
      </w:r>
    </w:p>
    <w:p w14:paraId="36F42FA4" w14:textId="77777777" w:rsidR="004C23B3" w:rsidRDefault="00000000">
      <w:pPr>
        <w:pStyle w:val="Bibliography"/>
      </w:pPr>
      <w:bookmarkStart w:id="74" w:name="ref-forghani2020"/>
      <w:bookmarkEnd w:id="73"/>
      <w:r>
        <w:t xml:space="preserve">46. </w:t>
      </w:r>
      <w:r>
        <w:tab/>
        <w:t xml:space="preserve">Forghani M, Khachay M. </w:t>
      </w:r>
      <w:hyperlink r:id="rId56">
        <w:r w:rsidR="004C23B3">
          <w:rPr>
            <w:rStyle w:val="Hyperlink"/>
          </w:rPr>
          <w:t>Convolutional Neural Network Based Approach to In Silico Non-Anticipating Prediction of Antigenic Distance for Influenza Virus</w:t>
        </w:r>
      </w:hyperlink>
      <w:r>
        <w:t xml:space="preserve">. Viruses. 2020 Sep;12(9):1019. </w:t>
      </w:r>
    </w:p>
    <w:p w14:paraId="50D477E0" w14:textId="77777777" w:rsidR="004C23B3" w:rsidRDefault="00000000">
      <w:pPr>
        <w:pStyle w:val="Bibliography"/>
      </w:pPr>
      <w:bookmarkStart w:id="75" w:name="ref-einav2023"/>
      <w:bookmarkEnd w:id="74"/>
      <w:r>
        <w:t xml:space="preserve">47. </w:t>
      </w:r>
      <w:r>
        <w:tab/>
        <w:t xml:space="preserve">Einav T, Creanga A, Andrews SF, McDermott AB, Kanekiyo M. </w:t>
      </w:r>
      <w:hyperlink r:id="rId57">
        <w:r w:rsidR="004C23B3">
          <w:rPr>
            <w:rStyle w:val="Hyperlink"/>
          </w:rPr>
          <w:t>Harnessing low dimensionality to visualize the antibody–virus landscape for influenza</w:t>
        </w:r>
      </w:hyperlink>
      <w:r>
        <w:t xml:space="preserve">. Nature Computational Science. 2023 Feb;3(2):164–73. </w:t>
      </w:r>
    </w:p>
    <w:p w14:paraId="0207A94A" w14:textId="77777777" w:rsidR="004C23B3" w:rsidRDefault="00000000">
      <w:pPr>
        <w:pStyle w:val="Bibliography"/>
      </w:pPr>
      <w:bookmarkStart w:id="76" w:name="ref-azulay2023"/>
      <w:bookmarkEnd w:id="75"/>
      <w:r>
        <w:t xml:space="preserve">48. </w:t>
      </w:r>
      <w:r>
        <w:tab/>
        <w:t xml:space="preserve">Azulay A, Cohen-Lavi L, Friedman LM, McGargill MA, Hertz T. </w:t>
      </w:r>
      <w:hyperlink r:id="rId58">
        <w:r w:rsidR="004C23B3">
          <w:rPr>
            <w:rStyle w:val="Hyperlink"/>
          </w:rPr>
          <w:t>Mapping antibody footprints using binding profiles</w:t>
        </w:r>
      </w:hyperlink>
      <w:r>
        <w:t xml:space="preserve">. Cell Reports Methods. 2023 Aug;3(8):100566. </w:t>
      </w:r>
    </w:p>
    <w:p w14:paraId="7AF63859" w14:textId="77777777" w:rsidR="004C23B3" w:rsidRDefault="00000000">
      <w:pPr>
        <w:pStyle w:val="Bibliography"/>
      </w:pPr>
      <w:bookmarkStart w:id="77" w:name="ref-catani2024"/>
      <w:bookmarkEnd w:id="76"/>
      <w:r>
        <w:t xml:space="preserve">49. </w:t>
      </w:r>
      <w:r>
        <w:tab/>
        <w:t xml:space="preserve">Catani JPP, Smet A, Ysenbaert T, Vuylsteke M, Bottu G, Mathys J, et al. </w:t>
      </w:r>
      <w:hyperlink r:id="rId59">
        <w:r w:rsidR="004C23B3">
          <w:rPr>
            <w:rStyle w:val="Hyperlink"/>
          </w:rPr>
          <w:t>The antigenic landscape of human influenza N2 neuraminidases from 2009 until 2017</w:t>
        </w:r>
      </w:hyperlink>
      <w:r>
        <w:t xml:space="preserve">. Neher RA, Diamond B, editors. eLife. 2024 May;12:RP90782. </w:t>
      </w:r>
    </w:p>
    <w:p w14:paraId="52DC9E93" w14:textId="77777777" w:rsidR="004C23B3" w:rsidRDefault="00000000">
      <w:pPr>
        <w:pStyle w:val="Bibliography"/>
      </w:pPr>
      <w:bookmarkStart w:id="78" w:name="ref-cai2011a"/>
      <w:bookmarkEnd w:id="77"/>
      <w:r>
        <w:lastRenderedPageBreak/>
        <w:t xml:space="preserve">50. </w:t>
      </w:r>
      <w:r>
        <w:tab/>
        <w:t xml:space="preserve">Cai Z, Zhang T, Wan XF. </w:t>
      </w:r>
      <w:hyperlink r:id="rId60">
        <w:r w:rsidR="004C23B3">
          <w:rPr>
            <w:rStyle w:val="Hyperlink"/>
          </w:rPr>
          <w:t>Antigenic Distance Measurements for Seasonal Influenza Vaccine Selection</w:t>
        </w:r>
      </w:hyperlink>
      <w:r>
        <w:t xml:space="preserve">. Vaccine. 2011 Nov;30(2):448. </w:t>
      </w:r>
    </w:p>
    <w:p w14:paraId="74BC6210" w14:textId="77777777" w:rsidR="004C23B3" w:rsidRDefault="00000000">
      <w:pPr>
        <w:pStyle w:val="Bibliography"/>
      </w:pPr>
      <w:bookmarkStart w:id="79" w:name="ref-vijaykrishna2015"/>
      <w:bookmarkEnd w:id="78"/>
      <w:r>
        <w:t xml:space="preserve">51. </w:t>
      </w:r>
      <w:r>
        <w:tab/>
        <w:t xml:space="preserve">Vijaykrishna D, Holmes EC, Joseph U, Fourment M, Su YC, Halpin R, et al. </w:t>
      </w:r>
      <w:hyperlink r:id="rId61">
        <w:r w:rsidR="004C23B3">
          <w:rPr>
            <w:rStyle w:val="Hyperlink"/>
          </w:rPr>
          <w:t>The contrasting phylodynamics of human influenza B viruses</w:t>
        </w:r>
      </w:hyperlink>
      <w:r>
        <w:t xml:space="preserve">. Neher RA, editor. eLife. 2015 Jan;4:e05055. </w:t>
      </w:r>
    </w:p>
    <w:p w14:paraId="7A0AF8E5" w14:textId="77777777" w:rsidR="004C23B3" w:rsidRDefault="00000000">
      <w:pPr>
        <w:pStyle w:val="Bibliography"/>
      </w:pPr>
      <w:bookmarkStart w:id="80" w:name="ref-gupta2006"/>
      <w:bookmarkEnd w:id="79"/>
      <w:r>
        <w:t xml:space="preserve">52. </w:t>
      </w:r>
      <w:r>
        <w:tab/>
        <w:t xml:space="preserve">Gupta V, Earl DJ, Deem MW. </w:t>
      </w:r>
      <w:hyperlink r:id="rId62">
        <w:r w:rsidR="004C23B3">
          <w:rPr>
            <w:rStyle w:val="Hyperlink"/>
          </w:rPr>
          <w:t>Quantifying influenza vaccine efficacy and antigenic distance</w:t>
        </w:r>
      </w:hyperlink>
      <w:r>
        <w:t xml:space="preserve">. Vaccine. 2006 May;24(18):3881–8. </w:t>
      </w:r>
    </w:p>
    <w:p w14:paraId="11FB576A" w14:textId="77777777" w:rsidR="004C23B3" w:rsidRDefault="00000000">
      <w:pPr>
        <w:pStyle w:val="Bibliography"/>
      </w:pPr>
      <w:bookmarkStart w:id="81" w:name="ref-pan2011"/>
      <w:bookmarkEnd w:id="80"/>
      <w:r>
        <w:t xml:space="preserve">53. </w:t>
      </w:r>
      <w:r>
        <w:tab/>
        <w:t xml:space="preserve">Pan K, Subieta KC, Deem MW. </w:t>
      </w:r>
      <w:hyperlink r:id="rId63">
        <w:r w:rsidR="004C23B3">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72553879" w14:textId="77777777" w:rsidR="004C23B3" w:rsidRDefault="00000000">
      <w:pPr>
        <w:pStyle w:val="Bibliography"/>
      </w:pPr>
      <w:bookmarkStart w:id="82" w:name="ref-pan2016"/>
      <w:bookmarkEnd w:id="81"/>
      <w:r>
        <w:t xml:space="preserve">54. </w:t>
      </w:r>
      <w:r>
        <w:tab/>
        <w:t xml:space="preserve">Pan Y, Deem MW. </w:t>
      </w:r>
      <w:hyperlink r:id="rId64">
        <w:r w:rsidR="004C23B3">
          <w:rPr>
            <w:rStyle w:val="Hyperlink"/>
          </w:rPr>
          <w:t>Prediction of influenza B vaccine effectiveness from sequence data</w:t>
        </w:r>
      </w:hyperlink>
      <w:r>
        <w:t xml:space="preserve">. Vaccine. 2016 Aug;34(38):4610–7. </w:t>
      </w:r>
    </w:p>
    <w:p w14:paraId="4A647849" w14:textId="77777777" w:rsidR="004C23B3" w:rsidRDefault="00000000">
      <w:pPr>
        <w:pStyle w:val="Bibliography"/>
      </w:pPr>
      <w:bookmarkStart w:id="83" w:name="ref-anderson2018"/>
      <w:bookmarkEnd w:id="82"/>
      <w:r>
        <w:t xml:space="preserve">55. </w:t>
      </w:r>
      <w:r>
        <w:tab/>
        <w:t xml:space="preserve">Anderson CS, McCall PR, Stern HA, Yang H, Topham DJ. </w:t>
      </w:r>
      <w:hyperlink r:id="rId65">
        <w:r w:rsidR="004C23B3">
          <w:rPr>
            <w:rStyle w:val="Hyperlink"/>
          </w:rPr>
          <w:t>Antigenic cartography of H1N1 influenza viruses using sequence-based antigenic distance calculation</w:t>
        </w:r>
      </w:hyperlink>
      <w:r>
        <w:t xml:space="preserve">. BMC bioinformatics. 2018 Feb;19(1):51. </w:t>
      </w:r>
    </w:p>
    <w:p w14:paraId="0B676BF4" w14:textId="77777777" w:rsidR="004C23B3" w:rsidRDefault="00000000">
      <w:pPr>
        <w:pStyle w:val="Bibliography"/>
      </w:pPr>
      <w:bookmarkStart w:id="84" w:name="ref-koel2013"/>
      <w:bookmarkEnd w:id="83"/>
      <w:r>
        <w:t xml:space="preserve">56. </w:t>
      </w:r>
      <w:r>
        <w:tab/>
        <w:t xml:space="preserve">Koel BF, Burke DF, Bestebroer TM, van der Vliet S, Zondag GCM, Vervaet G, et al. </w:t>
      </w:r>
      <w:hyperlink r:id="rId66">
        <w:r w:rsidR="004C23B3">
          <w:rPr>
            <w:rStyle w:val="Hyperlink"/>
          </w:rPr>
          <w:t>Substitutions Near the Receptor Binding Site Determine Major Antigenic Change During Influenza Virus Evolution</w:t>
        </w:r>
      </w:hyperlink>
      <w:r>
        <w:t xml:space="preserve">. Science. 2013 Nov;342(6161):976–9. </w:t>
      </w:r>
    </w:p>
    <w:p w14:paraId="19A5248B" w14:textId="77777777" w:rsidR="004C23B3" w:rsidRDefault="00000000">
      <w:pPr>
        <w:pStyle w:val="Bibliography"/>
      </w:pPr>
      <w:bookmarkStart w:id="85" w:name="ref-harvey2016"/>
      <w:bookmarkEnd w:id="84"/>
      <w:r>
        <w:t xml:space="preserve">57. </w:t>
      </w:r>
      <w:r>
        <w:tab/>
        <w:t xml:space="preserve">Harvey WT, Benton DJ, Gregory V, Hall JPJ, Daniels RS, Bedford T, et al. </w:t>
      </w:r>
      <w:hyperlink r:id="rId67">
        <w:r w:rsidR="004C23B3">
          <w:rPr>
            <w:rStyle w:val="Hyperlink"/>
          </w:rPr>
          <w:t>Identification of Low- and High-Impact Hemagglutinin Amino Acid Substitutions That Drive Antigenic Drift of Influenza A(H1N1) Viruses</w:t>
        </w:r>
      </w:hyperlink>
      <w:r>
        <w:t xml:space="preserve">. PLoS pathogens. 2016 Apr;12(4):e1005526. </w:t>
      </w:r>
    </w:p>
    <w:p w14:paraId="6F77A51C" w14:textId="77777777" w:rsidR="004C23B3" w:rsidRDefault="00000000">
      <w:pPr>
        <w:pStyle w:val="Bibliography"/>
      </w:pPr>
      <w:bookmarkStart w:id="86" w:name="ref-mogling2017"/>
      <w:bookmarkEnd w:id="85"/>
      <w:r>
        <w:t xml:space="preserve">58. </w:t>
      </w:r>
      <w:r>
        <w:tab/>
        <w:t xml:space="preserve">Mögling R, Richard MJ, Vliet S van der, Beek R van, Schrauwen EJA, Spronken MI, et al. </w:t>
      </w:r>
      <w:hyperlink r:id="rId68">
        <w:r w:rsidR="004C23B3">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5C06215A" w14:textId="77777777" w:rsidR="004C23B3" w:rsidRDefault="00000000">
      <w:pPr>
        <w:pStyle w:val="Bibliography"/>
      </w:pPr>
      <w:bookmarkStart w:id="87" w:name="ref-castro2020"/>
      <w:bookmarkEnd w:id="86"/>
      <w:r>
        <w:t xml:space="preserve">59. </w:t>
      </w:r>
      <w:r>
        <w:tab/>
        <w:t xml:space="preserve">Castro LA, Bedford T, Ancel Meyers L. </w:t>
      </w:r>
      <w:hyperlink r:id="rId69">
        <w:r w:rsidR="004C23B3">
          <w:rPr>
            <w:rStyle w:val="Hyperlink"/>
          </w:rPr>
          <w:t>Early prediction of antigenic transitions for influenza A/H3N2</w:t>
        </w:r>
      </w:hyperlink>
      <w:r>
        <w:t xml:space="preserve">. Kouyos RD, editor. PLOS Computational Biology. 2020-02-18, 2020-02;16(2):e1007683. </w:t>
      </w:r>
    </w:p>
    <w:p w14:paraId="723A4F09" w14:textId="77777777" w:rsidR="004C23B3" w:rsidRDefault="00000000">
      <w:pPr>
        <w:pStyle w:val="Bibliography"/>
      </w:pPr>
      <w:bookmarkStart w:id="88" w:name="ref-borkenhagen2021"/>
      <w:bookmarkEnd w:id="87"/>
      <w:r>
        <w:t xml:space="preserve">60. </w:t>
      </w:r>
      <w:r>
        <w:tab/>
        <w:t xml:space="preserve">Borkenhagen LK, Allen MW, Runstadler JA. </w:t>
      </w:r>
      <w:hyperlink r:id="rId70">
        <w:r w:rsidR="004C23B3">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41F70833" w14:textId="77777777" w:rsidR="004C23B3" w:rsidRDefault="00000000">
      <w:pPr>
        <w:pStyle w:val="Bibliography"/>
      </w:pPr>
      <w:bookmarkStart w:id="89" w:name="ref-forna2024"/>
      <w:bookmarkEnd w:id="88"/>
      <w:r>
        <w:t xml:space="preserve">61. </w:t>
      </w:r>
      <w:r>
        <w:tab/>
        <w:t xml:space="preserve">Forna A, Weedop KB, Damodaran L, Hassell N, Kondor R, Bahl J, et al. </w:t>
      </w:r>
      <w:hyperlink r:id="rId71">
        <w:r w:rsidR="004C23B3">
          <w:rPr>
            <w:rStyle w:val="Hyperlink"/>
          </w:rPr>
          <w:t>Sequence-based detection of emerging antigenically novel influenza A viruses</w:t>
        </w:r>
      </w:hyperlink>
      <w:r>
        <w:t xml:space="preserve">. Proceedings of the Royal Society B: Biological Sciences. 2024 Aug;291(2028):20240790. </w:t>
      </w:r>
    </w:p>
    <w:p w14:paraId="3D027727" w14:textId="77777777" w:rsidR="004C23B3" w:rsidRDefault="00000000">
      <w:pPr>
        <w:pStyle w:val="Bibliography"/>
      </w:pPr>
      <w:bookmarkStart w:id="90" w:name="ref-lefrancq2025"/>
      <w:bookmarkEnd w:id="89"/>
      <w:r>
        <w:t xml:space="preserve">62. </w:t>
      </w:r>
      <w:r>
        <w:tab/>
        <w:t xml:space="preserve">Lefrancq N, Duret L, Bouchez V, Brisse S, Parkhill J, Salje H. </w:t>
      </w:r>
      <w:hyperlink r:id="rId72">
        <w:r w:rsidR="004C23B3">
          <w:rPr>
            <w:rStyle w:val="Hyperlink"/>
          </w:rPr>
          <w:t>Learning the fitness dynamics of pathogens from phylogenies</w:t>
        </w:r>
      </w:hyperlink>
      <w:r>
        <w:t xml:space="preserve">. Nature. 2025 Jan;637(8046):683–90. </w:t>
      </w:r>
    </w:p>
    <w:p w14:paraId="22A1D8DA" w14:textId="77777777" w:rsidR="004C23B3" w:rsidRDefault="00000000">
      <w:pPr>
        <w:pStyle w:val="Bibliography"/>
      </w:pPr>
      <w:bookmarkStart w:id="91" w:name="ref-auladell2022"/>
      <w:bookmarkEnd w:id="90"/>
      <w:r>
        <w:lastRenderedPageBreak/>
        <w:t xml:space="preserve">63. </w:t>
      </w:r>
      <w:r>
        <w:tab/>
        <w:t xml:space="preserve">Auladell M, Phuong HVM, Mai LTQ, Tseng YY, Carolan L, Wilks S, et al. </w:t>
      </w:r>
      <w:hyperlink r:id="rId73">
        <w:r w:rsidR="004C23B3">
          <w:rPr>
            <w:rStyle w:val="Hyperlink"/>
          </w:rPr>
          <w:t>Influenza virus infection history shapes antibody responses to influenza vaccination</w:t>
        </w:r>
      </w:hyperlink>
      <w:r>
        <w:t xml:space="preserve">. Nature Medicine. 2022 Feb;28(2):363–72. </w:t>
      </w:r>
    </w:p>
    <w:p w14:paraId="3608FA30" w14:textId="77777777" w:rsidR="004C23B3" w:rsidRDefault="00000000">
      <w:pPr>
        <w:pStyle w:val="Bibliography"/>
      </w:pPr>
      <w:bookmarkStart w:id="92" w:name="ref-boyoglu-barnum2021"/>
      <w:bookmarkEnd w:id="91"/>
      <w:r>
        <w:t xml:space="preserve">64. </w:t>
      </w:r>
      <w:r>
        <w:tab/>
        <w:t xml:space="preserve">Boyoglu-Barnum S, Ellis D, Gillespie RA, Hutchinson GB, Park YJ, Moin SM, et al. </w:t>
      </w:r>
      <w:hyperlink r:id="rId74">
        <w:r w:rsidR="004C23B3">
          <w:rPr>
            <w:rStyle w:val="Hyperlink"/>
          </w:rPr>
          <w:t>Quadrivalent influenza nanoparticle vaccines induce broad protection</w:t>
        </w:r>
      </w:hyperlink>
      <w:r>
        <w:t xml:space="preserve">. Nature. 2021-03-24, 2021-03;592(7855):623–8. </w:t>
      </w:r>
    </w:p>
    <w:p w14:paraId="1172D8DC" w14:textId="77777777" w:rsidR="004C23B3" w:rsidRDefault="00000000">
      <w:pPr>
        <w:pStyle w:val="Bibliography"/>
      </w:pPr>
      <w:bookmarkStart w:id="93" w:name="ref-hinojosa2020"/>
      <w:bookmarkEnd w:id="92"/>
      <w:r>
        <w:t xml:space="preserve">65. </w:t>
      </w:r>
      <w:r>
        <w:tab/>
        <w:t xml:space="preserve">Hinojosa M, Shepard SS, Chung JR, King JP, McLean HQ, Flannery B, et al. </w:t>
      </w:r>
      <w:hyperlink r:id="rId75">
        <w:r w:rsidR="004C23B3">
          <w:rPr>
            <w:rStyle w:val="Hyperlink"/>
          </w:rPr>
          <w:t>Impact of immune priming, vaccination, and infection on influenza A(H3N2) antibody landscapes in children</w:t>
        </w:r>
      </w:hyperlink>
      <w:r>
        <w:t xml:space="preserve">. The Journal of Infectious Diseases. 2020-10-22, 2020-10; </w:t>
      </w:r>
    </w:p>
    <w:p w14:paraId="7DF62617" w14:textId="77777777" w:rsidR="004C23B3" w:rsidRDefault="00000000">
      <w:pPr>
        <w:pStyle w:val="Bibliography"/>
      </w:pPr>
      <w:bookmarkStart w:id="94" w:name="ref-li2021"/>
      <w:bookmarkEnd w:id="93"/>
      <w:r>
        <w:t xml:space="preserve">66. </w:t>
      </w:r>
      <w:r>
        <w:tab/>
        <w:t xml:space="preserve">Li ZN, Liu F, Gross FL, Kim L, Ferdinands J, Carney P, et al. </w:t>
      </w:r>
      <w:hyperlink r:id="rId76">
        <w:r w:rsidR="004C23B3">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67204D12" w14:textId="77777777" w:rsidR="004C23B3" w:rsidRDefault="00000000">
      <w:pPr>
        <w:pStyle w:val="Bibliography"/>
      </w:pPr>
      <w:bookmarkStart w:id="95" w:name="ref-yang2020"/>
      <w:bookmarkEnd w:id="94"/>
      <w:r>
        <w:t xml:space="preserve">67. </w:t>
      </w:r>
      <w:r>
        <w:tab/>
        <w:t xml:space="preserve">Yang B, Lessler J, Zhu H, Jiang CQ, Read JM, Hay JA, et al. </w:t>
      </w:r>
      <w:hyperlink r:id="rId77">
        <w:r w:rsidR="004C23B3">
          <w:rPr>
            <w:rStyle w:val="Hyperlink"/>
          </w:rPr>
          <w:t>Life course exposures continually shape antibody profiles and risk of seroconversion to influenza</w:t>
        </w:r>
      </w:hyperlink>
      <w:r>
        <w:t xml:space="preserve">. PLOS Pathogens. 2020 Jul;16(7):e1008635. </w:t>
      </w:r>
    </w:p>
    <w:p w14:paraId="5D398A2C" w14:textId="77777777" w:rsidR="004C23B3" w:rsidRDefault="00000000">
      <w:pPr>
        <w:pStyle w:val="Bibliography"/>
      </w:pPr>
      <w:bookmarkStart w:id="96" w:name="ref-carlock2023"/>
      <w:bookmarkEnd w:id="95"/>
      <w:r>
        <w:t xml:space="preserve">68. </w:t>
      </w:r>
      <w:r>
        <w:tab/>
        <w:t xml:space="preserve">Carlock MA, Ross TM. </w:t>
      </w:r>
      <w:hyperlink r:id="rId78">
        <w:r w:rsidR="004C23B3">
          <w:rPr>
            <w:rStyle w:val="Hyperlink"/>
          </w:rPr>
          <w:t>A computationally optimized broadly reactive hemagglutinin vaccine elicits neutralizing antibodies against influenza B viruses from both lineages</w:t>
        </w:r>
      </w:hyperlink>
      <w:r>
        <w:t xml:space="preserve">. Scientific Reports. 2023 Sep;13:15911. </w:t>
      </w:r>
    </w:p>
    <w:p w14:paraId="0376A3A3" w14:textId="77777777" w:rsidR="004C23B3" w:rsidRDefault="00000000">
      <w:pPr>
        <w:pStyle w:val="Bibliography"/>
      </w:pPr>
      <w:bookmarkStart w:id="97" w:name="ref-nachbagauer2017"/>
      <w:bookmarkEnd w:id="96"/>
      <w:r>
        <w:t xml:space="preserve">69. </w:t>
      </w:r>
      <w:r>
        <w:tab/>
        <w:t xml:space="preserve">Nachbagauer R, Choi A, Hirsh A, Margine I, Iida S, Barrera A, et al. </w:t>
      </w:r>
      <w:hyperlink r:id="rId79">
        <w:r w:rsidR="004C23B3">
          <w:rPr>
            <w:rStyle w:val="Hyperlink"/>
          </w:rPr>
          <w:t>Defining the antibody cross-reactome directed against the influenza virus surface glycoproteins</w:t>
        </w:r>
      </w:hyperlink>
      <w:r>
        <w:t xml:space="preserve">. Nature Immunology. 2017-02-13, 2017-02;18(4):464–73. </w:t>
      </w:r>
    </w:p>
    <w:p w14:paraId="79705C09" w14:textId="77777777" w:rsidR="004C23B3" w:rsidRDefault="00000000">
      <w:pPr>
        <w:pStyle w:val="Bibliography"/>
      </w:pPr>
      <w:bookmarkStart w:id="98" w:name="ref-anderson2020"/>
      <w:bookmarkEnd w:id="97"/>
      <w:r>
        <w:t xml:space="preserve">70. </w:t>
      </w:r>
      <w:r>
        <w:tab/>
        <w:t xml:space="preserve">Anderson CS, Sangster MY, Yang H, Mariani TJ, Chaudhury S, Topham DJ. </w:t>
      </w:r>
      <w:hyperlink r:id="rId80">
        <w:r w:rsidR="004C23B3">
          <w:rPr>
            <w:rStyle w:val="Hyperlink"/>
          </w:rPr>
          <w:t>Implementing sequence-based antigenic distance calculation into immunological shape space model</w:t>
        </w:r>
      </w:hyperlink>
      <w:r>
        <w:t xml:space="preserve">. BMC Bioinformatics. 2020-06-19, 2020-06;21(1):256. </w:t>
      </w:r>
    </w:p>
    <w:p w14:paraId="6687AB78" w14:textId="77777777" w:rsidR="004C23B3" w:rsidRDefault="00000000">
      <w:pPr>
        <w:pStyle w:val="Bibliography"/>
      </w:pPr>
      <w:bookmarkStart w:id="99" w:name="ref-lee2004"/>
      <w:bookmarkEnd w:id="98"/>
      <w:r>
        <w:t xml:space="preserve">71. </w:t>
      </w:r>
      <w:r>
        <w:tab/>
        <w:t xml:space="preserve">Lee MS, Chen JSE. </w:t>
      </w:r>
      <w:hyperlink r:id="rId81">
        <w:r w:rsidR="004C23B3">
          <w:rPr>
            <w:rStyle w:val="Hyperlink"/>
          </w:rPr>
          <w:t>Predicting antigenic variants of influenza A/H3N2 viruses</w:t>
        </w:r>
      </w:hyperlink>
      <w:r>
        <w:t xml:space="preserve">. Emerging Infectious Diseases. 2004 Aug;10(8):1385–90. </w:t>
      </w:r>
    </w:p>
    <w:p w14:paraId="7DCA1180" w14:textId="77777777" w:rsidR="004C23B3" w:rsidRDefault="00000000">
      <w:pPr>
        <w:pStyle w:val="Bibliography"/>
      </w:pPr>
      <w:bookmarkStart w:id="100" w:name="ref-grantham1974"/>
      <w:bookmarkEnd w:id="99"/>
      <w:r>
        <w:t xml:space="preserve">72. </w:t>
      </w:r>
      <w:r>
        <w:tab/>
        <w:t xml:space="preserve">Grantham R. </w:t>
      </w:r>
      <w:hyperlink r:id="rId82">
        <w:r w:rsidR="004C23B3">
          <w:rPr>
            <w:rStyle w:val="Hyperlink"/>
          </w:rPr>
          <w:t>Amino Acid Difference Formula to Help Explain Protein Evolution</w:t>
        </w:r>
      </w:hyperlink>
      <w:r>
        <w:t xml:space="preserve">. Science. 1974 Sep;185(4154):862–4. </w:t>
      </w:r>
    </w:p>
    <w:p w14:paraId="4C0E65D1" w14:textId="77777777" w:rsidR="004C23B3" w:rsidRDefault="00000000">
      <w:pPr>
        <w:pStyle w:val="Bibliography"/>
      </w:pPr>
      <w:bookmarkStart w:id="101" w:name="ref-nunez2017"/>
      <w:bookmarkEnd w:id="100"/>
      <w:r>
        <w:t xml:space="preserve">73. </w:t>
      </w:r>
      <w:r>
        <w:tab/>
        <w:t xml:space="preserve">Nuñez IA, Carlock MA, Allen JD, Owino SO, Moehling KK, Nowalk P, et al. </w:t>
      </w:r>
      <w:hyperlink r:id="rId83">
        <w:r w:rsidR="004C23B3">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5F64E8C0" w14:textId="77777777" w:rsidR="004C23B3" w:rsidRDefault="00000000">
      <w:pPr>
        <w:pStyle w:val="Bibliography"/>
      </w:pPr>
      <w:bookmarkStart w:id="102" w:name="ref-carlock2024"/>
      <w:bookmarkEnd w:id="101"/>
      <w:r>
        <w:t xml:space="preserve">74. </w:t>
      </w:r>
      <w:r>
        <w:tab/>
        <w:t xml:space="preserve">Carlock MA, Allen JD, Hanley HB, Ross TM. </w:t>
      </w:r>
      <w:hyperlink r:id="rId84">
        <w:r w:rsidR="004C23B3">
          <w:rPr>
            <w:rStyle w:val="Hyperlink"/>
          </w:rPr>
          <w:t>Longitudinal assessment of human antibody binding to hemagglutinin elicited by split-inactivated influenza vaccination over six consecutive seasons</w:t>
        </w:r>
      </w:hyperlink>
      <w:r>
        <w:t xml:space="preserve">. PLOS ONE. 2024 Jun;19(6):e0301157. </w:t>
      </w:r>
    </w:p>
    <w:p w14:paraId="3D42082F" w14:textId="77777777" w:rsidR="004C23B3" w:rsidRDefault="00000000">
      <w:pPr>
        <w:pStyle w:val="Bibliography"/>
      </w:pPr>
      <w:bookmarkStart w:id="103" w:name="ref-abreu2021"/>
      <w:bookmarkEnd w:id="102"/>
      <w:r>
        <w:lastRenderedPageBreak/>
        <w:t xml:space="preserve">75. </w:t>
      </w:r>
      <w:r>
        <w:tab/>
        <w:t xml:space="preserve">Abreu RB, Kirchenbaum GA, Sautto GA, Clutter EF, Ross TM. </w:t>
      </w:r>
      <w:hyperlink r:id="rId85">
        <w:r w:rsidR="004C23B3">
          <w:rPr>
            <w:rStyle w:val="Hyperlink"/>
          </w:rPr>
          <w:t>Impaired memory B-cell recall responses in the elderly following recurrent influenza vaccination</w:t>
        </w:r>
      </w:hyperlink>
      <w:r>
        <w:t xml:space="preserve">. Huber VC, editor. PLOS ONE. 2021 Aug;16(8):e0254421. </w:t>
      </w:r>
    </w:p>
    <w:p w14:paraId="2940C546" w14:textId="77777777" w:rsidR="004C23B3" w:rsidRDefault="00000000">
      <w:pPr>
        <w:pStyle w:val="Bibliography"/>
      </w:pPr>
      <w:bookmarkStart w:id="104" w:name="ref-CDCSeason"/>
      <w:bookmarkEnd w:id="103"/>
      <w:r>
        <w:t xml:space="preserve">76. </w:t>
      </w:r>
      <w:r>
        <w:tab/>
        <w:t xml:space="preserve">CDC Seasonal Flu Vaccine Effectiveness Studies  Flu Vaccines Work  CDC. https://web.archive.org/web/20250311230637/https://www.cdc.gov/flu-vaccines-work/php/effectiveness-studies/index.html; 2025. </w:t>
      </w:r>
    </w:p>
    <w:p w14:paraId="34DCCBDF" w14:textId="77777777" w:rsidR="004C23B3" w:rsidRDefault="00000000">
      <w:pPr>
        <w:pStyle w:val="Bibliography"/>
      </w:pPr>
      <w:bookmarkStart w:id="105" w:name="ref-potter1979"/>
      <w:bookmarkEnd w:id="104"/>
      <w:r>
        <w:t xml:space="preserve">77. </w:t>
      </w:r>
      <w:r>
        <w:tab/>
        <w:t xml:space="preserve">Potter CW, Oxford JS. </w:t>
      </w:r>
      <w:hyperlink r:id="rId86">
        <w:r w:rsidR="004C23B3">
          <w:rPr>
            <w:rStyle w:val="Hyperlink"/>
          </w:rPr>
          <w:t>Determinants of immunity to influenza infection in man</w:t>
        </w:r>
      </w:hyperlink>
      <w:r>
        <w:t xml:space="preserve">. British Medical Bulletin. 1979 Jan;35(1):69–75. </w:t>
      </w:r>
    </w:p>
    <w:p w14:paraId="158601C1" w14:textId="77777777" w:rsidR="004C23B3" w:rsidRDefault="00000000">
      <w:pPr>
        <w:pStyle w:val="Bibliography"/>
      </w:pPr>
      <w:bookmarkStart w:id="106" w:name="ref-noah2009"/>
      <w:bookmarkEnd w:id="105"/>
      <w:r>
        <w:t xml:space="preserve">78. </w:t>
      </w:r>
      <w:r>
        <w:tab/>
        <w:t xml:space="preserve">Noah DL, Hill H, Hines D, White EL, Wolff MC. </w:t>
      </w:r>
      <w:hyperlink r:id="rId87">
        <w:r w:rsidR="004C23B3">
          <w:rPr>
            <w:rStyle w:val="Hyperlink"/>
          </w:rPr>
          <w:t>Qualification of the Hemagglutination Inhibition Assay in Support of Pandemic Influenza Vaccine Licensure</w:t>
        </w:r>
      </w:hyperlink>
      <w:r>
        <w:t xml:space="preserve">. Clinical and Vaccine Immunology : CVI. 2009 Apr;16(4):558–66. </w:t>
      </w:r>
    </w:p>
    <w:p w14:paraId="50FE177D" w14:textId="77777777" w:rsidR="004C23B3" w:rsidRDefault="00000000">
      <w:pPr>
        <w:pStyle w:val="Bibliography"/>
      </w:pPr>
      <w:bookmarkStart w:id="107" w:name="ref-billings2025"/>
      <w:bookmarkEnd w:id="106"/>
      <w:r>
        <w:t xml:space="preserve">79. </w:t>
      </w:r>
      <w:r>
        <w:tab/>
        <w:t xml:space="preserve">Billings WZ, Ge Y, Knight JH, Hemme H, Hammerton SM, Skarlupka AL, et al. </w:t>
      </w:r>
      <w:hyperlink r:id="rId88">
        <w:r w:rsidR="004C23B3">
          <w:rPr>
            <w:rStyle w:val="Hyperlink"/>
          </w:rPr>
          <w:t>High-Dose Inactivated Influenza Vaccine Inconsistently Improves Heterologous Antibody Responses in an Older Human Cohort</w:t>
        </w:r>
      </w:hyperlink>
      <w:r>
        <w:t xml:space="preserve">. The Journal of Infectious Diseases. 2025 Jan;jiaf003. </w:t>
      </w:r>
    </w:p>
    <w:p w14:paraId="3ED7F01A" w14:textId="77777777" w:rsidR="004C23B3" w:rsidRDefault="00000000">
      <w:pPr>
        <w:pStyle w:val="Bibliography"/>
      </w:pPr>
      <w:bookmarkStart w:id="108" w:name="ref-hamming1950"/>
      <w:bookmarkEnd w:id="107"/>
      <w:r>
        <w:t xml:space="preserve">80. </w:t>
      </w:r>
      <w:r>
        <w:tab/>
        <w:t xml:space="preserve">Hamming RW. </w:t>
      </w:r>
      <w:hyperlink r:id="rId89">
        <w:r w:rsidR="004C23B3">
          <w:rPr>
            <w:rStyle w:val="Hyperlink"/>
          </w:rPr>
          <w:t>Error detecting and error correcting codes</w:t>
        </w:r>
      </w:hyperlink>
      <w:r>
        <w:t xml:space="preserve">. The Bell System Technical Journal. 1950 Apr;29(2):147–60. </w:t>
      </w:r>
    </w:p>
    <w:p w14:paraId="7D22D92D" w14:textId="77777777" w:rsidR="004C23B3" w:rsidRDefault="00000000">
      <w:pPr>
        <w:pStyle w:val="Bibliography"/>
      </w:pPr>
      <w:bookmarkStart w:id="109" w:name="ref-racmacs"/>
      <w:bookmarkEnd w:id="108"/>
      <w:r>
        <w:t xml:space="preserve">81. </w:t>
      </w:r>
      <w:r>
        <w:tab/>
        <w:t xml:space="preserve">Wilks S. Racmacs: Antigenic cartography macros. 2024. </w:t>
      </w:r>
    </w:p>
    <w:p w14:paraId="3CF29B58" w14:textId="77777777" w:rsidR="004C23B3" w:rsidRDefault="00000000">
      <w:pPr>
        <w:pStyle w:val="Bibliography"/>
      </w:pPr>
      <w:bookmarkStart w:id="110" w:name="ref-genbank"/>
      <w:bookmarkEnd w:id="109"/>
      <w:r>
        <w:t xml:space="preserve">82. </w:t>
      </w:r>
      <w:r>
        <w:tab/>
        <w:t xml:space="preserve">National Library of Medicine (US), National Center for Biotechnology Information. GenBank. Bethesda, MD; 1982. </w:t>
      </w:r>
    </w:p>
    <w:p w14:paraId="423E4C85" w14:textId="77777777" w:rsidR="004C23B3" w:rsidRDefault="00000000">
      <w:pPr>
        <w:pStyle w:val="Bibliography"/>
      </w:pPr>
      <w:bookmarkStart w:id="111" w:name="ref-clark2016"/>
      <w:bookmarkEnd w:id="110"/>
      <w:r>
        <w:t xml:space="preserve">83. </w:t>
      </w:r>
      <w:r>
        <w:tab/>
        <w:t xml:space="preserve">Clark K, Karsch-Mizrachi I, Lipman DJ, Ostell J, Sayers EW. </w:t>
      </w:r>
      <w:hyperlink r:id="rId90">
        <w:r w:rsidR="004C23B3">
          <w:rPr>
            <w:rStyle w:val="Hyperlink"/>
          </w:rPr>
          <w:t>GenBank</w:t>
        </w:r>
      </w:hyperlink>
      <w:r>
        <w:t xml:space="preserve">. Nucleic Acids Research. 2016 Jan;44(D1):D67–72. </w:t>
      </w:r>
    </w:p>
    <w:p w14:paraId="6B0A6414" w14:textId="77777777" w:rsidR="004C23B3" w:rsidRDefault="00000000">
      <w:pPr>
        <w:pStyle w:val="Bibliography"/>
      </w:pPr>
      <w:bookmarkStart w:id="112" w:name="ref-uniprot2025"/>
      <w:bookmarkEnd w:id="111"/>
      <w:r>
        <w:t xml:space="preserve">84. </w:t>
      </w:r>
      <w:r>
        <w:tab/>
        <w:t xml:space="preserve">The UniProt Consortium. </w:t>
      </w:r>
      <w:hyperlink r:id="rId91">
        <w:r w:rsidR="004C23B3">
          <w:rPr>
            <w:rStyle w:val="Hyperlink"/>
          </w:rPr>
          <w:t>UniProt: The Universal Protein Knowledgebase in 2025</w:t>
        </w:r>
      </w:hyperlink>
      <w:r>
        <w:t xml:space="preserve">. Nucleic Acids Research. 2025 Jan;53(D1):D609–17. </w:t>
      </w:r>
    </w:p>
    <w:p w14:paraId="08AE4456" w14:textId="77777777" w:rsidR="004C23B3" w:rsidRDefault="00000000">
      <w:pPr>
        <w:pStyle w:val="Bibliography"/>
      </w:pPr>
      <w:bookmarkStart w:id="113" w:name="ref-shu2017"/>
      <w:bookmarkEnd w:id="112"/>
      <w:r>
        <w:t xml:space="preserve">85. </w:t>
      </w:r>
      <w:r>
        <w:tab/>
        <w:t xml:space="preserve">Shu Y, McCauley J. </w:t>
      </w:r>
      <w:hyperlink r:id="rId92">
        <w:r w:rsidR="004C23B3">
          <w:rPr>
            <w:rStyle w:val="Hyperlink"/>
          </w:rPr>
          <w:t>GISAID: Global initiative on sharing all influenza data – from vision to reality</w:t>
        </w:r>
      </w:hyperlink>
      <w:r>
        <w:t xml:space="preserve">. Eurosurveillance. 2017 Mar;22(13):30494. </w:t>
      </w:r>
    </w:p>
    <w:p w14:paraId="20804E77" w14:textId="77777777" w:rsidR="004C23B3" w:rsidRDefault="00000000">
      <w:pPr>
        <w:pStyle w:val="Bibliography"/>
      </w:pPr>
      <w:bookmarkStart w:id="114" w:name="ref-elbe2017"/>
      <w:bookmarkEnd w:id="113"/>
      <w:r>
        <w:t xml:space="preserve">86. </w:t>
      </w:r>
      <w:r>
        <w:tab/>
        <w:t xml:space="preserve">Elbe S, Buckland-Merrett G. </w:t>
      </w:r>
      <w:hyperlink r:id="rId93">
        <w:r w:rsidR="004C23B3">
          <w:rPr>
            <w:rStyle w:val="Hyperlink"/>
          </w:rPr>
          <w:t>Data, disease and diplomacy: GISAID’s innovative contribution to global health</w:t>
        </w:r>
      </w:hyperlink>
      <w:r>
        <w:t xml:space="preserve">. Global Challenges. 2017;1(1):33–46. </w:t>
      </w:r>
    </w:p>
    <w:p w14:paraId="754F000C" w14:textId="77777777" w:rsidR="004C23B3" w:rsidRDefault="00000000">
      <w:pPr>
        <w:pStyle w:val="Bibliography"/>
      </w:pPr>
      <w:bookmarkStart w:id="115" w:name="ref-shrout1979"/>
      <w:bookmarkEnd w:id="114"/>
      <w:r>
        <w:t xml:space="preserve">87. </w:t>
      </w:r>
      <w:r>
        <w:tab/>
        <w:t xml:space="preserve">Shrout PE, Fleiss JL. </w:t>
      </w:r>
      <w:hyperlink r:id="rId94">
        <w:r w:rsidR="004C23B3">
          <w:rPr>
            <w:rStyle w:val="Hyperlink"/>
          </w:rPr>
          <w:t>Intraclass correlations: Uses in assessing rater reliability</w:t>
        </w:r>
      </w:hyperlink>
      <w:r>
        <w:t xml:space="preserve">. Psychological Bulletin. 1979 Mar;86(2):420–8. </w:t>
      </w:r>
    </w:p>
    <w:p w14:paraId="72C1BDDF" w14:textId="77777777" w:rsidR="004C23B3" w:rsidRDefault="00000000">
      <w:pPr>
        <w:pStyle w:val="Bibliography"/>
      </w:pPr>
      <w:bookmarkStart w:id="116" w:name="ref-mcgraw1996"/>
      <w:bookmarkEnd w:id="115"/>
      <w:r>
        <w:t xml:space="preserve">88. </w:t>
      </w:r>
      <w:r>
        <w:tab/>
        <w:t xml:space="preserve">McGraw KO, Wong SP. </w:t>
      </w:r>
      <w:hyperlink r:id="rId95">
        <w:r w:rsidR="004C23B3">
          <w:rPr>
            <w:rStyle w:val="Hyperlink"/>
          </w:rPr>
          <w:t>Forming inferences about some intraclass correlation coefficients</w:t>
        </w:r>
      </w:hyperlink>
      <w:r>
        <w:t xml:space="preserve">. Psychological Methods. 1996;1(1):30–46. </w:t>
      </w:r>
    </w:p>
    <w:p w14:paraId="0D9E1B69" w14:textId="77777777" w:rsidR="004C23B3" w:rsidRDefault="00000000">
      <w:pPr>
        <w:pStyle w:val="Bibliography"/>
      </w:pPr>
      <w:bookmarkStart w:id="117" w:name="ref-liljequist2019"/>
      <w:bookmarkEnd w:id="116"/>
      <w:r>
        <w:t xml:space="preserve">89. </w:t>
      </w:r>
      <w:r>
        <w:tab/>
        <w:t xml:space="preserve">Liljequist D, Elfving B, Skavberg Roaldsen K. </w:t>
      </w:r>
      <w:hyperlink r:id="rId96">
        <w:r w:rsidR="004C23B3">
          <w:rPr>
            <w:rStyle w:val="Hyperlink"/>
          </w:rPr>
          <w:t>Intraclass correlation - A discussion and demonstration of basic features</w:t>
        </w:r>
      </w:hyperlink>
      <w:r>
        <w:t xml:space="preserve">. PloS One. 2019;14(7):e0219854. </w:t>
      </w:r>
    </w:p>
    <w:p w14:paraId="058E4751" w14:textId="77777777" w:rsidR="004C23B3" w:rsidRDefault="00000000">
      <w:pPr>
        <w:pStyle w:val="Bibliography"/>
      </w:pPr>
      <w:bookmarkStart w:id="118" w:name="ref-spearman1904"/>
      <w:bookmarkEnd w:id="117"/>
      <w:r>
        <w:lastRenderedPageBreak/>
        <w:t xml:space="preserve">90. </w:t>
      </w:r>
      <w:r>
        <w:tab/>
        <w:t xml:space="preserve">Spearman C. The proof and measurement of association between two things. The American Journal of Psychology [Internet]. 1904 [cited 2025 May 26];15(1):72–101. Available from: </w:t>
      </w:r>
      <w:hyperlink r:id="rId97">
        <w:r w:rsidR="004C23B3">
          <w:rPr>
            <w:rStyle w:val="Hyperlink"/>
          </w:rPr>
          <w:t>https://www.jstor.org/stable/1412159</w:t>
        </w:r>
      </w:hyperlink>
    </w:p>
    <w:p w14:paraId="3E529C6F" w14:textId="77777777" w:rsidR="004C23B3" w:rsidRDefault="00000000">
      <w:pPr>
        <w:pStyle w:val="Bibliography"/>
      </w:pPr>
      <w:bookmarkStart w:id="119" w:name="ref-rubin1981"/>
      <w:bookmarkEnd w:id="118"/>
      <w:r>
        <w:t xml:space="preserve">91. </w:t>
      </w:r>
      <w:r>
        <w:tab/>
        <w:t xml:space="preserve">Rubin DB. </w:t>
      </w:r>
      <w:hyperlink r:id="rId98">
        <w:r w:rsidR="004C23B3">
          <w:rPr>
            <w:rStyle w:val="Hyperlink"/>
          </w:rPr>
          <w:t>The Bayesian Bootstrap</w:t>
        </w:r>
      </w:hyperlink>
      <w:r>
        <w:t xml:space="preserve">. The Annals of Statistics. 1981 Jan;9(1):130–4. </w:t>
      </w:r>
    </w:p>
    <w:p w14:paraId="02481609" w14:textId="77777777" w:rsidR="004C23B3" w:rsidRDefault="00000000">
      <w:pPr>
        <w:pStyle w:val="Bibliography"/>
      </w:pPr>
      <w:bookmarkStart w:id="120" w:name="ref-mcelreath2020"/>
      <w:bookmarkEnd w:id="119"/>
      <w:r>
        <w:t xml:space="preserve">92. </w:t>
      </w:r>
      <w:r>
        <w:tab/>
        <w:t xml:space="preserve">McElreath R. Statistical Rethinking: A Bayesian Course with Examples in R and Stan. 2nd ed. Boca Raton: Taylor and Francis, CRC Press; 2020. (CRC Texts in Statistical Science). </w:t>
      </w:r>
    </w:p>
    <w:p w14:paraId="2282043B" w14:textId="77777777" w:rsidR="004C23B3" w:rsidRDefault="00000000">
      <w:pPr>
        <w:pStyle w:val="Bibliography"/>
      </w:pPr>
      <w:bookmarkStart w:id="121" w:name="ref-gelman2007"/>
      <w:bookmarkEnd w:id="120"/>
      <w:r>
        <w:t xml:space="preserve">93. </w:t>
      </w:r>
      <w:r>
        <w:tab/>
        <w:t xml:space="preserve">Gelman A, Hill J. Data analysis using regression and multilevel/hierarchical models. Cambridge ; New York: Cambridge University Press; 2007. (Analytical methods for social research). </w:t>
      </w:r>
    </w:p>
    <w:p w14:paraId="70E8FE4F" w14:textId="77777777" w:rsidR="004C23B3" w:rsidRDefault="00000000">
      <w:pPr>
        <w:pStyle w:val="Bibliography"/>
      </w:pPr>
      <w:bookmarkStart w:id="122" w:name="ref-breen1996"/>
      <w:bookmarkEnd w:id="121"/>
      <w:r>
        <w:t xml:space="preserve">94. </w:t>
      </w:r>
      <w:r>
        <w:tab/>
        <w:t xml:space="preserve">Breen R. </w:t>
      </w:r>
      <w:hyperlink r:id="rId99">
        <w:r w:rsidR="004C23B3">
          <w:rPr>
            <w:rStyle w:val="Hyperlink"/>
          </w:rPr>
          <w:t>Regression Models: Censored, Sample Selected, or Truncated Data</w:t>
        </w:r>
      </w:hyperlink>
      <w:r>
        <w:t xml:space="preserve">. SAGE Publications, Inc.; 1996. </w:t>
      </w:r>
    </w:p>
    <w:p w14:paraId="35711A5B" w14:textId="77777777" w:rsidR="004C23B3" w:rsidRDefault="00000000">
      <w:pPr>
        <w:pStyle w:val="Bibliography"/>
      </w:pPr>
      <w:bookmarkStart w:id="123" w:name="ref-gelman2020"/>
      <w:bookmarkEnd w:id="122"/>
      <w:r>
        <w:t xml:space="preserve">95. </w:t>
      </w:r>
      <w:r>
        <w:tab/>
        <w:t xml:space="preserve">Gelman A, Vehtari A, Simpson D, Margossian CC, Carpenter B, Yao Y, et al. Bayesian Workflow [Internet]. arXiv; 2020 [cited 2025 Apr 15]. Available from: </w:t>
      </w:r>
      <w:hyperlink r:id="rId100">
        <w:r w:rsidR="004C23B3">
          <w:rPr>
            <w:rStyle w:val="Hyperlink"/>
          </w:rPr>
          <w:t>https://arxiv.org/abs/2011.01808</w:t>
        </w:r>
      </w:hyperlink>
    </w:p>
    <w:p w14:paraId="4F0CE010" w14:textId="77777777" w:rsidR="004C23B3" w:rsidRDefault="00000000">
      <w:pPr>
        <w:pStyle w:val="Bibliography"/>
      </w:pPr>
      <w:bookmarkStart w:id="124" w:name="ref-carpenter2017"/>
      <w:bookmarkEnd w:id="123"/>
      <w:r>
        <w:t xml:space="preserve">96. </w:t>
      </w:r>
      <w:r>
        <w:tab/>
        <w:t xml:space="preserve">Carpenter B, Gelman A, Hoffman MD, Lee D, Goodrich B, Betancourt M, et al. </w:t>
      </w:r>
      <w:hyperlink r:id="rId101">
        <w:r w:rsidR="004C23B3">
          <w:rPr>
            <w:rStyle w:val="Hyperlink"/>
          </w:rPr>
          <w:t>Stan: A Probabilistic Programming Language</w:t>
        </w:r>
      </w:hyperlink>
      <w:r>
        <w:t xml:space="preserve">. Journal of Statistical Software. 2017 Jan;76(1):1–32. </w:t>
      </w:r>
    </w:p>
    <w:p w14:paraId="3BFC98D5" w14:textId="77777777" w:rsidR="004C23B3" w:rsidRDefault="00000000">
      <w:pPr>
        <w:pStyle w:val="Bibliography"/>
      </w:pPr>
      <w:bookmarkStart w:id="125" w:name="ref-standevelopmentteam2024"/>
      <w:bookmarkEnd w:id="124"/>
      <w:r>
        <w:t xml:space="preserve">97. </w:t>
      </w:r>
      <w:r>
        <w:tab/>
        <w:t xml:space="preserve">Stan Development Team. Stan Modeling Language Users Guide and Reference Manual. 2024. </w:t>
      </w:r>
    </w:p>
    <w:p w14:paraId="6480071B" w14:textId="77777777" w:rsidR="004C23B3" w:rsidRDefault="00000000">
      <w:pPr>
        <w:pStyle w:val="Bibliography"/>
      </w:pPr>
      <w:bookmarkStart w:id="126" w:name="ref-brms1"/>
      <w:bookmarkEnd w:id="125"/>
      <w:r>
        <w:t xml:space="preserve">98. </w:t>
      </w:r>
      <w:r>
        <w:tab/>
        <w:t xml:space="preserve">Bürkner PC. </w:t>
      </w:r>
      <w:hyperlink r:id="rId102">
        <w:r w:rsidR="004C23B3">
          <w:rPr>
            <w:rStyle w:val="Hyperlink"/>
          </w:rPr>
          <w:t>brms: An R package for Bayesian multilevel models using Stan</w:t>
        </w:r>
      </w:hyperlink>
      <w:r>
        <w:t xml:space="preserve">. Journal of Statistical Software. 2017;80(1):1–28. </w:t>
      </w:r>
    </w:p>
    <w:p w14:paraId="1E9D8DF2" w14:textId="77777777" w:rsidR="004C23B3" w:rsidRDefault="00000000">
      <w:pPr>
        <w:pStyle w:val="Bibliography"/>
      </w:pPr>
      <w:bookmarkStart w:id="127" w:name="ref-brms2"/>
      <w:bookmarkEnd w:id="126"/>
      <w:r>
        <w:t xml:space="preserve">99. </w:t>
      </w:r>
      <w:r>
        <w:tab/>
        <w:t xml:space="preserve">Bürkner PC. </w:t>
      </w:r>
      <w:hyperlink r:id="rId103">
        <w:r w:rsidR="004C23B3">
          <w:rPr>
            <w:rStyle w:val="Hyperlink"/>
          </w:rPr>
          <w:t>Advanced Bayesian multilevel modeling with the R package brms</w:t>
        </w:r>
      </w:hyperlink>
      <w:r>
        <w:t xml:space="preserve">. The R Journal. 2018;10(1):395–411. </w:t>
      </w:r>
    </w:p>
    <w:p w14:paraId="1D5B4F6A" w14:textId="77777777" w:rsidR="004C23B3" w:rsidRDefault="00000000">
      <w:pPr>
        <w:pStyle w:val="Bibliography"/>
      </w:pPr>
      <w:bookmarkStart w:id="128" w:name="ref-brms3"/>
      <w:bookmarkEnd w:id="127"/>
      <w:r>
        <w:t xml:space="preserve">100. </w:t>
      </w:r>
      <w:r>
        <w:tab/>
        <w:t xml:space="preserve">Bürkner PC. </w:t>
      </w:r>
      <w:hyperlink r:id="rId104">
        <w:r w:rsidR="004C23B3">
          <w:rPr>
            <w:rStyle w:val="Hyperlink"/>
          </w:rPr>
          <w:t>Bayesian item response modeling in R with brms and Stan</w:t>
        </w:r>
      </w:hyperlink>
      <w:r>
        <w:t xml:space="preserve">. Journal of Statistical Software. 2021;100(5):1–54. </w:t>
      </w:r>
    </w:p>
    <w:p w14:paraId="53024875" w14:textId="77777777" w:rsidR="004C23B3" w:rsidRDefault="00000000">
      <w:pPr>
        <w:pStyle w:val="Bibliography"/>
      </w:pPr>
      <w:bookmarkStart w:id="129" w:name="ref-cmdstanr"/>
      <w:bookmarkEnd w:id="128"/>
      <w:r>
        <w:t xml:space="preserve">101. </w:t>
      </w:r>
      <w:r>
        <w:tab/>
        <w:t xml:space="preserve">Gabry J, Češnovar R, Johnson A, Bronder S. Cmdstanr: R interface to ’CmdStan’ [Internet]. 2024. Available from: </w:t>
      </w:r>
      <w:hyperlink r:id="rId105">
        <w:r w:rsidR="004C23B3">
          <w:rPr>
            <w:rStyle w:val="Hyperlink"/>
          </w:rPr>
          <w:t>https://github.com/stan-dev/cmdstanr</w:t>
        </w:r>
      </w:hyperlink>
    </w:p>
    <w:p w14:paraId="19A29E20" w14:textId="77777777" w:rsidR="004C23B3" w:rsidRDefault="00000000">
      <w:pPr>
        <w:pStyle w:val="Bibliography"/>
      </w:pPr>
      <w:bookmarkStart w:id="130" w:name="ref-base"/>
      <w:bookmarkEnd w:id="129"/>
      <w:r>
        <w:t xml:space="preserve">102. </w:t>
      </w:r>
      <w:r>
        <w:tab/>
        <w:t xml:space="preserve">R Core Team. R: A language and environment for statistical computing [Internet]. Vienna, Austria: R Foundation for Statistical Computing; 2024. Available from: </w:t>
      </w:r>
      <w:hyperlink r:id="rId106">
        <w:r w:rsidR="004C23B3">
          <w:rPr>
            <w:rStyle w:val="Hyperlink"/>
          </w:rPr>
          <w:t>https://www.R-project.org/</w:t>
        </w:r>
      </w:hyperlink>
    </w:p>
    <w:p w14:paraId="0E990180" w14:textId="77777777" w:rsidR="004C23B3" w:rsidRDefault="00000000">
      <w:pPr>
        <w:pStyle w:val="Bibliography"/>
      </w:pPr>
      <w:bookmarkStart w:id="131" w:name="ref-marginaleffects"/>
      <w:bookmarkEnd w:id="130"/>
      <w:r>
        <w:t xml:space="preserve">103. </w:t>
      </w:r>
      <w:r>
        <w:tab/>
        <w:t xml:space="preserve">Arel-Bundock V, Greifer N, Heiss A. </w:t>
      </w:r>
      <w:hyperlink r:id="rId107">
        <w:r w:rsidR="004C23B3">
          <w:rPr>
            <w:rStyle w:val="Hyperlink"/>
          </w:rPr>
          <w:t>How to interpret statistical models using marginaleffects for R and Python</w:t>
        </w:r>
      </w:hyperlink>
      <w:r>
        <w:t xml:space="preserve">. Journal of Statistical Software. 2024;111(9):1–32. </w:t>
      </w:r>
    </w:p>
    <w:p w14:paraId="1EDB571B" w14:textId="77777777" w:rsidR="004C23B3" w:rsidRDefault="00000000">
      <w:pPr>
        <w:pStyle w:val="Bibliography"/>
      </w:pPr>
      <w:bookmarkStart w:id="132" w:name="ref-loo2"/>
      <w:bookmarkEnd w:id="131"/>
      <w:r>
        <w:lastRenderedPageBreak/>
        <w:t xml:space="preserve">104. </w:t>
      </w:r>
      <w:r>
        <w:tab/>
        <w:t xml:space="preserve">Vehtari A, Gelman A, Gabry J. </w:t>
      </w:r>
      <w:hyperlink r:id="rId108">
        <w:r w:rsidR="004C23B3">
          <w:rPr>
            <w:rStyle w:val="Hyperlink"/>
          </w:rPr>
          <w:t>Practical bayesian model evaluation using leave-one-out cross-validation and WAIC</w:t>
        </w:r>
      </w:hyperlink>
      <w:r>
        <w:t xml:space="preserve">. Statistics and Computing. 2017;27:1413–32. </w:t>
      </w:r>
    </w:p>
    <w:p w14:paraId="5FA964D9" w14:textId="77777777" w:rsidR="004C23B3" w:rsidRDefault="00000000">
      <w:pPr>
        <w:pStyle w:val="Bibliography"/>
      </w:pPr>
      <w:bookmarkStart w:id="133" w:name="ref-loo3"/>
      <w:bookmarkEnd w:id="132"/>
      <w:r>
        <w:t xml:space="preserve">105. </w:t>
      </w:r>
      <w:r>
        <w:tab/>
        <w:t xml:space="preserve">Yao Y, Vehtari A, Simpson D, Gelman A. </w:t>
      </w:r>
      <w:hyperlink r:id="rId109">
        <w:r w:rsidR="004C23B3">
          <w:rPr>
            <w:rStyle w:val="Hyperlink"/>
          </w:rPr>
          <w:t>Using stacking to average bayesian predictive distributions</w:t>
        </w:r>
      </w:hyperlink>
      <w:r>
        <w:t xml:space="preserve">. Bayesian Analysis. 2017; </w:t>
      </w:r>
    </w:p>
    <w:p w14:paraId="008EC1F6" w14:textId="77777777" w:rsidR="004C23B3" w:rsidRDefault="00000000">
      <w:pPr>
        <w:pStyle w:val="Bibliography"/>
      </w:pPr>
      <w:bookmarkStart w:id="134" w:name="ref-nakagawa2017"/>
      <w:bookmarkEnd w:id="133"/>
      <w:r>
        <w:t xml:space="preserve">106. </w:t>
      </w:r>
      <w:r>
        <w:tab/>
        <w:t xml:space="preserve">Nakagawa S, Johnson PCD, Schielzeth H. </w:t>
      </w:r>
      <w:hyperlink r:id="rId110">
        <w:r w:rsidR="004C23B3">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7FB3A7C5" w14:textId="77777777" w:rsidR="004C23B3" w:rsidRDefault="00000000">
      <w:pPr>
        <w:pStyle w:val="Bibliography"/>
      </w:pPr>
      <w:bookmarkStart w:id="135" w:name="ref-rstudioteam2024"/>
      <w:bookmarkEnd w:id="134"/>
      <w:r>
        <w:t xml:space="preserve">107. </w:t>
      </w:r>
      <w:r>
        <w:tab/>
        <w:t xml:space="preserve">RStudio Team. RStudio: Integrated development environment for R. Boston, MA: RStudio, PBC.; 2024. </w:t>
      </w:r>
    </w:p>
    <w:p w14:paraId="2A38339E" w14:textId="77777777" w:rsidR="004C23B3" w:rsidRDefault="00000000">
      <w:pPr>
        <w:pStyle w:val="Bibliography"/>
      </w:pPr>
      <w:bookmarkStart w:id="136" w:name="ref-targets"/>
      <w:bookmarkEnd w:id="135"/>
      <w:r>
        <w:t xml:space="preserve">108. </w:t>
      </w:r>
      <w:r>
        <w:tab/>
        <w:t xml:space="preserve">Landau WM. The targets r package: A dynamic make-like function-oriented pipeline toolkit for reproducibility and high-performance computing. Journal of Open Source Software [Internet]. 2021;6(57):2959. Available from: </w:t>
      </w:r>
      <w:hyperlink r:id="rId111">
        <w:r w:rsidR="004C23B3">
          <w:rPr>
            <w:rStyle w:val="Hyperlink"/>
          </w:rPr>
          <w:t>https://doi.org/10.21105/joss.02959</w:t>
        </w:r>
      </w:hyperlink>
    </w:p>
    <w:p w14:paraId="49210DF0" w14:textId="77777777" w:rsidR="004C23B3" w:rsidRDefault="00000000">
      <w:pPr>
        <w:pStyle w:val="Bibliography"/>
      </w:pPr>
      <w:bookmarkStart w:id="137" w:name="ref-here"/>
      <w:bookmarkEnd w:id="136"/>
      <w:r>
        <w:t xml:space="preserve">109. </w:t>
      </w:r>
      <w:r>
        <w:tab/>
        <w:t xml:space="preserve">Müller K. Here: A simpler way to find your files [Internet]. 2020. Available from: </w:t>
      </w:r>
      <w:hyperlink r:id="rId112">
        <w:r w:rsidR="004C23B3">
          <w:rPr>
            <w:rStyle w:val="Hyperlink"/>
          </w:rPr>
          <w:t>https://here.r-lib.org/</w:t>
        </w:r>
      </w:hyperlink>
    </w:p>
    <w:p w14:paraId="14208C5A" w14:textId="77777777" w:rsidR="004C23B3" w:rsidRDefault="00000000">
      <w:pPr>
        <w:pStyle w:val="Bibliography"/>
      </w:pPr>
      <w:bookmarkStart w:id="138" w:name="ref-renv"/>
      <w:bookmarkEnd w:id="137"/>
      <w:r>
        <w:t xml:space="preserve">110. </w:t>
      </w:r>
      <w:r>
        <w:tab/>
        <w:t xml:space="preserve">Ushey K, Wickham H. Renv: Project environments [Internet]. 2025. Available from: </w:t>
      </w:r>
      <w:hyperlink r:id="rId113">
        <w:r w:rsidR="004C23B3">
          <w:rPr>
            <w:rStyle w:val="Hyperlink"/>
          </w:rPr>
          <w:t>https://rstudio.github.io/renv/</w:t>
        </w:r>
      </w:hyperlink>
    </w:p>
    <w:p w14:paraId="3FB51C35" w14:textId="77777777" w:rsidR="004C23B3" w:rsidRDefault="00000000">
      <w:pPr>
        <w:pStyle w:val="Bibliography"/>
      </w:pPr>
      <w:bookmarkStart w:id="139" w:name="ref-wickham2019"/>
      <w:bookmarkEnd w:id="138"/>
      <w:r>
        <w:t xml:space="preserve">111. </w:t>
      </w:r>
      <w:r>
        <w:tab/>
        <w:t xml:space="preserve">Wickham H, Averick M, Bryan J, Chang W, McGowan LD, François R, et al. </w:t>
      </w:r>
      <w:hyperlink r:id="rId114">
        <w:r w:rsidR="004C23B3">
          <w:rPr>
            <w:rStyle w:val="Hyperlink"/>
          </w:rPr>
          <w:t>Welcome to the tidyverse</w:t>
        </w:r>
      </w:hyperlink>
      <w:r>
        <w:t xml:space="preserve">. Journal of Open Source Software. 2019;4(43):1686. </w:t>
      </w:r>
    </w:p>
    <w:p w14:paraId="2207E9FC" w14:textId="77777777" w:rsidR="004C23B3" w:rsidRDefault="00000000">
      <w:pPr>
        <w:pStyle w:val="Bibliography"/>
      </w:pPr>
      <w:bookmarkStart w:id="140" w:name="ref-tidybayes"/>
      <w:bookmarkEnd w:id="139"/>
      <w:r>
        <w:t xml:space="preserve">112. </w:t>
      </w:r>
      <w:r>
        <w:tab/>
        <w:t xml:space="preserve">Kay M. tidybayes: Tidy data and geoms for Bayesian models [Internet]. 2024. Available from: </w:t>
      </w:r>
      <w:hyperlink r:id="rId115">
        <w:r w:rsidR="004C23B3">
          <w:rPr>
            <w:rStyle w:val="Hyperlink"/>
          </w:rPr>
          <w:t>http://mjskay.github.io/tidybayes/</w:t>
        </w:r>
      </w:hyperlink>
    </w:p>
    <w:p w14:paraId="24A81C06" w14:textId="77777777" w:rsidR="004C23B3" w:rsidRDefault="00000000">
      <w:pPr>
        <w:pStyle w:val="Bibliography"/>
      </w:pPr>
      <w:bookmarkStart w:id="141" w:name="ref-ggdist1"/>
      <w:bookmarkEnd w:id="140"/>
      <w:r>
        <w:t xml:space="preserve">113. </w:t>
      </w:r>
      <w:r>
        <w:tab/>
        <w:t xml:space="preserve">Kay M. </w:t>
      </w:r>
      <w:hyperlink r:id="rId116">
        <w:r w:rsidR="004C23B3">
          <w:rPr>
            <w:rStyle w:val="Hyperlink"/>
          </w:rPr>
          <w:t>ggdist: Visualizations of distributions and uncertainty in the grammar of graphics</w:t>
        </w:r>
      </w:hyperlink>
      <w:r>
        <w:t xml:space="preserve">. IEEE Transactions on Visualization and Computer Graphics. 2024;30(1):414–24. </w:t>
      </w:r>
    </w:p>
    <w:p w14:paraId="6047E3DA" w14:textId="77777777" w:rsidR="004C23B3" w:rsidRDefault="00000000">
      <w:pPr>
        <w:pStyle w:val="Bibliography"/>
      </w:pPr>
      <w:bookmarkStart w:id="142" w:name="ref-ggdist2"/>
      <w:bookmarkEnd w:id="141"/>
      <w:r>
        <w:t xml:space="preserve">114. </w:t>
      </w:r>
      <w:r>
        <w:tab/>
        <w:t xml:space="preserve">Kay M. ggdist: Visualizations of distributions and uncertainty [Internet]. 2024. Available from: </w:t>
      </w:r>
      <w:hyperlink r:id="rId117">
        <w:r w:rsidR="004C23B3">
          <w:rPr>
            <w:rStyle w:val="Hyperlink"/>
          </w:rPr>
          <w:t>https://mjskay.github.io/ggdist/</w:t>
        </w:r>
      </w:hyperlink>
    </w:p>
    <w:p w14:paraId="40FCFB96" w14:textId="77777777" w:rsidR="004C23B3" w:rsidRDefault="00000000">
      <w:pPr>
        <w:pStyle w:val="Bibliography"/>
      </w:pPr>
      <w:bookmarkStart w:id="143" w:name="ref-bayesboot"/>
      <w:bookmarkEnd w:id="142"/>
      <w:r>
        <w:t xml:space="preserve">115. </w:t>
      </w:r>
      <w:r>
        <w:tab/>
        <w:t xml:space="preserve">Bååth R. Bayesboot: An implementation of rubin’s (1981) bayesian bootstrap [Internet]. 2025. Available from: </w:t>
      </w:r>
      <w:hyperlink r:id="rId118">
        <w:r w:rsidR="004C23B3">
          <w:rPr>
            <w:rStyle w:val="Hyperlink"/>
          </w:rPr>
          <w:t>https://github.com/rasmusab/bayesboot</w:t>
        </w:r>
      </w:hyperlink>
    </w:p>
    <w:p w14:paraId="444C77B8" w14:textId="77777777" w:rsidR="004C23B3" w:rsidRDefault="00000000">
      <w:pPr>
        <w:pStyle w:val="Bibliography"/>
      </w:pPr>
      <w:bookmarkStart w:id="144" w:name="ref-loo1"/>
      <w:bookmarkEnd w:id="143"/>
      <w:r>
        <w:t xml:space="preserve">116. </w:t>
      </w:r>
      <w:r>
        <w:tab/>
        <w:t xml:space="preserve">Vehtari A, Gabry J, Magnusson M, Yao Y, Bürkner PC, Paananen T, et al. Loo: Efficient leave-one-out cross-validation and WAIC for bayesian models [Internet]. 2024. Available from: </w:t>
      </w:r>
      <w:hyperlink r:id="rId119">
        <w:r w:rsidR="004C23B3">
          <w:rPr>
            <w:rStyle w:val="Hyperlink"/>
          </w:rPr>
          <w:t>https://mc-stan.org/loo/</w:t>
        </w:r>
      </w:hyperlink>
    </w:p>
    <w:p w14:paraId="44999999" w14:textId="77777777" w:rsidR="004C23B3" w:rsidRDefault="00000000">
      <w:pPr>
        <w:pStyle w:val="Bibliography"/>
      </w:pPr>
      <w:bookmarkStart w:id="145" w:name="ref-ggplot2"/>
      <w:bookmarkEnd w:id="144"/>
      <w:r>
        <w:t xml:space="preserve">117. </w:t>
      </w:r>
      <w:r>
        <w:tab/>
        <w:t xml:space="preserve">Wickham H. ggplot2: Elegant graphics for data analysis [Internet]. Springer-Verlag New York; 2016. Available from: </w:t>
      </w:r>
      <w:hyperlink r:id="rId120">
        <w:r w:rsidR="004C23B3">
          <w:rPr>
            <w:rStyle w:val="Hyperlink"/>
          </w:rPr>
          <w:t>https://ggplot2.tidyverse.org</w:t>
        </w:r>
      </w:hyperlink>
    </w:p>
    <w:p w14:paraId="53A64E8F" w14:textId="77777777" w:rsidR="004C23B3" w:rsidRDefault="00000000">
      <w:pPr>
        <w:pStyle w:val="Bibliography"/>
      </w:pPr>
      <w:bookmarkStart w:id="146" w:name="ref-GGally"/>
      <w:bookmarkEnd w:id="145"/>
      <w:r>
        <w:t xml:space="preserve">118. </w:t>
      </w:r>
      <w:r>
        <w:tab/>
        <w:t xml:space="preserve">Schloerke B, Cook D, Larmarange J, Briatte F, Marbach M, Thoen E, et al. GGally: Extension to ’ggplot2’ [Internet]. 2024. Available from: </w:t>
      </w:r>
      <w:hyperlink r:id="rId121">
        <w:r w:rsidR="004C23B3">
          <w:rPr>
            <w:rStyle w:val="Hyperlink"/>
          </w:rPr>
          <w:t>https://ggobi.github.io/ggally/</w:t>
        </w:r>
      </w:hyperlink>
    </w:p>
    <w:p w14:paraId="2E20A4D5" w14:textId="77777777" w:rsidR="004C23B3" w:rsidRDefault="00000000">
      <w:pPr>
        <w:pStyle w:val="Bibliography"/>
      </w:pPr>
      <w:bookmarkStart w:id="147" w:name="ref-gtsummary"/>
      <w:bookmarkEnd w:id="146"/>
      <w:r>
        <w:lastRenderedPageBreak/>
        <w:t xml:space="preserve">119. </w:t>
      </w:r>
      <w:r>
        <w:tab/>
        <w:t xml:space="preserve">Sjoberg DD, Whiting K, Curry M, Lavery JA, Larmarange J. Reproducible summary tables with the gtsummary package. The R Journal [Internet]. 2021;13:570–80. Available from: </w:t>
      </w:r>
      <w:hyperlink r:id="rId122">
        <w:r w:rsidR="004C23B3">
          <w:rPr>
            <w:rStyle w:val="Hyperlink"/>
          </w:rPr>
          <w:t>https://doi.org/10.32614/RJ-2021-053</w:t>
        </w:r>
      </w:hyperlink>
    </w:p>
    <w:p w14:paraId="356053E6" w14:textId="77777777" w:rsidR="004C23B3" w:rsidRDefault="00000000">
      <w:pPr>
        <w:pStyle w:val="Bibliography"/>
      </w:pPr>
      <w:bookmarkStart w:id="148" w:name="ref-flextable"/>
      <w:bookmarkEnd w:id="147"/>
      <w:r>
        <w:t xml:space="preserve">120. </w:t>
      </w:r>
      <w:r>
        <w:tab/>
        <w:t xml:space="preserve">Gohel D, Skintzos P. Flextable: Functions for tabular reporting [Internet]. 2024. Available from: </w:t>
      </w:r>
      <w:hyperlink r:id="rId123">
        <w:r w:rsidR="004C23B3">
          <w:rPr>
            <w:rStyle w:val="Hyperlink"/>
          </w:rPr>
          <w:t>https://ardata-fr.github.io/flextable-book/</w:t>
        </w:r>
      </w:hyperlink>
    </w:p>
    <w:p w14:paraId="4B7F7433" w14:textId="77777777" w:rsidR="004C23B3" w:rsidRDefault="00000000">
      <w:pPr>
        <w:pStyle w:val="Bibliography"/>
      </w:pPr>
      <w:bookmarkStart w:id="149" w:name="ref-quarto"/>
      <w:bookmarkEnd w:id="148"/>
      <w:r>
        <w:t xml:space="preserve">121. </w:t>
      </w:r>
      <w:r>
        <w:tab/>
        <w:t xml:space="preserve">Allaire J, Dervieux C. Quarto: R interface to ’quarto’ markdown publishing system [Internet]. 2024. Available from: </w:t>
      </w:r>
      <w:hyperlink r:id="rId124">
        <w:r w:rsidR="004C23B3">
          <w:rPr>
            <w:rStyle w:val="Hyperlink"/>
          </w:rPr>
          <w:t>https://github.com/quarto-dev/quarto-r</w:t>
        </w:r>
      </w:hyperlink>
    </w:p>
    <w:p w14:paraId="7399939A" w14:textId="77777777" w:rsidR="004C23B3" w:rsidRDefault="00000000">
      <w:pPr>
        <w:pStyle w:val="Bibliography"/>
      </w:pPr>
      <w:bookmarkStart w:id="150" w:name="ref-knitr1"/>
      <w:bookmarkEnd w:id="149"/>
      <w:r>
        <w:t xml:space="preserve">122. </w:t>
      </w:r>
      <w:r>
        <w:tab/>
        <w:t xml:space="preserve">Xie Y. Knitr: A general-purpose package for dynamic report generation in r [Internet]. 2024. Available from: </w:t>
      </w:r>
      <w:hyperlink r:id="rId125">
        <w:r w:rsidR="004C23B3">
          <w:rPr>
            <w:rStyle w:val="Hyperlink"/>
          </w:rPr>
          <w:t>https://yihui.org/knitr/</w:t>
        </w:r>
      </w:hyperlink>
    </w:p>
    <w:p w14:paraId="65C07B4C" w14:textId="77777777" w:rsidR="004C23B3" w:rsidRDefault="00000000">
      <w:pPr>
        <w:pStyle w:val="Bibliography"/>
      </w:pPr>
      <w:bookmarkStart w:id="151" w:name="ref-knitr2"/>
      <w:bookmarkEnd w:id="150"/>
      <w:r>
        <w:t xml:space="preserve">123. </w:t>
      </w:r>
      <w:r>
        <w:tab/>
        <w:t xml:space="preserve">Xie Y. Dynamic documents with R and knitr [Internet]. 2nd ed. Boca Raton, Florida: Chapman; Hall/CRC; 2015. Available from: </w:t>
      </w:r>
      <w:hyperlink r:id="rId126">
        <w:r w:rsidR="004C23B3">
          <w:rPr>
            <w:rStyle w:val="Hyperlink"/>
          </w:rPr>
          <w:t>https://yihui.org/knitr/</w:t>
        </w:r>
      </w:hyperlink>
    </w:p>
    <w:p w14:paraId="2446F24B" w14:textId="77777777" w:rsidR="004C23B3" w:rsidRDefault="00000000">
      <w:pPr>
        <w:pStyle w:val="Bibliography"/>
      </w:pPr>
      <w:bookmarkStart w:id="152" w:name="ref-knitr3"/>
      <w:bookmarkEnd w:id="151"/>
      <w:r>
        <w:t xml:space="preserve">124. </w:t>
      </w:r>
      <w:r>
        <w:tab/>
        <w:t xml:space="preserve">Xie Y. Knitr: A comprehensive tool for reproducible research in R. In: Stodden V, Leisch F, Peng RD, editors. Implementing reproducible computational research. Chapman; Hall/CRC; 2014. </w:t>
      </w:r>
    </w:p>
    <w:p w14:paraId="50C9FF5C" w14:textId="77777777" w:rsidR="004C23B3" w:rsidRDefault="00000000">
      <w:pPr>
        <w:pStyle w:val="Bibliography"/>
      </w:pPr>
      <w:bookmarkStart w:id="153" w:name="ref-softbib"/>
      <w:bookmarkEnd w:id="152"/>
      <w:r>
        <w:t xml:space="preserve">125. </w:t>
      </w:r>
      <w:r>
        <w:tab/>
        <w:t xml:space="preserve">Arel-Bundock V, McCrain J. </w:t>
      </w:r>
      <w:hyperlink r:id="rId127">
        <w:r w:rsidR="004C23B3">
          <w:rPr>
            <w:rStyle w:val="Hyperlink"/>
          </w:rPr>
          <w:t>Software citations in political science.</w:t>
        </w:r>
      </w:hyperlink>
      <w:r>
        <w:t xml:space="preserve"> PS: Political Science &amp; Politics. 2023;April:1–4. </w:t>
      </w:r>
    </w:p>
    <w:p w14:paraId="70565DA3" w14:textId="77777777" w:rsidR="004C23B3" w:rsidRDefault="00000000">
      <w:pPr>
        <w:pStyle w:val="Bibliography"/>
      </w:pPr>
      <w:bookmarkStart w:id="154" w:name="ref-bedford2015"/>
      <w:bookmarkEnd w:id="153"/>
      <w:r>
        <w:t xml:space="preserve">126. </w:t>
      </w:r>
      <w:r>
        <w:tab/>
        <w:t xml:space="preserve">Bedford T, Riley S, Barr IG, Broor S, Chadha M, Cox NJ, et al. </w:t>
      </w:r>
      <w:hyperlink r:id="rId128">
        <w:r w:rsidR="004C23B3">
          <w:rPr>
            <w:rStyle w:val="Hyperlink"/>
          </w:rPr>
          <w:t>Global circulation patterns of seasonal influenza viruses vary with antigenic drift</w:t>
        </w:r>
      </w:hyperlink>
      <w:r>
        <w:t xml:space="preserve">. Nature. 2015-06-08, 2015-06;523(7559):217–20. </w:t>
      </w:r>
    </w:p>
    <w:p w14:paraId="3C5321AA" w14:textId="77777777" w:rsidR="004C23B3" w:rsidRDefault="00000000">
      <w:pPr>
        <w:pStyle w:val="Bibliography"/>
      </w:pPr>
      <w:bookmarkStart w:id="155" w:name="ref-cobey2024"/>
      <w:bookmarkEnd w:id="154"/>
      <w:r>
        <w:t xml:space="preserve">127. </w:t>
      </w:r>
      <w:r>
        <w:tab/>
        <w:t xml:space="preserve">Cobey S. </w:t>
      </w:r>
      <w:hyperlink r:id="rId129">
        <w:r w:rsidR="004C23B3">
          <w:rPr>
            <w:rStyle w:val="Hyperlink"/>
          </w:rPr>
          <w:t>Vaccination against rapidly evolving pathogens and the entanglements of memory</w:t>
        </w:r>
      </w:hyperlink>
      <w:r>
        <w:t xml:space="preserve">. Nature Immunology. 2024 Nov;25(11):2015–23. </w:t>
      </w:r>
    </w:p>
    <w:p w14:paraId="5C3F3C84" w14:textId="77777777" w:rsidR="004C23B3" w:rsidRDefault="00000000">
      <w:pPr>
        <w:pStyle w:val="Bibliography"/>
      </w:pPr>
      <w:bookmarkStart w:id="156" w:name="ref-hilleman1958b"/>
      <w:bookmarkEnd w:id="155"/>
      <w:r>
        <w:t xml:space="preserve">128. </w:t>
      </w:r>
      <w:r>
        <w:tab/>
        <w:t xml:space="preserve">Hilleman MR. </w:t>
      </w:r>
      <w:hyperlink r:id="rId130">
        <w:r w:rsidR="004C23B3">
          <w:rPr>
            <w:rStyle w:val="Hyperlink"/>
          </w:rPr>
          <w:t>ANTIBODY RESPONSE IN VOLUNTEERS TO ASIAN INFLUENZA VACCINE</w:t>
        </w:r>
      </w:hyperlink>
      <w:r>
        <w:t xml:space="preserve">. Journal of the American Medical Association. 1958 Mar;166(10):1134. </w:t>
      </w:r>
    </w:p>
    <w:p w14:paraId="010171EB" w14:textId="77777777" w:rsidR="004C23B3" w:rsidRDefault="00000000">
      <w:pPr>
        <w:pStyle w:val="Bibliography"/>
      </w:pPr>
      <w:bookmarkStart w:id="157" w:name="ref-couch2007c"/>
      <w:bookmarkEnd w:id="156"/>
      <w:r>
        <w:t xml:space="preserve">129. </w:t>
      </w:r>
      <w:r>
        <w:tab/>
        <w:t xml:space="preserve">Couch RB, Winokur P, Brady R, Belshe R, Chen WH, Cate TR, et al. </w:t>
      </w:r>
      <w:hyperlink r:id="rId131">
        <w:r w:rsidR="004C23B3">
          <w:rPr>
            <w:rStyle w:val="Hyperlink"/>
          </w:rPr>
          <w:t>Safety and immunogenicity of a high dosage trivalent influenza vaccine among elderly subjects</w:t>
        </w:r>
      </w:hyperlink>
      <w:r>
        <w:t xml:space="preserve">. Vaccine. 2007 Nov;25(44):7656–63. </w:t>
      </w:r>
    </w:p>
    <w:p w14:paraId="2F7BEF4E" w14:textId="77777777" w:rsidR="004C23B3" w:rsidRDefault="00000000">
      <w:pPr>
        <w:pStyle w:val="Bibliography"/>
      </w:pPr>
      <w:bookmarkStart w:id="158" w:name="ref-angeletti2018a"/>
      <w:bookmarkEnd w:id="157"/>
      <w:r>
        <w:t xml:space="preserve">130. </w:t>
      </w:r>
      <w:r>
        <w:tab/>
        <w:t xml:space="preserve">Angeletti D, Yewdell JW. </w:t>
      </w:r>
      <w:hyperlink r:id="rId132">
        <w:r w:rsidR="004C23B3">
          <w:rPr>
            <w:rStyle w:val="Hyperlink"/>
          </w:rPr>
          <w:t>Understanding and Manipulating Viral Immunity: Antibody Immunodominance Enters Center Stage</w:t>
        </w:r>
      </w:hyperlink>
      <w:r>
        <w:t xml:space="preserve">. Trends in Immunology. 2018 Jul;39(7):549–61. </w:t>
      </w:r>
    </w:p>
    <w:p w14:paraId="40986040" w14:textId="77777777" w:rsidR="004C23B3" w:rsidRDefault="00000000">
      <w:pPr>
        <w:pStyle w:val="Bibliography"/>
      </w:pPr>
      <w:bookmarkStart w:id="159" w:name="ref-einav2022"/>
      <w:bookmarkEnd w:id="158"/>
      <w:r>
        <w:t xml:space="preserve">131. </w:t>
      </w:r>
      <w:r>
        <w:tab/>
        <w:t xml:space="preserve">Einav T, Cleary B. </w:t>
      </w:r>
      <w:hyperlink r:id="rId133">
        <w:r w:rsidR="004C23B3">
          <w:rPr>
            <w:rStyle w:val="Hyperlink"/>
          </w:rPr>
          <w:t>Extrapolating missing antibody-virus measurements across serological studies</w:t>
        </w:r>
      </w:hyperlink>
      <w:r>
        <w:t xml:space="preserve">. Cell Systems. 2022 Jul;13(7):561–573.e5. </w:t>
      </w:r>
    </w:p>
    <w:p w14:paraId="30B13F38" w14:textId="77777777" w:rsidR="004C23B3" w:rsidRDefault="00000000">
      <w:pPr>
        <w:pStyle w:val="Bibliography"/>
      </w:pPr>
      <w:bookmarkStart w:id="160" w:name="ref-stacey2025"/>
      <w:bookmarkEnd w:id="159"/>
      <w:r>
        <w:t xml:space="preserve">132. </w:t>
      </w:r>
      <w:r>
        <w:tab/>
        <w:t xml:space="preserve">Stacey H, Carlock MA, Allen JD, Hanley HB, Crotty S, Ross TM, et al. </w:t>
      </w:r>
      <w:hyperlink r:id="rId134">
        <w:r w:rsidR="004C23B3">
          <w:rPr>
            <w:rStyle w:val="Hyperlink"/>
          </w:rPr>
          <w:t>Leveraging pre-vaccination antibody titres across multiple influenza H3N2 variants to forecast the post-vaccination response</w:t>
        </w:r>
      </w:hyperlink>
      <w:r>
        <w:t xml:space="preserve">. EBioMedicine. 2025 May;116:105744. </w:t>
      </w:r>
    </w:p>
    <w:bookmarkEnd w:id="29"/>
    <w:bookmarkEnd w:id="160"/>
    <w:p w14:paraId="1AD31FE9" w14:textId="77777777" w:rsidR="004C23B3" w:rsidRDefault="00000000">
      <w:r>
        <w:br w:type="page"/>
      </w:r>
    </w:p>
    <w:p w14:paraId="307BFBF2" w14:textId="77777777" w:rsidR="004C23B3" w:rsidRDefault="00000000">
      <w:pPr>
        <w:pStyle w:val="Heading1"/>
      </w:pPr>
      <w:bookmarkStart w:id="161" w:name="list-of-legends-for-supplement"/>
      <w:bookmarkEnd w:id="27"/>
      <w:r>
        <w:lastRenderedPageBreak/>
        <w:t>List of legends for supplement</w:t>
      </w:r>
    </w:p>
    <w:p w14:paraId="1F7D45A3" w14:textId="77777777" w:rsidR="004C23B3" w:rsidRDefault="00000000">
      <w:pPr>
        <w:pStyle w:val="FirstParagraph"/>
      </w:pPr>
      <w:r>
        <w:rPr>
          <w:b/>
          <w:bCs/>
        </w:rPr>
        <w:t>Table S1.</w:t>
      </w:r>
      <w:r>
        <w:t xml:space="preserve"> Accession number and source for each HA sequence used in our analysis.</w:t>
      </w:r>
    </w:p>
    <w:p w14:paraId="23E54613" w14:textId="77777777" w:rsidR="004C23B3" w:rsidRDefault="00000000">
      <w:pPr>
        <w:pStyle w:val="BodyText"/>
      </w:pPr>
      <w:r>
        <w:rPr>
          <w:b/>
          <w:bCs/>
        </w:rPr>
        <w:t>Figure S1.</w:t>
      </w:r>
      <w:r>
        <w:t xml:space="preserve"> The graphical causal model for our research question represented as a DAG.</w:t>
      </w:r>
    </w:p>
    <w:p w14:paraId="2DBE01CC" w14:textId="77777777" w:rsidR="004C23B3" w:rsidRDefault="00000000">
      <w:pPr>
        <w:pStyle w:val="BodyText"/>
      </w:pPr>
      <w:r>
        <w:rPr>
          <w:b/>
          <w:bCs/>
        </w:rPr>
        <w:t>Table S2.</w:t>
      </w:r>
      <w:r>
        <w:t xml:space="preserve"> Strains used in the Fluzone standard dose vaccine formulation during each influenza season.</w:t>
      </w:r>
    </w:p>
    <w:p w14:paraId="6D57C01B" w14:textId="77777777" w:rsidR="004C23B3" w:rsidRDefault="00000000">
      <w:pPr>
        <w:pStyle w:val="BodyText"/>
      </w:pPr>
      <w:r>
        <w:rPr>
          <w:b/>
          <w:bCs/>
        </w:rPr>
        <w:t>Table S3.</w:t>
      </w:r>
      <w:r>
        <w:t xml:space="preserve"> Heterologous strain panel used during each influenza season.</w:t>
      </w:r>
    </w:p>
    <w:p w14:paraId="5A71B335" w14:textId="77777777" w:rsidR="004C23B3" w:rsidRDefault="00000000">
      <w:pPr>
        <w:pStyle w:val="BodyText"/>
      </w:pPr>
      <w:r>
        <w:rPr>
          <w:b/>
          <w:bCs/>
        </w:rPr>
        <w:t>Table S4.</w:t>
      </w:r>
      <w:r>
        <w:t xml:space="preserve"> Full strain names and associated abbreviations for each strain used in the study.</w:t>
      </w:r>
    </w:p>
    <w:p w14:paraId="56F4EB91" w14:textId="77777777" w:rsidR="004C23B3" w:rsidRDefault="00000000">
      <w:pPr>
        <w:pStyle w:val="BodyText"/>
      </w:pPr>
      <w:r>
        <w:rPr>
          <w:b/>
          <w:bCs/>
        </w:rPr>
        <w:t>Table S5.</w:t>
      </w:r>
      <w:r>
        <w:t xml:space="preserve"> Demographic characteristics of the study participants. Summary statistics shown are count and column percent for sex, race, and contributed person-years; and median with range for age at first enrollment, birth year, and contributed HAI assays. Demographic variables were collected by a questionnaire from participants on the date they enrolled in a study season and received a vaccine.</w:t>
      </w:r>
    </w:p>
    <w:p w14:paraId="0CFE086C" w14:textId="77777777" w:rsidR="004C23B3" w:rsidRDefault="00000000">
      <w:pPr>
        <w:pStyle w:val="BodyText"/>
      </w:pPr>
      <w:r>
        <w:rPr>
          <w:b/>
          <w:bCs/>
        </w:rPr>
        <w:t>Figure S2.</w:t>
      </w:r>
      <w:r>
        <w:t xml:space="preserve"> Pre-vaccination titers in our study to each of the assay strains. The point shows the median and the line shows the IQR.</w:t>
      </w:r>
    </w:p>
    <w:p w14:paraId="0895DC8C" w14:textId="77777777" w:rsidR="004C23B3" w:rsidRDefault="00000000">
      <w:pPr>
        <w:pStyle w:val="BodyText"/>
      </w:pPr>
      <w:r>
        <w:rPr>
          <w:b/>
          <w:bCs/>
        </w:rPr>
        <w:t>Figure S3.</w:t>
      </w:r>
      <w:r>
        <w:t xml:space="preserve"> Post-vaccination titers in our study to each of the assay strains. The point shows the median and the line shows the IQR</w:t>
      </w:r>
    </w:p>
    <w:p w14:paraId="783A9B02" w14:textId="77777777" w:rsidR="004C23B3" w:rsidRDefault="00000000">
      <w:pPr>
        <w:pStyle w:val="BodyText"/>
      </w:pPr>
      <w:r>
        <w:rPr>
          <w:b/>
          <w:bCs/>
        </w:rPr>
        <w:t>Table S6.</w:t>
      </w:r>
      <w:r>
        <w:t xml:space="preserve"> Prediction variance ratio across all antigenic distance measurements, calculated separately for each subtype or lineage (strain type). The posterior distribution for each ratio was calculated as one minus the ratio of the prediction variance ignoring random effects to the prediction variance including random effects, estimated with a Bayesian model. Numbers shown are the mean and 95% highest density credible interval (HDCI) of the posterior distribution of variance ratios</w:t>
      </w:r>
    </w:p>
    <w:p w14:paraId="7B5985BF" w14:textId="77777777" w:rsidR="004C23B3" w:rsidRDefault="00000000">
      <w:pPr>
        <w:pStyle w:val="BodyText"/>
      </w:pPr>
      <w:r>
        <w:rPr>
          <w:b/>
          <w:bCs/>
        </w:rPr>
        <w:t>Table S7.</w:t>
      </w:r>
      <w:r>
        <w:t xml:space="preserve"> Spearman correlation coefficients and 95% HDCIs estimated by Bayesian bootstrap for each influenza subtype. Each pairwise comparison is shown only once to prevent confusion.</w:t>
      </w:r>
    </w:p>
    <w:p w14:paraId="346CF17D" w14:textId="77777777" w:rsidR="004C23B3" w:rsidRDefault="00000000">
      <w:pPr>
        <w:pStyle w:val="BodyText"/>
      </w:pPr>
      <w:r>
        <w:rPr>
          <w:b/>
          <w:bCs/>
        </w:rPr>
        <w:t>Figure S4.</w:t>
      </w:r>
      <w:r>
        <w:t xml:space="preserve"> Dispersion metrics for antigenic distance metrics. A) Parallel coordinates plot showing how the estimated pairwise antigenic distances change for each of the antigenic distance metrics. Each line in the plot represents one vaccine strain and assay strain pair, and the connected points are the pairwise distance measured under each metric shown on the x-axis. When two lines cross, this indicates that two metrics assigned a different relative order to the pairwise combination. Note that Grantham and especially </w:t>
      </w:r>
      <m:oMath>
        <m:r>
          <w:rPr>
            <w:rFonts w:ascii="Cambria Math" w:hAnsi="Cambria Math"/>
          </w:rPr>
          <m:t>p</m:t>
        </m:r>
      </m:oMath>
      <w:r>
        <w:t xml:space="preserve">-Epitope distances are integer-valued and concentrate measurements to specific points which potentially overlap (temporal distance is also integer valued but has enough spread to avoid a similar issue). B) The gap standard deviation (gap SD) for each subtype and antigenic distance metric. The posterior distribution of gap SDs was calculated using the bayesian bootstrap with reweighting. The red horizontal bar shows the mean of the </w:t>
      </w:r>
      <w:r>
        <w:lastRenderedPageBreak/>
        <w:t>bootstrap posterior and the error bars show the 95% highest density credible interval (HDCI).</w:t>
      </w:r>
    </w:p>
    <w:p w14:paraId="5279210D" w14:textId="77777777" w:rsidR="004C23B3" w:rsidRDefault="00000000">
      <w:pPr>
        <w:pStyle w:val="BodyText"/>
      </w:pPr>
      <w:r>
        <w:rPr>
          <w:b/>
          <w:bCs/>
        </w:rPr>
        <w:t>Table S8.</w:t>
      </w:r>
      <w:r>
        <w:t xml:space="preserve"> Model diagnostics for the GAMMs and LMMs fit with each of the antigenic distance metrics. We show the total number of divergences out of the number of samples along with other common diagnostic criteria. For each model, we show the minimum ESS across all parameters, the minimum E-BFMI across chains, and the maximum R hat across all parameters.</w:t>
      </w:r>
    </w:p>
    <w:p w14:paraId="0BF5C4FF" w14:textId="77777777" w:rsidR="004C23B3" w:rsidRDefault="00000000">
      <w:pPr>
        <w:pStyle w:val="BodyText"/>
      </w:pPr>
      <w:r>
        <w:rPr>
          <w:b/>
          <w:bCs/>
        </w:rPr>
        <w:t>Table S9.</w:t>
      </w:r>
      <w:r>
        <w:t xml:space="preserve"> Model diagnostics for samples from the prior distributions for our GAMMs and LMMs. These samples are drawn only from the prior distributions and do not see the data. For each model, we show the minimum ESS across all parameters, the minimum E-BFMI across chains, and the maximum R hat across all parameters.</w:t>
      </w:r>
    </w:p>
    <w:p w14:paraId="6E9312DF" w14:textId="77777777" w:rsidR="004C23B3" w:rsidRDefault="00000000">
      <w:pPr>
        <w:pStyle w:val="BodyText"/>
      </w:pPr>
      <w:r>
        <w:rPr>
          <w:b/>
          <w:bCs/>
        </w:rPr>
        <w:t>Table S10.</w:t>
      </w:r>
      <w:r>
        <w:t xml:space="preserve"> Diagnostics for the LOO-IC ELPD approximation. Pareto </w:t>
      </w:r>
      <m:oMath>
        <m:r>
          <w:rPr>
            <w:rFonts w:ascii="Cambria Math" w:hAnsi="Cambria Math"/>
          </w:rPr>
          <m:t>k</m:t>
        </m:r>
      </m:oMath>
      <w:r>
        <w:t xml:space="preserve"> is the primary diagnostic indicating whether the approximation is trustworthy and all Pareto </w:t>
      </w:r>
      <m:oMath>
        <m:r>
          <w:rPr>
            <w:rFonts w:ascii="Cambria Math" w:hAnsi="Cambria Math"/>
          </w:rPr>
          <m:t>k</m:t>
        </m:r>
      </m:oMath>
      <w:r>
        <w:t xml:space="preserve"> values should be below 0.7. The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is the effective sample size and </w:t>
      </w:r>
      <m:oMath>
        <m:sSub>
          <m:sSubPr>
            <m:ctrlPr>
              <w:rPr>
                <w:rFonts w:ascii="Cambria Math" w:hAnsi="Cambria Math"/>
              </w:rPr>
            </m:ctrlPr>
          </m:sSubPr>
          <m:e>
            <m:r>
              <w:rPr>
                <w:rFonts w:ascii="Cambria Math" w:hAnsi="Cambria Math"/>
              </w:rPr>
              <m:t>R</m:t>
            </m:r>
          </m:e>
          <m:sub>
            <m:r>
              <w:rPr>
                <w:rFonts w:ascii="Cambria Math" w:hAnsi="Cambria Math"/>
              </w:rPr>
              <m:t>eff</m:t>
            </m:r>
          </m:sub>
        </m:sSub>
      </m:oMath>
      <w:r>
        <w:t xml:space="preserve"> is the ratio of the effective sample size to the true sample size – if there are too few effective samples relative to actual samples, we can get an optimistic evaluation of the approximation quality, but in general this matters less if the ESS is sufficiently high.</w:t>
      </w:r>
    </w:p>
    <w:p w14:paraId="1B47E39C" w14:textId="77777777" w:rsidR="004C23B3" w:rsidRDefault="00000000">
      <w:pPr>
        <w:pStyle w:val="BodyText"/>
      </w:pPr>
      <w:r>
        <w:rPr>
          <w:b/>
          <w:bCs/>
        </w:rPr>
        <w:t>Figure S5.</w:t>
      </w:r>
      <w:r>
        <w:t xml:space="preserve"> Pairwise comparisons of predictions (from the LMMs)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2FF38F0C" w14:textId="77777777" w:rsidR="004C23B3" w:rsidRDefault="00000000">
      <w:pPr>
        <w:pStyle w:val="BodyText"/>
      </w:pPr>
      <w:r>
        <w:rPr>
          <w:b/>
          <w:bCs/>
        </w:rPr>
        <w:t>Figure S6.</w:t>
      </w:r>
      <w:r>
        <w:t xml:space="preserve"> Pairwise comparisons of predictions (from the GAMMs)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2DC37BC1" w14:textId="77777777" w:rsidR="004C23B3" w:rsidRDefault="00000000">
      <w:pPr>
        <w:pStyle w:val="BodyText"/>
      </w:pPr>
      <w:r>
        <w:rPr>
          <w:b/>
          <w:bCs/>
        </w:rPr>
        <w:lastRenderedPageBreak/>
        <w:t>Figure S7.</w:t>
      </w:r>
      <w:r>
        <w:t xml:space="preserve"> Model predictions for both the GAMM and LMM, conditional on the vaccine strain rather than only on the subtype (shown in the main text). Solid green lines and green ribbons show the mean and 95% highest density continuous interval (HDCI) for GAMM predictions. Dashed orange lines and orange ribbons show the mean and 95% HDCI for LMM predictions. Circular points show the data values. Each subplot shows the model predictions for a particular subtype (changes by row) and distance metric (changes by column). Outcomes shown on the plot are predicted post-vaccination titers for an average individual to an average strain.</w:t>
      </w:r>
    </w:p>
    <w:p w14:paraId="3F6F5E06" w14:textId="77777777" w:rsidR="004C23B3" w:rsidRDefault="00000000">
      <w:pPr>
        <w:pStyle w:val="BodyText"/>
      </w:pPr>
      <w:r>
        <w:rPr>
          <w:b/>
          <w:bCs/>
        </w:rPr>
        <w:t>Table S11.</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p>
    <w:p w14:paraId="2E76EDE3" w14:textId="77777777" w:rsidR="004C23B3" w:rsidRDefault="00000000">
      <w:pPr>
        <w:pStyle w:val="BodyText"/>
      </w:pPr>
      <w:r>
        <w:rPr>
          <w:b/>
          <w:bCs/>
        </w:rPr>
        <w:t>Table S12.</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bookmarkEnd w:id="161"/>
    </w:p>
    <w:sectPr w:rsidR="004C23B3" w:rsidSect="00F81DBC">
      <w:footerReference w:type="default" r:id="rId1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982FB" w14:textId="77777777" w:rsidR="00DC7F82" w:rsidRDefault="00DC7F82">
      <w:pPr>
        <w:spacing w:after="0"/>
      </w:pPr>
      <w:r>
        <w:separator/>
      </w:r>
    </w:p>
  </w:endnote>
  <w:endnote w:type="continuationSeparator" w:id="0">
    <w:p w14:paraId="075CD009" w14:textId="77777777" w:rsidR="00DC7F82" w:rsidRDefault="00DC7F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658823FA"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D92DA6"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16B6" w14:textId="77777777" w:rsidR="00DC7F82" w:rsidRDefault="00DC7F82">
      <w:pPr>
        <w:spacing w:after="0"/>
      </w:pPr>
      <w:r>
        <w:separator/>
      </w:r>
    </w:p>
  </w:footnote>
  <w:footnote w:type="continuationSeparator" w:id="0">
    <w:p w14:paraId="2099D4B6" w14:textId="77777777" w:rsidR="00DC7F82" w:rsidRDefault="00DC7F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888951457">
    <w:abstractNumId w:val="0"/>
  </w:num>
  <w:num w:numId="9" w16cid:durableId="1009874632">
    <w:abstractNumId w:val="1"/>
  </w:num>
  <w:num w:numId="10" w16cid:durableId="633023005">
    <w:abstractNumId w:val="1"/>
  </w:num>
  <w:num w:numId="11" w16cid:durableId="411973792">
    <w:abstractNumId w:val="1"/>
  </w:num>
  <w:num w:numId="12" w16cid:durableId="2016032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2E6281"/>
    <w:rsid w:val="004959CA"/>
    <w:rsid w:val="004C23B3"/>
    <w:rsid w:val="004F0F63"/>
    <w:rsid w:val="00995F44"/>
    <w:rsid w:val="00A91B9F"/>
    <w:rsid w:val="00B87486"/>
    <w:rsid w:val="00C36501"/>
    <w:rsid w:val="00C37000"/>
    <w:rsid w:val="00DC7F82"/>
    <w:rsid w:val="00F60300"/>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16C1"/>
  <w15:docId w15:val="{C8260883-93DB-4707-AE3F-C0BF23FC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jskay.github.io/ggdist/"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18637/jss.v111.i0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doi.org/10.18637/jss.v080.i01" TargetMode="External"/><Relationship Id="rId123" Type="http://schemas.openxmlformats.org/officeDocument/2006/relationships/hyperlink" Target="https://ardata-fr.github.io/flextable-book/" TargetMode="External"/><Relationship Id="rId128" Type="http://schemas.openxmlformats.org/officeDocument/2006/relationships/hyperlink" Target="https://doi.org/10.1038/nature14460" TargetMode="External"/><Relationship Id="rId5" Type="http://schemas.openxmlformats.org/officeDocument/2006/relationships/footnotes" Target="footnotes.xml"/><Relationship Id="rId90" Type="http://schemas.openxmlformats.org/officeDocument/2006/relationships/hyperlink" Target="https://doi.org/10.1093/nar/gkv1276" TargetMode="External"/><Relationship Id="rId95" Type="http://schemas.openxmlformats.org/officeDocument/2006/relationships/hyperlink" Target="https://doi.org/10.1037/1082-989X.1.1.30"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rstudio.github.io/renv/" TargetMode="External"/><Relationship Id="rId118" Type="http://schemas.openxmlformats.org/officeDocument/2006/relationships/hyperlink" Target="https://github.com/rasmusab/bayesboot" TargetMode="External"/><Relationship Id="rId134" Type="http://schemas.openxmlformats.org/officeDocument/2006/relationships/hyperlink" Target="https://doi.org/10.1016/j.ebiom.2025.105744"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32614/RJ-2018-017" TargetMode="External"/><Relationship Id="rId108" Type="http://schemas.openxmlformats.org/officeDocument/2006/relationships/hyperlink" Target="https://doi.org/10.1007/s11222-016-9696-4" TargetMode="External"/><Relationship Id="rId124" Type="http://schemas.openxmlformats.org/officeDocument/2006/relationships/hyperlink" Target="https://github.com/quarto-dev/quarto-r" TargetMode="External"/><Relationship Id="rId129" Type="http://schemas.openxmlformats.org/officeDocument/2006/relationships/hyperlink" Target="https://doi.org/10.1038/s41590-024-01970-2"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93/nar/gkae1010" TargetMode="External"/><Relationship Id="rId96" Type="http://schemas.openxmlformats.org/officeDocument/2006/relationships/hyperlink" Target="https://doi.org/10.1371/journal.pone.021985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doi.org/10.21105/joss.01686" TargetMode="External"/><Relationship Id="rId119" Type="http://schemas.openxmlformats.org/officeDocument/2006/relationships/hyperlink" Target="https://mc-stan.org/loo/"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001/jama.1958.02990100022005" TargetMode="External"/><Relationship Id="rId135" Type="http://schemas.openxmlformats.org/officeDocument/2006/relationships/footer" Target="footer1.xm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doi.org/10.1214/17-BA1091"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www.jstor.org/stable/1412159" TargetMode="External"/><Relationship Id="rId104" Type="http://schemas.openxmlformats.org/officeDocument/2006/relationships/hyperlink" Target="https://doi.org/10.18637/jss.v100.i05" TargetMode="External"/><Relationship Id="rId120" Type="http://schemas.openxmlformats.org/officeDocument/2006/relationships/hyperlink" Target="https://ggplot2.tidyverse.org" TargetMode="External"/><Relationship Id="rId125" Type="http://schemas.openxmlformats.org/officeDocument/2006/relationships/hyperlink" Target="https://yihui.org/knitr/"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2807/1560-7917.ES.2017.22.13.3049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1098/rsif.2017.0213" TargetMode="External"/><Relationship Id="rId115" Type="http://schemas.openxmlformats.org/officeDocument/2006/relationships/hyperlink" Target="http://mjskay.github.io/tidybayes/" TargetMode="External"/><Relationship Id="rId131" Type="http://schemas.openxmlformats.org/officeDocument/2006/relationships/hyperlink" Target="https://doi.org/10.1016/j.vaccine.2007.08.042" TargetMode="External"/><Relationship Id="rId136" Type="http://schemas.openxmlformats.org/officeDocument/2006/relationships/fontTable" Target="fontTable.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arxiv.org/abs/2011.01808" TargetMode="External"/><Relationship Id="rId105" Type="http://schemas.openxmlformats.org/officeDocument/2006/relationships/hyperlink" Target="https://github.com/stan-dev/cmdstanr" TargetMode="External"/><Relationship Id="rId126" Type="http://schemas.openxmlformats.org/officeDocument/2006/relationships/hyperlink" Target="https://yihui.org/knitr/"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093/bioinformatics/btaf372" TargetMode="External"/><Relationship Id="rId72" Type="http://schemas.openxmlformats.org/officeDocument/2006/relationships/hyperlink" Target="https://doi.org/10.1038/s41586-024-08309-9" TargetMode="External"/><Relationship Id="rId93" Type="http://schemas.openxmlformats.org/officeDocument/2006/relationships/hyperlink" Target="https://doi.org/10.1002/gch2.1018" TargetMode="External"/><Relationship Id="rId98" Type="http://schemas.openxmlformats.org/officeDocument/2006/relationships/hyperlink" Target="https://doi.org/10.1214/aos/1176345338" TargetMode="External"/><Relationship Id="rId121" Type="http://schemas.openxmlformats.org/officeDocument/2006/relationships/hyperlink" Target="https://ggobi.github.io/ggally/"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doi.org/10.1109/TVCG.2023.3327195" TargetMode="External"/><Relationship Id="rId137" Type="http://schemas.openxmlformats.org/officeDocument/2006/relationships/theme" Target="theme/theme1.xm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s://doi.org/10.21105/joss.02959" TargetMode="External"/><Relationship Id="rId132" Type="http://schemas.openxmlformats.org/officeDocument/2006/relationships/hyperlink" Target="https://doi.org/10.1016/j.it.2018.04.008" TargetMode="Externa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www.R-project.org/" TargetMode="External"/><Relationship Id="rId127" Type="http://schemas.openxmlformats.org/officeDocument/2006/relationships/hyperlink" Target="https://doi.org/10.1017/S1049096523000239"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037//0033-2909.86.2.420" TargetMode="External"/><Relationship Id="rId99" Type="http://schemas.openxmlformats.org/officeDocument/2006/relationships/hyperlink" Target="https://doi.org/10.4135/9781412985611" TargetMode="External"/><Relationship Id="rId101" Type="http://schemas.openxmlformats.org/officeDocument/2006/relationships/hyperlink" Target="https://doi.org/10.18637/jss.v076.i01" TargetMode="External"/><Relationship Id="rId122" Type="http://schemas.openxmlformats.org/officeDocument/2006/relationships/hyperlink" Target="https://doi.org/10.32614/RJ-2021-053"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here.r-lib.org/" TargetMode="External"/><Relationship Id="rId133" Type="http://schemas.openxmlformats.org/officeDocument/2006/relationships/hyperlink" Target="https://doi.org/10.1016/j.cels.2022.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13087</Words>
  <Characters>74598</Characters>
  <Application>Microsoft Office Word</Application>
  <DocSecurity>0</DocSecurity>
  <Lines>621</Lines>
  <Paragraphs>175</Paragraphs>
  <ScaleCrop>false</ScaleCrop>
  <Company/>
  <LinksUpToDate>false</LinksUpToDate>
  <CharactersWithSpaces>87510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moderate correlation</dc:title>
  <dc:creator/>
  <cp:keywords/>
  <cp:lastModifiedBy>Wesley Billings</cp:lastModifiedBy>
  <cp:revision>2</cp:revision>
  <dcterms:created xsi:type="dcterms:W3CDTF">2025-09-30T00:26:00Z</dcterms:created>
  <dcterms:modified xsi:type="dcterms:W3CDTF">2025-09-30T00:31:00Z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