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image1.png" ContentType="image/png"/>
  <Override PartName="/word/media/image2.png" ContentType="image/png"/>
  <Override PartName="/word/media/image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Estimating</w:t>
      </w:r>
      <w:r>
        <w:t xml:space="preserve"> </w:t>
      </w:r>
      <w:r>
        <w:t xml:space="preserve">standard-dose</w:t>
      </w:r>
      <w:r>
        <w:t xml:space="preserve"> </w:t>
      </w:r>
      <w:r>
        <w:t xml:space="preserve">and</w:t>
      </w:r>
      <w:r>
        <w:t xml:space="preserve"> </w:t>
      </w:r>
      <w:r>
        <w:t xml:space="preserve">high-dose</w:t>
      </w:r>
      <w:r>
        <w:t xml:space="preserve"> </w:t>
      </w:r>
      <w:r>
        <w:t xml:space="preserve">Fluzone</w:t>
      </w:r>
      <w:r>
        <w:t xml:space="preserve"> </w:t>
      </w:r>
      <w:r>
        <w:t xml:space="preserve">vaccine</w:t>
      </w:r>
      <w:r>
        <w:t xml:space="preserve"> </w:t>
      </w:r>
      <w:r>
        <w:t xml:space="preserve">efficacies</w:t>
      </w:r>
      <w:r>
        <w:t xml:space="preserve"> </w:t>
      </w:r>
      <w:r>
        <w:t xml:space="preserve">for</w:t>
      </w:r>
      <w:r>
        <w:t xml:space="preserve"> </w:t>
      </w:r>
      <w:r>
        <w:t xml:space="preserve">influenza</w:t>
      </w:r>
      <w:r>
        <w:t xml:space="preserve"> </w:t>
      </w:r>
      <w:r>
        <w:t xml:space="preserve">A</w:t>
      </w:r>
      <w:r>
        <w:t xml:space="preserve"> </w:t>
      </w:r>
      <w:r>
        <w:t xml:space="preserve">based</w:t>
      </w:r>
      <w:r>
        <w:t xml:space="preserve"> </w:t>
      </w:r>
      <w:r>
        <w:t xml:space="preserve">on</w:t>
      </w:r>
      <w:r>
        <w:t xml:space="preserve"> </w:t>
      </w:r>
      <w:r>
        <w:t xml:space="preserve">HAI</w:t>
      </w:r>
      <w:r>
        <w:t xml:space="preserve"> </w:t>
      </w:r>
      <w:r>
        <w:t xml:space="preserve">titers</w:t>
      </w:r>
    </w:p>
    <w:p>
      <w:pPr>
        <w:pStyle w:val="Subtitle"/>
      </w:pPr>
      <w:r>
        <w:t xml:space="preserve">Estimating</w:t>
      </w:r>
      <w:r>
        <w:t xml:space="preserve"> </w:t>
      </w:r>
      <w:r>
        <w:t xml:space="preserve">SD</w:t>
      </w:r>
      <w:r>
        <w:t xml:space="preserve"> </w:t>
      </w:r>
      <w:r>
        <w:t xml:space="preserve">and</w:t>
      </w:r>
      <w:r>
        <w:t xml:space="preserve"> </w:t>
      </w:r>
      <w:r>
        <w:t xml:space="preserve">HD</w:t>
      </w:r>
      <w:r>
        <w:t xml:space="preserve"> </w:t>
      </w:r>
      <w:r>
        <w:t xml:space="preserve">VE</w:t>
      </w:r>
      <w:r>
        <w:t xml:space="preserve"> </w:t>
      </w:r>
      <w:r>
        <w:t xml:space="preserve">using</w:t>
      </w:r>
      <w:r>
        <w:t xml:space="preserve"> </w:t>
      </w:r>
      <w:r>
        <w:t xml:space="preserve">HAI</w:t>
      </w:r>
      <w:r>
        <w:t xml:space="preserve"> </w:t>
      </w:r>
      <w:r>
        <w:t xml:space="preserve">titers</w:t>
      </w:r>
    </w:p>
    <w:p>
      <w:pPr>
        <w:pStyle w:val="FirstParagraph"/>
      </w:pPr>
      <w:r>
        <w:rPr>
          <w:b/>
          <w:bCs/>
        </w:rPr>
        <w:t xml:space="preserve">Authors</w:t>
      </w:r>
    </w:p>
    <w:p>
      <w:pPr>
        <w:pStyle w:val="BodyText"/>
      </w:pPr>
      <w:r>
        <w:t xml:space="preserve">Savannah M. Hammerton</w:t>
      </w:r>
      <m:oMath>
        <m:sSup>
          <m:e>
            <m:r>
              <m:t>​</m:t>
            </m:r>
          </m:e>
          <m:sup>
            <m:r>
              <m:t>1</m:t>
            </m:r>
            <m:r>
              <m:rPr>
                <m:sty m:val="p"/>
              </m:rPr>
              <m:t>,</m:t>
            </m:r>
            <m:r>
              <m:t>2</m:t>
            </m:r>
          </m:sup>
        </m:sSup>
      </m:oMath>
      <w:r>
        <w:t xml:space="preserve">^*,</w:t>
      </w:r>
      <w:r>
        <w:t xml:space="preserve"> </w:t>
      </w:r>
      <w:r>
        <w:t xml:space="preserve">W. Zane Billings</w:t>
      </w:r>
      <m:oMath>
        <m:sSup>
          <m:e>
            <m:r>
              <m:t>​</m:t>
            </m:r>
          </m:e>
          <m:sup>
            <m:r>
              <m:t>1</m:t>
            </m:r>
            <m:r>
              <m:rPr>
                <m:sty m:val="p"/>
              </m:rPr>
              <m:t>,</m:t>
            </m:r>
            <m:r>
              <m:t>2</m:t>
            </m:r>
          </m:sup>
        </m:sSup>
      </m:oMath>
      <w:r>
        <w:t xml:space="preserve">,</w:t>
      </w:r>
      <w:r>
        <w:t xml:space="preserve"> </w:t>
      </w:r>
      <w:r>
        <w:t xml:space="preserve">Hayley Hemme</w:t>
      </w:r>
      <m:oMath>
        <m:sSup>
          <m:e>
            <m:r>
              <m:t>​</m:t>
            </m:r>
          </m:e>
          <m:sup>
            <m:r>
              <m:t>1</m:t>
            </m:r>
          </m:sup>
        </m:sSup>
      </m:oMath>
      <w:r>
        <w:t xml:space="preserve">,</w:t>
      </w:r>
      <w:r>
        <w:t xml:space="preserve"> </w:t>
      </w:r>
      <w:r>
        <w:t xml:space="preserve">Ted M. Ross</w:t>
      </w:r>
      <m:oMath>
        <m:sSup>
          <m:e>
            <m:r>
              <m:t>​</m:t>
            </m:r>
          </m:e>
          <m:sup>
            <m:r>
              <m:t>3</m:t>
            </m:r>
            <m:r>
              <m:rPr>
                <m:sty m:val="p"/>
              </m:rPr>
              <m:t>,</m:t>
            </m:r>
            <m:r>
              <m:t>4</m:t>
            </m:r>
          </m:sup>
        </m:sSup>
      </m:oMath>
      <w:r>
        <w:t xml:space="preserve">,</w:t>
      </w:r>
      <w:r>
        <w:t xml:space="preserve"> </w:t>
      </w:r>
      <w:r>
        <w:t xml:space="preserve">Ye Shen</w:t>
      </w:r>
      <m:oMath>
        <m:sSup>
          <m:e>
            <m:r>
              <m:t>​</m:t>
            </m:r>
          </m:e>
          <m:sup>
            <m:r>
              <m:t>1</m:t>
            </m:r>
          </m:sup>
        </m:sSup>
      </m:oMath>
      <w:r>
        <w:t xml:space="preserve">,</w:t>
      </w:r>
      <w:r>
        <w:t xml:space="preserve"> </w:t>
      </w:r>
      <w:r>
        <w:t xml:space="preserve">Andreas Handel</w:t>
      </w:r>
      <m:oMath>
        <m:sSup>
          <m:e>
            <m:r>
              <m:t>​</m:t>
            </m:r>
          </m:e>
          <m:sup>
            <m:r>
              <m:t>1</m:t>
            </m:r>
            <m:r>
              <m:rPr>
                <m:sty m:val="p"/>
              </m:rPr>
              <m:t>,</m:t>
            </m:r>
            <m:r>
              <m:t>2</m:t>
            </m:r>
          </m:sup>
        </m:sSup>
      </m:oMath>
      <w:r>
        <w:t xml:space="preserve">^,</w:t>
      </w:r>
    </w:p>
    <w:p>
      <w:pPr>
        <w:pStyle w:val="BodyText"/>
      </w:pPr>
      <w:r>
        <w:rPr>
          <w:b/>
          <w:bCs/>
        </w:rPr>
        <w:t xml:space="preserve">Authors affiliations</w:t>
      </w:r>
      <w:r>
        <w:t xml:space="preserve">:</w:t>
      </w:r>
    </w:p>
    <w:p>
      <w:pPr>
        <w:pStyle w:val="Compact"/>
        <w:numPr>
          <w:ilvl w:val="0"/>
          <w:numId w:val="1001"/>
        </w:numPr>
      </w:pPr>
      <w:r>
        <w:t xml:space="preserve">Department of Epidemiology &amp; Biostatistics, College of Public Health, University of Georgia, Athens, GA, USA.</w:t>
      </w:r>
    </w:p>
    <w:p>
      <w:pPr>
        <w:pStyle w:val="Compact"/>
        <w:numPr>
          <w:ilvl w:val="0"/>
          <w:numId w:val="1001"/>
        </w:numPr>
      </w:pPr>
      <w:r>
        <w:t xml:space="preserve">Center for the Ecology of Infectious Diseases, University of Georgia, Athens, GA, USA.</w:t>
      </w:r>
    </w:p>
    <w:p>
      <w:pPr>
        <w:pStyle w:val="Compact"/>
        <w:numPr>
          <w:ilvl w:val="0"/>
          <w:numId w:val="1001"/>
        </w:numPr>
      </w:pPr>
      <w:r>
        <w:t xml:space="preserve">Center for Vaccines and Immunology, University of Georgia, Athens, GA, USA.</w:t>
      </w:r>
    </w:p>
    <w:p>
      <w:pPr>
        <w:pStyle w:val="Compact"/>
        <w:numPr>
          <w:ilvl w:val="0"/>
          <w:numId w:val="1001"/>
        </w:numPr>
      </w:pPr>
      <w:r>
        <w:t xml:space="preserve">Florida Research and Innovation Center, Cleveland Clinic, Port St. Lucie, FL, USA.</w:t>
      </w:r>
    </w:p>
    <w:p>
      <w:pPr>
        <w:pStyle w:val="FirstParagraph"/>
      </w:pPr>
      <w:r>
        <w:t xml:space="preserve">^ Corresponding author: ahandel@uga.edu; 131 B.S. Miller Hall, Health Sciences Campus, 101 Buck Road, Athens, GA 30602</w:t>
      </w:r>
    </w:p>
    <w:p>
      <w:pPr>
        <w:pStyle w:val="BodyText"/>
      </w:pPr>
      <w:r>
        <w:t xml:space="preserve">^* Alternate corresponding author: savannah.hammerton@uga.edu; 124 B.S. Miller Hall, Health Sciences Campus, 101 Buck Road, Athens, GA 30602</w:t>
      </w:r>
    </w:p>
    <w:p>
      <w:pPr>
        <w:pStyle w:val="BodyText"/>
      </w:pPr>
      <w:r>
        <w:rPr>
          <w:b/>
          <w:bCs/>
        </w:rPr>
        <w:t xml:space="preserve">Conflicts of interest</w:t>
      </w:r>
      <w:r>
        <w:t xml:space="preserve">:</w:t>
      </w:r>
    </w:p>
    <w:p>
      <w:pPr>
        <w:pStyle w:val="BodyText"/>
      </w:pPr>
      <w:r>
        <w:t xml:space="preserve">None of the authors declare any conflicts of interest.</w:t>
      </w:r>
    </w:p>
    <w:p>
      <w:pPr>
        <w:pStyle w:val="BodyText"/>
      </w:pPr>
      <w:r>
        <w:rPr>
          <w:b/>
          <w:bCs/>
        </w:rPr>
        <w:t xml:space="preserve">Funding sources</w:t>
      </w:r>
      <w:r>
        <w:t xml:space="preserve">:</w:t>
      </w:r>
    </w:p>
    <w:p>
      <w:pPr>
        <w:pStyle w:val="BodyText"/>
      </w:pPr>
      <w:r>
        <w:t xml:space="preserve">Ted M. Ross is supported by the Georgia Research Alliance as an Eminent Scholar.</w:t>
      </w:r>
      <w:r>
        <w:t xml:space="preserve"> </w:t>
      </w:r>
      <w:r>
        <w:t xml:space="preserve">Andreas Handel received partial support from NIH grants/contracts U01AI150747, R01AI170116, 75N93019C00052 and 75N93021C00018.</w:t>
      </w:r>
      <w:r>
        <w:t xml:space="preserve"> </w:t>
      </w:r>
      <w:r>
        <w:t xml:space="preserve">Ye Shen received partial support from NIH grants/contracts R35GM146612, R01AI170116 and 75N93019C00052.</w:t>
      </w:r>
      <w:r>
        <w:t xml:space="preserve"> </w:t>
      </w:r>
      <w:r>
        <w:t xml:space="preserve">The funders had no role in the study design, data collection and analysis, decision to publish, or preparation of the manuscript.</w:t>
      </w:r>
    </w:p>
    <w:p>
      <w:pPr>
        <w:pStyle w:val="BodyText"/>
      </w:pPr>
      <w:r>
        <w:rPr>
          <w:b/>
          <w:bCs/>
        </w:rPr>
        <w:t xml:space="preserve">Author contributions</w:t>
      </w:r>
      <w:r>
        <w:t xml:space="preserve">:</w:t>
      </w:r>
    </w:p>
    <w:p>
      <w:pPr>
        <w:pStyle w:val="BodyText"/>
      </w:pPr>
      <w:r>
        <w:t xml:space="preserve">Savannah M. Hammerton was the lead author and analyst. W. Zane Billings contributed in analysis methodology and writing. Hayley Hemme contributed in writing and reproducibility tasks and checks. Ted M. Ross was a subject matter expert for the study data and contributed in writing. Ye Shen was a subject matter expert in biostatistics/analysis methodology and contributed in writing. Andreas Handel was the senior author and contributed in writing and analysis.</w:t>
      </w:r>
    </w:p>
    <w:p>
      <w:pPr>
        <w:pStyle w:val="BodyText"/>
      </w:pPr>
      <w:r>
        <w:rPr>
          <w:b/>
          <w:bCs/>
        </w:rPr>
        <w:t xml:space="preserve">Word count</w:t>
      </w:r>
      <w:r>
        <w:t xml:space="preserve">: 2,928</w:t>
      </w:r>
    </w:p>
    <w:p>
      <w:pPr>
        <w:pStyle w:val="BodyText"/>
      </w:pPr>
      <w:r>
        <w:rPr>
          <w:b/>
          <w:bCs/>
        </w:rPr>
        <w:t xml:space="preserve">Abstract word count</w:t>
      </w:r>
      <w:r>
        <w:t xml:space="preserve">: 249</w:t>
      </w:r>
    </w:p>
    <w:p>
      <w:pPr>
        <w:pStyle w:val="BodyText"/>
      </w:pPr>
      <w:r>
        <w:rPr>
          <w:b/>
          <w:bCs/>
        </w:rPr>
        <w:t xml:space="preserve">Summary</w:t>
      </w:r>
      <w:r>
        <w:t xml:space="preserve">:</w:t>
      </w:r>
    </w:p>
    <w:p>
      <w:pPr>
        <w:pStyle w:val="BodyText"/>
      </w:pPr>
      <w:r>
        <w:t xml:space="preserve">We calculated theoretical influenza vaccine efficacies to assess the benefit of high-dose vaccination in older adults. We found that high-dose vaccination improved VE in older adults but younger adults still had higher VE with standard-dose vaccines.</w:t>
      </w:r>
    </w:p>
    <w:p>
      <w:r>
        <w:br w:type="page"/>
      </w:r>
    </w:p>
    <w:bookmarkStart w:id="20" w:name="abstract"/>
    <w:p>
      <w:pPr>
        <w:pStyle w:val="Heading1"/>
      </w:pPr>
      <w:r>
        <w:t xml:space="preserve">Abstract</w:t>
      </w:r>
    </w:p>
    <w:p>
      <w:pPr>
        <w:pStyle w:val="FirstParagraph"/>
      </w:pPr>
      <w:r>
        <w:rPr>
          <w:b/>
          <w:bCs/>
        </w:rPr>
        <w:t xml:space="preserve">Background:</w:t>
      </w:r>
      <w:r>
        <w:t xml:space="preserve"> </w:t>
      </w:r>
      <w:r>
        <w:t xml:space="preserve">The high-dose (HD) Fluzone influenza vaccine is currently recommended for individuals 65 and older, since it was shown in past studies to improve antibody responses and vaccine efficacy (VE) compared to a standard-dose (SD) formulation. Since influenza vaccines are frequently reformulated, monitoring any potential changes in VE is crucial. Traditional efficacy trials can be costly and time-consuming. Conducting immunogenicity studies with updated formulations and estimating VE with the resulting data is a more efficient way to assess these vaccines over time. Hemagglutination inhibition (HAI) titers are considered a reliable correlate of protection in influenza vaccine research and have previously been used to estimate VE.</w:t>
      </w:r>
    </w:p>
    <w:p>
      <w:pPr>
        <w:pStyle w:val="BodyText"/>
      </w:pPr>
      <w:r>
        <w:rPr>
          <w:b/>
          <w:bCs/>
        </w:rPr>
        <w:t xml:space="preserve">Methods:</w:t>
      </w:r>
      <w:r>
        <w:t xml:space="preserve"> </w:t>
      </w:r>
      <w:r>
        <w:t xml:space="preserve">We analyzed data from a human vaccine cohort who received either the SD or HD Fluzone split-inactivated influenza vaccine during influenza seasons 2013/14 to 2021/22. We used a previously developed statistical model to map pre- and post-vaccination HAI titers to protection probabilities, and computed differences in vaccine efficacy (VE) of the HD vaccine in older (</w:t>
      </w:r>
      <m:oMath>
        <m:r>
          <m:rPr>
            <m:sty m:val="p"/>
          </m:rPr>
          <m:t>≥</m:t>
        </m:r>
      </m:oMath>
      <w:r>
        <w:t xml:space="preserve"> </w:t>
      </w:r>
      <w:r>
        <w:t xml:space="preserve">65 years) populations compared to SD vaccines in the same age group and in younger (&lt;65 years) adults.</w:t>
      </w:r>
    </w:p>
    <w:p>
      <w:pPr>
        <w:pStyle w:val="BodyText"/>
      </w:pPr>
      <w:r>
        <w:rPr>
          <w:b/>
          <w:bCs/>
        </w:rPr>
        <w:t xml:space="preserve">Results:</w:t>
      </w:r>
      <w:r>
        <w:t xml:space="preserve"> </w:t>
      </w:r>
      <w:r>
        <w:t xml:space="preserve">We found that for participants aged 65 and older, the HD vaccine generally improved the estimated VE across seasons. However, we also found that HD recipients often had a lower estimated VE than younger SD recipients.</w:t>
      </w:r>
    </w:p>
    <w:p>
      <w:pPr>
        <w:pStyle w:val="BodyText"/>
      </w:pPr>
      <w:r>
        <w:rPr>
          <w:b/>
          <w:bCs/>
        </w:rPr>
        <w:t xml:space="preserve">Conclusions:</w:t>
      </w:r>
      <w:r>
        <w:t xml:space="preserve"> </w:t>
      </w:r>
      <w:r>
        <w:t xml:space="preserve">While HD Fluzone vaccines lead to a small increase in estimated VE compared to SD in older adults, further increases in dose or other developments to improve VE should be considered.</w:t>
      </w:r>
    </w:p>
    <w:p>
      <w:pPr>
        <w:pStyle w:val="BodyText"/>
      </w:pPr>
      <w:r>
        <w:rPr>
          <w:b/>
          <w:bCs/>
        </w:rPr>
        <w:t xml:space="preserve">Key words</w:t>
      </w:r>
      <w:r>
        <w:t xml:space="preserve">: immunogenicity; vaccine assessment; high-dose vaccination; older adults; statistical modeling; correlates of protection; vaccine efficacy</w:t>
      </w:r>
    </w:p>
    <w:p>
      <w:r>
        <w:br w:type="page"/>
      </w:r>
    </w:p>
    <w:bookmarkEnd w:id="20"/>
    <w:bookmarkStart w:id="21" w:name="introduction"/>
    <w:p>
      <w:pPr>
        <w:pStyle w:val="Heading1"/>
      </w:pPr>
      <w:r>
        <w:t xml:space="preserve">Introduction</w:t>
      </w:r>
    </w:p>
    <w:p>
      <w:pPr>
        <w:pStyle w:val="FirstParagraph"/>
      </w:pPr>
      <w:r>
        <w:t xml:space="preserve">Older adults are at increased risk of severe influenza disease and death due to immunosenescence (the decline in immune system function associated with aging)</w:t>
      </w:r>
      <w:r>
        <w:t xml:space="preserve"> </w:t>
      </w:r>
      <w:r>
        <w:t xml:space="preserve">[1]</w:t>
      </w:r>
      <w:r>
        <w:t xml:space="preserve">. Receipt of high-dose (HD) vaccines has been associated with improved immune responses and clinical outcomes for older adults and other immunocompromised groups</w:t>
      </w:r>
      <w:r>
        <w:t xml:space="preserve"> </w:t>
      </w:r>
      <w:r>
        <w:t xml:space="preserve">[2–9]</w:t>
      </w:r>
      <w:r>
        <w:t xml:space="preserve">. Fluzone HD is currently one of the vaccines that the CDC recommends for individuals 65 years and older</w:t>
      </w:r>
      <w:r>
        <w:t xml:space="preserve"> </w:t>
      </w:r>
      <w:r>
        <w:t xml:space="preserve">[10]</w:t>
      </w:r>
      <w:r>
        <w:t xml:space="preserve">. A traditional efficacy trial conducted during the 2011-2012 and 2012-2013 seasons found that Fluzone HD vaccination was associated with increased HAI titers and protection against laboratory-confirmed influenza illness</w:t>
      </w:r>
      <w:r>
        <w:t xml:space="preserve"> </w:t>
      </w:r>
      <w:r>
        <w:t xml:space="preserve">[4]</w:t>
      </w:r>
      <w:r>
        <w:t xml:space="preserve">. More recently, a meta-analysis of studies from 2009-2010 to 2018-2019 found that Fluzone HD vaccination was associated with reduced odds of influenza-like illness compared to standard-dose (SD) vaccination across all seasons, as well as a reduced risk of hospitalization and other negative health outcomes</w:t>
      </w:r>
      <w:r>
        <w:t xml:space="preserve"> </w:t>
      </w:r>
      <w:r>
        <w:t xml:space="preserve">[11,12]</w:t>
      </w:r>
      <w:r>
        <w:t xml:space="preserve">. While these and other studies have investigated the effects of HD vaccines and have shown improvements in outcomes for those who received them, they are often limited to two or three influenza seasons, limiting our overall understanding of the general impact of HD vaccination in older adults</w:t>
      </w:r>
      <w:r>
        <w:t xml:space="preserve"> </w:t>
      </w:r>
      <w:r>
        <w:t xml:space="preserve">[3–5,8]</w:t>
      </w:r>
      <w:r>
        <w:t xml:space="preserve">.</w:t>
      </w:r>
    </w:p>
    <w:p>
      <w:pPr>
        <w:pStyle w:val="BodyText"/>
      </w:pPr>
      <w:r>
        <w:t xml:space="preserve">Vaccine efficacy (VE) and effectiveness (standard metrics for vaccine quality) can be measured directly using traditional endpoints of observational studies and clinical trials such as those described above</w:t>
      </w:r>
      <w:r>
        <w:t xml:space="preserve"> </w:t>
      </w:r>
      <w:r>
        <w:t xml:space="preserve">[3–6,8,11,13,14]</w:t>
      </w:r>
      <w:r>
        <w:t xml:space="preserve">. However, these types of studies are costly and time-consuming. Immunogenicity data are easier to measure and more readily available, and therefore, they are often used to assess vaccines in the absence of traditional efficacy endpoints like infection and disease. Specifically, hemagglutination inhibition (HAI) titer is an established correlate of protection and is frequently used in influenza vaccine development and licensure. Commonly, HAI titers</w:t>
      </w:r>
      <w:r>
        <w:t xml:space="preserve"> </w:t>
      </w:r>
      <m:oMath>
        <m:r>
          <m:rPr>
            <m:sty m:val="p"/>
          </m:rPr>
          <m:t>≥</m:t>
        </m:r>
      </m:oMath>
      <w:r>
        <w:t xml:space="preserve"> </w:t>
      </w:r>
      <w:r>
        <w:t xml:space="preserve">1:40 (seroprotection) or a four-fold increase in HAI pre- to post-vaccination resulting in a titer of at least 1:40 (seroconversion) are thought to indicate that a vaccine appears protective</w:t>
      </w:r>
      <w:r>
        <w:t xml:space="preserve"> </w:t>
      </w:r>
      <w:r>
        <w:t xml:space="preserve">[15–17]</w:t>
      </w:r>
      <w:r>
        <w:t xml:space="preserve">. These endpoints originate in an estimated 50% protection titer, or a titer estimated to reduce the risk of influenza infection in a population by 50%, of 1:40 established in Hobson et al.’s 1972 study</w:t>
      </w:r>
      <w:r>
        <w:t xml:space="preserve"> </w:t>
      </w:r>
      <w:r>
        <w:t xml:space="preserve">[18]</w:t>
      </w:r>
      <w:r>
        <w:t xml:space="preserve">. More recent studies support the relationship between HAI titer and protection from infection, though the exact mapping seems to depend on host and vaccine details</w:t>
      </w:r>
      <w:r>
        <w:t xml:space="preserve"> </w:t>
      </w:r>
      <w:r>
        <w:t xml:space="preserve">[19–23]</w:t>
      </w:r>
      <w:r>
        <w:t xml:space="preserve">.</w:t>
      </w:r>
    </w:p>
    <w:p>
      <w:pPr>
        <w:pStyle w:val="BodyText"/>
      </w:pPr>
      <w:r>
        <w:t xml:space="preserve">A drawback of immunogenicity data is that while higher antibody levels are generally considered more protective, the relationship between antibody levels and protection is nonlinear and imperfectly understood. It is not immediately apparent how an increase in antibody titer maps to an increase in protection. Relating immunogenicity data back to protection against influenza can be useful, particularly when comparing vaccines. Several models predicting the probability of protection given HAI titer have been developed to describe this relationship and may be applied to immunologic data to estimate VE in the absence of an efficacy trial or any infection data</w:t>
      </w:r>
      <w:r>
        <w:t xml:space="preserve"> </w:t>
      </w:r>
      <w:r>
        <w:t xml:space="preserve">[24–27]</w:t>
      </w:r>
      <w:r>
        <w:t xml:space="preserve">.</w:t>
      </w:r>
    </w:p>
    <w:p>
      <w:pPr>
        <w:pStyle w:val="BodyText"/>
      </w:pPr>
      <w:r>
        <w:t xml:space="preserve">In our study, we estimated VE using vaccine immunogenicity data by applying one such previously developed model</w:t>
      </w:r>
      <w:r>
        <w:t xml:space="preserve"> </w:t>
      </w:r>
      <w:r>
        <w:t xml:space="preserve">[25]</w:t>
      </w:r>
      <w:r>
        <w:t xml:space="preserve">. This model is based on a meta-analysis of observational studies, clinical trials, and challenge studies and has since been used to compare intramuscular and intradermal vaccines</w:t>
      </w:r>
      <w:r>
        <w:t xml:space="preserve"> </w:t>
      </w:r>
      <w:r>
        <w:t xml:space="preserve">[28]</w:t>
      </w:r>
      <w:r>
        <w:t xml:space="preserve">, multi-dose vaccines with or without adjuvants</w:t>
      </w:r>
      <w:r>
        <w:t xml:space="preserve"> </w:t>
      </w:r>
      <w:r>
        <w:t xml:space="preserve">[24]</w:t>
      </w:r>
      <w:r>
        <w:t xml:space="preserve">, and protection against influenza B strains in different age cohorts</w:t>
      </w:r>
      <w:r>
        <w:t xml:space="preserve"> </w:t>
      </w:r>
      <w:r>
        <w:t xml:space="preserve">[29]</w:t>
      </w:r>
      <w:r>
        <w:t xml:space="preserve">. However, to our knowledge, it has not been used to compare dose impacts in different age groups. We applied the model to immunogenicity data spanning nine influenza seasons, comparing HD and SD influenza vaccination in those 65 years and older and SD vaccination in those younger than 65 years. We found that HD vaccines generally led to improved estimated VE in older adults, but did not consistently yield VE estimates as high as those estimated in younger adults.</w:t>
      </w:r>
    </w:p>
    <w:p>
      <w:r>
        <w:br w:type="page"/>
      </w:r>
    </w:p>
    <w:bookmarkEnd w:id="21"/>
    <w:bookmarkStart w:id="30" w:name="methods"/>
    <w:p>
      <w:pPr>
        <w:pStyle w:val="Heading1"/>
      </w:pPr>
      <w:r>
        <w:t xml:space="preserve">Methods</w:t>
      </w:r>
    </w:p>
    <w:bookmarkStart w:id="22" w:name="data"/>
    <w:p>
      <w:pPr>
        <w:pStyle w:val="Heading2"/>
      </w:pPr>
      <w:r>
        <w:t xml:space="preserve">Data</w:t>
      </w:r>
    </w:p>
    <w:p>
      <w:pPr>
        <w:pStyle w:val="FirstParagraph"/>
      </w:pPr>
      <w:r>
        <w:t xml:space="preserve">Our data are from an ongoing influenza vaccine study based in Stuart/Port St. Lucie, FL, and Pittsburgh, PA, in the 2013-2014 seasons through the 2016-2017 season and Athens, GA, starting in the 2016-2017 season. This study has been described in detail previously</w:t>
      </w:r>
      <w:r>
        <w:t xml:space="preserve"> </w:t>
      </w:r>
      <w:r>
        <w:t xml:space="preserve">[30–32]</w:t>
      </w:r>
      <w:r>
        <w:t xml:space="preserve">.</w:t>
      </w:r>
    </w:p>
    <w:p>
      <w:pPr>
        <w:pStyle w:val="BodyText"/>
      </w:pPr>
      <w:r>
        <w:t xml:space="preserve">Our analysis included a total of 2750 antibody titer measurements from 1150 participants, ranging from 18 to 86 years of age and spanning the years 2013/14-2021/22. While some individuals participated in multiple seasons, for the purpose of this analysis, we treat each individual in each season as independent. We also assume that the two influenza A vaccine components each season have no cross-reactivity between subtypes. More details on our models are provided below. In each influenza season, individuals received the licensed Fluzone vaccine and had serum samples collected upon enrollment (time point D0) and at a target of 21 or 28 days after vaccination, depending on the season (time point D28). Participants 65 years and older could elect to receive the high-dose (HD, 60 µg/HA) vaccine, which has four times the dose of the standard-dose (SD, 15 µg/HA) vaccine. All participants under 65 received the SD vaccine (see Figure 1 panel A).</w:t>
      </w:r>
    </w:p>
    <w:p>
      <w:pPr>
        <w:pStyle w:val="BodyText"/>
      </w:pPr>
      <w:r>
        <w:t xml:space="preserve">We defined participants as being part of one of three groups: those younger than 65 years of age who received SD vaccines (younger adults given standard-dose, or YASD), those 65 years or older who received the SD vaccine (older adults given standard-dose, or OASD), and those 65 years or older who received the HD vaccine (older adults given high-dose, or OAHD).</w:t>
      </w:r>
    </w:p>
    <w:p>
      <w:pPr>
        <w:pStyle w:val="BodyText"/>
      </w:pPr>
      <w:r>
        <w:t xml:space="preserve">Since only some HD vaccines contained both influenza B strains, we focused our analysis on the influenza A H1N1 and H3N2 strains.</w:t>
      </w:r>
    </w:p>
    <w:bookmarkEnd w:id="22"/>
    <w:bookmarkStart w:id="25" w:name="estimating-vaccine-efficacy-ve"/>
    <w:p>
      <w:pPr>
        <w:pStyle w:val="Heading2"/>
      </w:pPr>
      <w:r>
        <w:t xml:space="preserve">Estimating Vaccine Efficacy (VE)</w:t>
      </w:r>
    </w:p>
    <w:p>
      <w:pPr>
        <w:pStyle w:val="FirstParagraph"/>
      </w:pPr>
      <w:r>
        <w:t xml:space="preserve">Within each season, vaccine strains and age groups were assessed separately. That is, within a given season, we estimated separate VEs for each of the two influenza A vaccine components and the YASD, OASD, and OAHD groups.</w:t>
      </w:r>
    </w:p>
    <w:p>
      <w:pPr>
        <w:pStyle w:val="BodyText"/>
      </w:pPr>
      <w:r>
        <w:t xml:space="preserve">We used the logistic HAI titer-protection model developed by Coudeville et al. in their 2010 paper</w:t>
      </w:r>
      <w:r>
        <w:t xml:space="preserve"> </w:t>
      </w:r>
      <w:r>
        <w:t xml:space="preserve">[25]</w:t>
      </w:r>
      <w:r>
        <w:t xml:space="preserve"> </w:t>
      </w:r>
      <w:r>
        <w:t xml:space="preserve">and applied it to pre- and post-vaccination titers (</w:t>
      </w:r>
      <m:oMath>
        <m:sSub>
          <m:e>
            <m:r>
              <m:t>T</m:t>
            </m:r>
          </m:e>
          <m:sub>
            <m:r>
              <m:t>i</m:t>
            </m:r>
            <m:r>
              <m:rPr>
                <m:sty m:val="p"/>
              </m:rPr>
              <m:t>,</m:t>
            </m:r>
            <m:r>
              <m:t>v</m:t>
            </m:r>
          </m:sub>
        </m:sSub>
      </m:oMath>
      <w:r>
        <w:t xml:space="preserve">, representing the titer for the</w:t>
      </w:r>
      <w:r>
        <w:t xml:space="preserve"> </w:t>
      </w:r>
      <m:oMath>
        <m:r>
          <m:t>i</m:t>
        </m:r>
      </m:oMath>
      <w:r>
        <w:t xml:space="preserve">th individual at the</w:t>
      </w:r>
      <w:r>
        <w:t xml:space="preserve"> </w:t>
      </w:r>
      <m:oMath>
        <m:r>
          <m:t>v</m:t>
        </m:r>
      </m:oMath>
      <w:r>
        <w:t xml:space="preserve">th visit, either pre- or post-vaccination.) to obtain predicted probabilities of protection against influenza (Figure 1 and</w:t>
      </w:r>
      <w:r>
        <w:t xml:space="preserve"> </w:t>
      </w:r>
      <w:hyperlink w:anchor="eq-protection">
        <w:r>
          <w:rPr>
            <w:rStyle w:val="Hyperlink"/>
          </w:rPr>
          <w:t xml:space="preserve">Equation 1</w:t>
        </w:r>
      </w:hyperlink>
      <w:r>
        <w:t xml:space="preserve">)</w:t>
      </w:r>
      <w:r>
        <w:t xml:space="preserve"> </w:t>
      </w:r>
      <w:r>
        <w:t xml:space="preserve">[25,33]</w:t>
      </w:r>
      <w:r>
        <w:t xml:space="preserve">.</w:t>
      </w:r>
    </w:p>
    <w:p>
      <w:pPr>
        <w:pStyle w:val="BodyText"/>
      </w:pPr>
      <w:bookmarkStart w:id="23" w:name="eq-protection"/>
      <m:oMathPara>
        <m:oMathParaPr>
          <m:jc m:val="center"/>
        </m:oMathParaPr>
        <m:oMath>
          <m:sSub>
            <m:e>
              <m:r>
                <m:rPr>
                  <m:nor/>
                  <m:sty m:val="p"/>
                </m:rPr>
                <m:t>Pr(Protection)</m:t>
              </m:r>
            </m:e>
            <m:sub>
              <m:r>
                <m:t>i</m:t>
              </m:r>
              <m:r>
                <m:rPr>
                  <m:sty m:val="p"/>
                </m:rPr>
                <m:t>,</m:t>
              </m:r>
              <m:r>
                <m:t>v</m:t>
              </m:r>
            </m:sub>
          </m:sSub>
          <m:r>
            <m:rPr>
              <m:sty m:val="p"/>
            </m:rPr>
            <m:t>=</m:t>
          </m:r>
          <m:r>
            <m:t>1</m:t>
          </m:r>
          <m:r>
            <m:rPr>
              <m:sty m:val="p"/>
            </m:rPr>
            <m:t>−</m:t>
          </m:r>
          <m:f>
            <m:fPr>
              <m:type m:val="bar"/>
            </m:fPr>
            <m:num>
              <m:r>
                <m:t>1</m:t>
              </m:r>
            </m:num>
            <m:den>
              <m:r>
                <m:t>1</m:t>
              </m:r>
              <m:r>
                <m:rPr>
                  <m:sty m:val="p"/>
                </m:rPr>
                <m:t>+</m:t>
              </m:r>
              <m:sSup>
                <m:e>
                  <m:r>
                    <m:t>e</m:t>
                  </m:r>
                </m:e>
                <m:sup>
                  <m:r>
                    <m:t>β</m:t>
                  </m:r>
                  <m:d>
                    <m:dPr>
                      <m:begChr m:val="("/>
                      <m:endChr m:val=")"/>
                      <m:sepChr m:val=""/>
                      <m:grow/>
                    </m:dPr>
                    <m:e>
                      <m:r>
                        <m:rPr>
                          <m:sty m:val="p"/>
                        </m:rPr>
                        <m:t>log</m:t>
                      </m:r>
                      <m:d>
                        <m:dPr>
                          <m:begChr m:val="("/>
                          <m:endChr m:val=")"/>
                          <m:sepChr m:val=""/>
                          <m:grow/>
                        </m:dPr>
                        <m:e>
                          <m:sSub>
                            <m:e>
                              <m:r>
                                <m:t>T</m:t>
                              </m:r>
                            </m:e>
                            <m:sub>
                              <m:r>
                                <m:t>i</m:t>
                              </m:r>
                              <m:r>
                                <m:rPr>
                                  <m:sty m:val="p"/>
                                </m:rPr>
                                <m:t>,</m:t>
                              </m:r>
                              <m:r>
                                <m:t>v</m:t>
                              </m:r>
                            </m:sub>
                          </m:sSub>
                        </m:e>
                      </m:d>
                      <m:r>
                        <m:rPr>
                          <m:sty m:val="p"/>
                        </m:rPr>
                        <m:t>−</m:t>
                      </m:r>
                      <m:r>
                        <m:t>α</m:t>
                      </m:r>
                    </m:e>
                  </m:d>
                </m:sup>
              </m:sSup>
            </m:den>
          </m:f>
          <m:r>
            <m:rPr>
              <m:sty m:val="p"/>
            </m:rPr>
            <m:t>,</m:t>
          </m:r>
          <m:r>
            <m:t>  </m:t>
          </m:r>
          <m:d>
            <m:dPr>
              <m:begChr m:val="("/>
              <m:endChr m:val=")"/>
              <m:sepChr m:val=""/>
              <m:grow/>
            </m:dPr>
            <m:e>
              <m:r>
                <m:t>1</m:t>
              </m:r>
            </m:e>
          </m:d>
        </m:oMath>
      </m:oMathPara>
      <w:bookmarkEnd w:id="23"/>
    </w:p>
    <w:p>
      <w:pPr>
        <w:pStyle w:val="FirstParagraph"/>
      </w:pPr>
      <m:oMathPara>
        <m:oMathParaPr>
          <m:jc m:val="center"/>
        </m:oMathParaPr>
        <m:oMath>
          <m:r>
            <m:rPr>
              <m:nor/>
              <m:sty m:val="p"/>
            </m:rPr>
            <m:t>where</m:t>
          </m:r>
          <m:r>
            <m:t> </m:t>
          </m:r>
          <m:r>
            <m:t>α</m:t>
          </m:r>
          <m:r>
            <m:rPr>
              <m:sty m:val="p"/>
            </m:rPr>
            <m:t>=</m:t>
          </m:r>
          <m:r>
            <m:t>3.09</m:t>
          </m:r>
          <m:r>
            <m:rPr>
              <m:sty m:val="p"/>
            </m:rPr>
            <m:t>,</m:t>
          </m:r>
          <m:r>
            <m:t> </m:t>
          </m:r>
          <m:r>
            <m:t>β</m:t>
          </m:r>
          <m:r>
            <m:rPr>
              <m:sty m:val="p"/>
            </m:rPr>
            <m:t>=</m:t>
          </m:r>
          <m:r>
            <m:t>1.42</m:t>
          </m:r>
        </m:oMath>
      </m:oMathPara>
    </w:p>
    <w:p>
      <w:pPr>
        <w:pStyle w:val="FirstParagraph"/>
      </w:pPr>
      <w:r>
        <w:t xml:space="preserve">The</w:t>
      </w:r>
      <w:r>
        <w:t xml:space="preserve"> </w:t>
      </w:r>
      <m:oMath>
        <m:r>
          <m:t>α</m:t>
        </m:r>
      </m:oMath>
      <w:r>
        <w:t xml:space="preserve"> </w:t>
      </w:r>
      <w:r>
        <w:t xml:space="preserve">parameter is related to the 50% protection titer, and the</w:t>
      </w:r>
      <w:r>
        <w:t xml:space="preserve"> </w:t>
      </w:r>
      <m:oMath>
        <m:r>
          <m:t>β</m:t>
        </m:r>
      </m:oMath>
      <w:r>
        <w:t xml:space="preserve"> </w:t>
      </w:r>
      <w:r>
        <w:t xml:space="preserve">parameter defines the steepness of the curve. We selected parameter values that qualitatively matched the extracted values from the curve from the paper by Coudeville et al.</w:t>
      </w:r>
      <w:r>
        <w:t xml:space="preserve"> </w:t>
      </w:r>
      <w:r>
        <w:t xml:space="preserve">[25]</w:t>
      </w:r>
      <w:r>
        <w:t xml:space="preserve">. We then calculated the risk of influenza for individual</w:t>
      </w:r>
      <w:r>
        <w:t xml:space="preserve"> </w:t>
      </w:r>
      <m:oMath>
        <m:r>
          <m:t>i</m:t>
        </m:r>
      </m:oMath>
      <w:r>
        <w:t xml:space="preserve"> </w:t>
      </w:r>
      <w:r>
        <w:t xml:space="preserve">as</w:t>
      </w:r>
      <w:r>
        <w:t xml:space="preserve"> </w:t>
      </w:r>
      <m:oMath>
        <m:sSub>
          <m:e>
            <m:r>
              <m:rPr>
                <m:nor/>
                <m:sty m:val="p"/>
              </m:rPr>
              <m:t>Risk</m:t>
            </m:r>
          </m:e>
          <m:sub>
            <m:r>
              <m:t>i</m:t>
            </m:r>
          </m:sub>
        </m:sSub>
        <m:r>
          <m:rPr>
            <m:sty m:val="p"/>
          </m:rPr>
          <m:t>=</m:t>
        </m:r>
        <m:r>
          <m:t>1</m:t>
        </m:r>
        <m:r>
          <m:rPr>
            <m:sty m:val="p"/>
          </m:rPr>
          <m:t>−</m:t>
        </m:r>
        <m:sSub>
          <m:e>
            <m:r>
              <m:rPr>
                <m:nor/>
                <m:sty m:val="p"/>
              </m:rPr>
              <m:t>Pr(Protection)</m:t>
            </m:r>
          </m:e>
          <m:sub>
            <m:r>
              <m:t>i</m:t>
            </m:r>
          </m:sub>
        </m:sSub>
      </m:oMath>
      <w:r>
        <w:t xml:space="preserve">.</w:t>
      </w:r>
    </w:p>
    <w:p>
      <w:pPr>
        <w:pStyle w:val="BodyText"/>
      </w:pPr>
      <w:r>
        <w:t xml:space="preserve">Following prior work</w:t>
      </w:r>
      <w:r>
        <w:t xml:space="preserve"> </w:t>
      </w:r>
      <w:r>
        <w:t xml:space="preserve">[24,25,28]</w:t>
      </w:r>
      <w:r>
        <w:t xml:space="preserve">, we used pre-vaccination titers in place of a placebo group to compare the estimated risk to that of the post-vaccination titers, or vaccine group. We calculated the estimated VE as one minus the risk ratio, calculated using the average risk in each group. The estimation of VE for group</w:t>
      </w:r>
      <w:r>
        <w:t xml:space="preserve"> </w:t>
      </w:r>
      <m:oMath>
        <m:r>
          <m:t>G</m:t>
        </m:r>
      </m:oMath>
      <w:r>
        <w:t xml:space="preserve"> </w:t>
      </w:r>
      <w:r>
        <w:t xml:space="preserve">is represented in</w:t>
      </w:r>
      <w:r>
        <w:t xml:space="preserve"> </w:t>
      </w:r>
      <w:hyperlink w:anchor="eq-ve">
        <w:r>
          <w:rPr>
            <w:rStyle w:val="Hyperlink"/>
          </w:rPr>
          <w:t xml:space="preserve">Equation 2</w:t>
        </w:r>
      </w:hyperlink>
      <w:r>
        <w:t xml:space="preserve"> </w:t>
      </w:r>
      <w:r>
        <w:t xml:space="preserve">and Figure 1, where</w:t>
      </w:r>
      <w:r>
        <w:t xml:space="preserve"> </w:t>
      </w:r>
      <m:oMath>
        <m:r>
          <m:t>G</m:t>
        </m:r>
      </m:oMath>
      <w:r>
        <w:t xml:space="preserve"> </w:t>
      </w:r>
      <w:r>
        <w:t xml:space="preserve">is one of the three groups (YASD, OASD, or OAHD), and</w:t>
      </w:r>
      <w:r>
        <w:t xml:space="preserve"> </w:t>
      </w:r>
      <m:oMath>
        <m:sSub>
          <m:e>
            <m:r>
              <m:t>N</m:t>
            </m:r>
          </m:e>
          <m:sub>
            <m:r>
              <m:t>G</m:t>
            </m:r>
          </m:sub>
        </m:sSub>
      </m:oMath>
      <w:r>
        <w:t xml:space="preserve"> </w:t>
      </w:r>
      <w:r>
        <w:t xml:space="preserve">is the number of participants in that group.</w:t>
      </w:r>
    </w:p>
    <w:p>
      <w:pPr>
        <w:pStyle w:val="BodyText"/>
      </w:pPr>
      <w:bookmarkStart w:id="24" w:name="eq-ve"/>
      <m:oMathPara>
        <m:oMathParaPr>
          <m:jc m:val="center"/>
        </m:oMathParaPr>
        <m:oMath>
          <m:sSub>
            <m:e>
              <m:r>
                <m:rPr>
                  <m:nor/>
                  <m:sty m:val="p"/>
                </m:rPr>
                <m:t>VE</m:t>
              </m:r>
            </m:e>
            <m:sub>
              <m:r>
                <m:t>G</m:t>
              </m:r>
            </m:sub>
          </m:sSub>
          <m:r>
            <m:rPr>
              <m:sty m:val="p"/>
            </m:rPr>
            <m:t>=</m:t>
          </m:r>
          <m:r>
            <m:t>1</m:t>
          </m:r>
          <m:r>
            <m:rPr>
              <m:sty m:val="p"/>
            </m:rPr>
            <m:t>−</m:t>
          </m:r>
          <m:f>
            <m:fPr>
              <m:type m:val="bar"/>
            </m:fPr>
            <m:num>
              <m:nary>
                <m:naryPr>
                  <m:chr m:val="∑"/>
                  <m:limLoc m:val="undOvr"/>
                  <m:subHide m:val="off"/>
                  <m:supHide m:val="off"/>
                </m:naryPr>
                <m:sub>
                  <m:r>
                    <m:t>i</m:t>
                  </m:r>
                  <m:r>
                    <m:rPr>
                      <m:sty m:val="p"/>
                    </m:rPr>
                    <m:t>=</m:t>
                  </m:r>
                  <m:r>
                    <m:t>1</m:t>
                  </m:r>
                </m:sub>
                <m:sup>
                  <m:sSub>
                    <m:e>
                      <m:r>
                        <m:t>N</m:t>
                      </m:r>
                    </m:e>
                    <m:sub>
                      <m:r>
                        <m:t>G</m:t>
                      </m:r>
                    </m:sub>
                  </m:sSub>
                </m:sup>
                <m:e>
                  <m:sSub>
                    <m:e>
                      <m:r>
                        <m:rPr>
                          <m:nor/>
                          <m:sty m:val="p"/>
                        </m:rPr>
                        <m:t>Risk</m:t>
                      </m:r>
                    </m:e>
                    <m:sub>
                      <m:sSub>
                        <m:e>
                          <m:r>
                            <m:t>i</m:t>
                          </m:r>
                        </m:e>
                        <m:sub>
                          <m:r>
                            <m:rPr>
                              <m:nor/>
                              <m:sty m:val="p"/>
                            </m:rPr>
                            <m:t>Post-Vaccine</m:t>
                          </m:r>
                        </m:sub>
                      </m:sSub>
                    </m:sub>
                  </m:sSub>
                </m:e>
              </m:nary>
            </m:num>
            <m:den>
              <m:nary>
                <m:naryPr>
                  <m:chr m:val="∑"/>
                  <m:limLoc m:val="undOvr"/>
                  <m:subHide m:val="off"/>
                  <m:supHide m:val="off"/>
                </m:naryPr>
                <m:sub>
                  <m:r>
                    <m:t>i</m:t>
                  </m:r>
                  <m:r>
                    <m:rPr>
                      <m:sty m:val="p"/>
                    </m:rPr>
                    <m:t>=</m:t>
                  </m:r>
                  <m:r>
                    <m:t>1</m:t>
                  </m:r>
                </m:sub>
                <m:sup>
                  <m:sSub>
                    <m:e>
                      <m:r>
                        <m:t>N</m:t>
                      </m:r>
                    </m:e>
                    <m:sub>
                      <m:r>
                        <m:t>G</m:t>
                      </m:r>
                    </m:sub>
                  </m:sSub>
                </m:sup>
                <m:e>
                  <m:sSub>
                    <m:e>
                      <m:r>
                        <m:rPr>
                          <m:nor/>
                          <m:sty m:val="p"/>
                        </m:rPr>
                        <m:t>Risk</m:t>
                      </m:r>
                    </m:e>
                    <m:sub>
                      <m:sSub>
                        <m:e>
                          <m:r>
                            <m:t>i</m:t>
                          </m:r>
                        </m:e>
                        <m:sub>
                          <m:r>
                            <m:rPr>
                              <m:nor/>
                              <m:sty m:val="p"/>
                            </m:rPr>
                            <m:t>Pre-Vaccine</m:t>
                          </m:r>
                        </m:sub>
                      </m:sSub>
                    </m:sub>
                  </m:sSub>
                </m:e>
              </m:nary>
            </m:den>
          </m:f>
          <m:r>
            <m:t>  </m:t>
          </m:r>
          <m:d>
            <m:dPr>
              <m:begChr m:val="("/>
              <m:endChr m:val=")"/>
              <m:sepChr m:val=""/>
              <m:grow/>
            </m:dPr>
            <m:e>
              <m:r>
                <m:t>2</m:t>
              </m:r>
            </m:e>
          </m:d>
        </m:oMath>
      </m:oMathPara>
      <w:bookmarkEnd w:id="24"/>
    </w:p>
    <w:p>
      <w:pPr>
        <w:pStyle w:val="FirstParagraph"/>
      </w:pPr>
      <w:r>
        <w:rPr>
          <w:color w:val="FF2400"/>
        </w:rPr>
        <w:t>
          <w:r>
            <w:t xml:space="preserve">We note that by using the term “</w:t>
          </w:r>
        </w:t>
      </w:r>
      <w:r>
        <w:rPr>
          <w:color w:val="FF2400"/>
        </w:rPr>
        <w:t>
          <w:r>
            <w:t xml:space="preserve">efficacy”</w:t>
          </w:r>
        </w:t>
      </w:r>
      <w:r>
        <w:t xml:space="preserve"> </w:t>
      </w:r>
      <w:r>
        <w:rPr>
          <w:color w:val="FF2400"/>
        </w:rPr>
        <w:t>
          <w:r>
            <w:t xml:space="preserve">versus</w:t>
          </w:r>
        </w:t>
      </w:r>
      <w:r>
        <w:t xml:space="preserve"> </w:t>
      </w:r>
      <w:r>
        <w:rPr>
          <w:color w:val="FF2400"/>
        </w:rPr>
        <w:t>
          <w:r>
            <w:t xml:space="preserve">“effectiveness</w:t>
          </w:r>
        </w:t>
      </w:r>
      <w:r>
        <w:rPr>
          <w:color w:val="FF2400"/>
        </w:rPr>
        <w:t>
          <w:r>
            <w:t xml:space="preserve">“, we follow the terminology of Coudeville et al.’s study</w:t>
          </w:r>
        </w:t>
      </w:r>
      <w:r>
        <w:t xml:space="preserve"> </w:t>
      </w:r>
      <w:r>
        <w:t xml:space="preserve">[25]</w:t>
      </w:r>
      <w:r>
        <w:t xml:space="preserve"> </w:t>
      </w:r>
      <w:r>
        <w:rPr>
          <w:color w:val="FF2400"/>
        </w:rPr>
        <w:t>
          <w:r>
            <w:t xml:space="preserve">. The data used in their study was a mix of observational studies as well as randomized clinical trials and human challenge studies, and thus does not correspond exactly to either</w:t>
          </w:r>
        </w:t>
      </w:r>
      <w:r>
        <w:t xml:space="preserve"> </w:t>
      </w:r>
      <w:r>
        <w:rPr>
          <w:color w:val="FF2400"/>
        </w:rPr>
        <w:t>
          <w:r>
            <w:t xml:space="preserve">“efficacy</w:t>
          </w:r>
        </w:t>
      </w:r>
      <w:r>
        <w:t xml:space="preserve"> </w:t>
      </w:r>
      <w:r>
        <w:rPr>
          <w:color w:val="FF2400"/>
        </w:rPr>
        <w:t>
          <w:r>
            <w:t xml:space="preserve">” and</w:t>
          </w:r>
        </w:t>
      </w:r>
      <w:r>
        <w:t xml:space="preserve"> </w:t>
      </w:r>
      <w:r>
        <w:rPr>
          <w:color w:val="FF2400"/>
        </w:rPr>
        <w:t>
          <w:r>
            <w:t xml:space="preserve">“effectiveness</w:t>
          </w:r>
        </w:t>
      </w:r>
      <w:r>
        <w:t xml:space="preserve"> </w:t>
      </w:r>
      <w:r>
        <w:rPr>
          <w:color w:val="FF2400"/>
        </w:rPr>
        <w:t>
          <w:r>
            <w:t xml:space="preserve">“. For consistency, and to minimize confusion, we retained the previously used terminology.</w:t>
          </w:r>
        </w:t>
      </w:r>
    </w:p>
    <w:bookmarkEnd w:id="25"/>
    <w:bookmarkStart w:id="27" w:name="X28eb0f420371995b5ca8ded8e05a4a94e9f1bd1"/>
    <w:p>
      <w:pPr>
        <w:pStyle w:val="Heading2"/>
      </w:pPr>
      <w:r>
        <w:t xml:space="preserve">Estimating Difference in Vaccine Efficacy (DVE)</w:t>
      </w:r>
    </w:p>
    <w:p>
      <w:pPr>
        <w:pStyle w:val="FirstParagraph"/>
      </w:pPr>
      <w:r>
        <w:t xml:space="preserve">We used the VE estimates to find the difference in VE between two groups (DVE) (</w:t>
      </w:r>
      <w:hyperlink w:anchor="eq-dve">
        <w:r>
          <w:rPr>
            <w:rStyle w:val="Hyperlink"/>
          </w:rPr>
          <w:t xml:space="preserve">Equation 3</w:t>
        </w:r>
      </w:hyperlink>
      <w:r>
        <w:t xml:space="preserve">).</w:t>
      </w:r>
    </w:p>
    <w:p>
      <w:pPr>
        <w:pStyle w:val="BodyText"/>
      </w:pPr>
      <w:bookmarkStart w:id="26" w:name="eq-dve"/>
      <m:oMathPara>
        <m:oMathParaPr>
          <m:jc m:val="center"/>
        </m:oMathParaPr>
        <m:oMath>
          <m:sSub>
            <m:e>
              <m:r>
                <m:rPr>
                  <m:nor/>
                  <m:sty m:val="p"/>
                </m:rPr>
                <m:t>DVE</m:t>
              </m:r>
            </m:e>
            <m:sub>
              <m:sSub>
                <m:e>
                  <m:r>
                    <m:t>G</m:t>
                  </m:r>
                </m:e>
                <m:sub>
                  <m:r>
                    <m:t>A</m:t>
                  </m:r>
                </m:sub>
              </m:sSub>
              <m:r>
                <m:rPr>
                  <m:sty m:val="p"/>
                </m:rPr>
                <m:t>/</m:t>
              </m:r>
              <m:sSub>
                <m:e>
                  <m:r>
                    <m:t>G</m:t>
                  </m:r>
                </m:e>
                <m:sub>
                  <m:r>
                    <m:t>B</m:t>
                  </m:r>
                </m:sub>
              </m:sSub>
            </m:sub>
          </m:sSub>
          <m:r>
            <m:rPr>
              <m:sty m:val="p"/>
            </m:rPr>
            <m:t>=</m:t>
          </m:r>
          <m:r>
            <m:t>V</m:t>
          </m:r>
          <m:sSub>
            <m:e>
              <m:r>
                <m:t>E</m:t>
              </m:r>
            </m:e>
            <m:sub>
              <m:sSub>
                <m:e>
                  <m:r>
                    <m:t>G</m:t>
                  </m:r>
                </m:e>
                <m:sub>
                  <m:r>
                    <m:t>A</m:t>
                  </m:r>
                </m:sub>
              </m:sSub>
            </m:sub>
          </m:sSub>
          <m:r>
            <m:rPr>
              <m:sty m:val="p"/>
            </m:rPr>
            <m:t>−</m:t>
          </m:r>
          <m:r>
            <m:t>V</m:t>
          </m:r>
          <m:sSub>
            <m:e>
              <m:r>
                <m:t>E</m:t>
              </m:r>
            </m:e>
            <m:sub>
              <m:sSub>
                <m:e>
                  <m:r>
                    <m:t>G</m:t>
                  </m:r>
                </m:e>
                <m:sub>
                  <m:r>
                    <m:t>B</m:t>
                  </m:r>
                </m:sub>
              </m:sSub>
            </m:sub>
          </m:sSub>
          <m:r>
            <m:t>  </m:t>
          </m:r>
          <m:d>
            <m:dPr>
              <m:begChr m:val="("/>
              <m:endChr m:val=")"/>
              <m:sepChr m:val=""/>
              <m:grow/>
            </m:dPr>
            <m:e>
              <m:r>
                <m:t>3</m:t>
              </m:r>
            </m:e>
          </m:d>
        </m:oMath>
      </m:oMathPara>
      <w:bookmarkEnd w:id="26"/>
    </w:p>
    <w:p>
      <w:pPr>
        <w:pStyle w:val="FirstParagraph"/>
      </w:pPr>
      <m:oMath>
        <m:sSub>
          <m:e>
            <m:r>
              <m:t>G</m:t>
            </m:r>
          </m:e>
          <m:sub>
            <m:r>
              <m:t>A</m:t>
            </m:r>
          </m:sub>
        </m:sSub>
      </m:oMath>
      <w:r>
        <w:t xml:space="preserve"> </w:t>
      </w:r>
      <w:r>
        <w:t xml:space="preserve">and</w:t>
      </w:r>
      <w:r>
        <w:t xml:space="preserve"> </w:t>
      </w:r>
      <m:oMath>
        <m:sSub>
          <m:e>
            <m:r>
              <m:t>G</m:t>
            </m:r>
          </m:e>
          <m:sub>
            <m:r>
              <m:t>B</m:t>
            </m:r>
          </m:sub>
        </m:sSub>
      </m:oMath>
      <w:r>
        <w:t xml:space="preserve"> </w:t>
      </w:r>
      <w:r>
        <w:t xml:space="preserve">refer to one of the 3 groups under consideration, namely YASD, OASD, and OAHD. In the supplement, we also show results for the relative difference in VE, which is the DVE divided by the reference group.</w:t>
      </w:r>
    </w:p>
    <w:p>
      <w:pPr>
        <w:pStyle w:val="BodyText"/>
      </w:pPr>
      <w:r>
        <w:t xml:space="preserve">We calculated 95% confidence intervals (CIs) using the bias-corrected and accelerated (BCa) bootstrap method with 10,000 resamples</w:t>
      </w:r>
      <w:r>
        <w:t xml:space="preserve"> </w:t>
      </w:r>
      <w:r>
        <w:t xml:space="preserve">[34]</w:t>
      </w:r>
      <w:r>
        <w:t xml:space="preserve">. We constructed resamples separately for each subtype in each group within each season. These CIs only account for the uncertainty in the data sample. Uncertainty from other sources, e.g., the uncertainty associated with the estimation of the applied titer-protection model, is not included. Since uncertainty from the protection model is not included, and because our study is a secondary data analysis without a pre-specified protocol, any hypothesis tests would have inflated error rates, and we do not report statistical tests or p-values.</w:t>
      </w:r>
    </w:p>
    <w:bookmarkEnd w:id="27"/>
    <w:bookmarkStart w:id="28" w:name="sensitivity-analyses"/>
    <w:p>
      <w:pPr>
        <w:pStyle w:val="Heading2"/>
      </w:pPr>
      <w:r>
        <w:t xml:space="preserve">Sensitivity Analyses</w:t>
      </w:r>
    </w:p>
    <w:p>
      <w:pPr>
        <w:pStyle w:val="FirstParagraph"/>
      </w:pPr>
      <w:r>
        <w:rPr>
          <w:b/>
          <w:bCs/>
        </w:rPr>
        <w:t xml:space="preserve">Limits of detection.</w:t>
      </w:r>
      <w:r>
        <w:t xml:space="preserve"> </w:t>
      </w:r>
      <w:r>
        <w:t xml:space="preserve">When performing HAI assays, any undetectable titer was assigned a value of 5</w:t>
      </w:r>
      <w:r>
        <w:t xml:space="preserve"> </w:t>
      </w:r>
      <w:r>
        <w:t xml:space="preserve">[35]</w:t>
      </w:r>
      <w:r>
        <w:t xml:space="preserve">. To assess the impact of this HAI titer limit of detection (LoD), we conducted a sensitivity analysis using a reduced data set that excluded anyone with an HAI titer observation at the LoD of 5 at either D0 or D28 time point.</w:t>
      </w:r>
    </w:p>
    <w:p>
      <w:pPr>
        <w:pStyle w:val="BodyText"/>
      </w:pPr>
      <w:r>
        <w:rPr>
          <w:b/>
          <w:bCs/>
        </w:rPr>
        <w:t xml:space="preserve">Inclusion of participants younger than 18 years.</w:t>
      </w:r>
      <w:r>
        <w:t xml:space="preserve"> </w:t>
      </w:r>
      <w:r>
        <w:t xml:space="preserve">Because we aimed to compare dose groups in older and younger adults, our primary analysis excluded any participant under the age of 18. Starting in 2017, the study from which the data arise allowed those under 18 years old to participate. To explore whether the inclusion of minors appeared to alter results, we conducted an additional analysis including those under 18 years.</w:t>
      </w:r>
    </w:p>
    <w:p>
      <w:pPr>
        <w:pStyle w:val="BodyText"/>
      </w:pPr>
      <w:r>
        <w:rPr>
          <w:b/>
          <w:bCs/>
        </w:rPr>
        <w:t xml:space="preserve">Individually matched VE analysis.</w:t>
      </w:r>
      <w:r>
        <w:t xml:space="preserve"> </w:t>
      </w:r>
      <w:r>
        <w:t xml:space="preserve">To examine the impact of comparing pre- and post-vaccine titers in each individual rather than at a group level to estimate vaccine efficacy, we computed VE for each individual based on their pre- and post-vaccination titers and compared those estimates to the ones found when using</w:t>
      </w:r>
      <w:r>
        <w:t xml:space="preserve"> </w:t>
      </w:r>
      <w:hyperlink w:anchor="eq-ve">
        <w:r>
          <w:rPr>
            <w:rStyle w:val="Hyperlink"/>
          </w:rPr>
          <w:t xml:space="preserve">Equation 2</w:t>
        </w:r>
      </w:hyperlink>
      <w:r>
        <w:t xml:space="preserve">.</w:t>
      </w:r>
    </w:p>
    <w:p>
      <w:pPr>
        <w:pStyle w:val="BodyText"/>
      </w:pPr>
      <w:r>
        <w:t xml:space="preserve">Additional details and the results of these sensitivity analyses are given in the supplement.</w:t>
      </w:r>
    </w:p>
    <w:bookmarkEnd w:id="28"/>
    <w:bookmarkStart w:id="29" w:name="implementation"/>
    <w:p>
      <w:pPr>
        <w:pStyle w:val="Heading2"/>
      </w:pPr>
      <w:r>
        <w:t xml:space="preserve">Implementation</w:t>
      </w:r>
    </w:p>
    <w:p>
      <w:pPr>
        <w:pStyle w:val="FirstParagraph"/>
      </w:pPr>
      <w:r>
        <w:t xml:space="preserve">We conducted all analyses in R version 4.4.0 (2024-04-24), using the</w:t>
      </w:r>
      <w:r>
        <w:t xml:space="preserve"> </w:t>
      </w:r>
      <w:r>
        <w:rPr>
          <w:rStyle w:val="VerbatimChar"/>
        </w:rPr>
        <w:t xml:space="preserve">tidyverse</w:t>
      </w:r>
      <w:r>
        <w:t xml:space="preserve"> </w:t>
      </w:r>
      <w:r>
        <w:t xml:space="preserve">suite of packages for data cleaning, processing, and plotting</w:t>
      </w:r>
      <w:r>
        <w:t xml:space="preserve"> </w:t>
      </w:r>
      <w:r>
        <w:t xml:space="preserve">[36]</w:t>
      </w:r>
      <w:r>
        <w:t xml:space="preserve">; the</w:t>
      </w:r>
      <w:r>
        <w:t xml:space="preserve"> </w:t>
      </w:r>
      <w:r>
        <w:rPr>
          <w:rStyle w:val="VerbatimChar"/>
        </w:rPr>
        <w:t xml:space="preserve">renv</w:t>
      </w:r>
      <w:r>
        <w:t xml:space="preserve"> </w:t>
      </w:r>
      <w:r>
        <w:t xml:space="preserve">package for package management</w:t>
      </w:r>
      <w:r>
        <w:t xml:space="preserve"> </w:t>
      </w:r>
      <w:r>
        <w:t xml:space="preserve">[37]</w:t>
      </w:r>
      <w:r>
        <w:t xml:space="preserve">; and the</w:t>
      </w:r>
      <w:r>
        <w:t xml:space="preserve"> </w:t>
      </w:r>
      <w:r>
        <w:rPr>
          <w:rStyle w:val="VerbatimChar"/>
        </w:rPr>
        <w:t xml:space="preserve">boot</w:t>
      </w:r>
      <w:r>
        <w:t xml:space="preserve"> </w:t>
      </w:r>
      <w:r>
        <w:t xml:space="preserve">package for calculating bootstrap CIs</w:t>
      </w:r>
      <w:r>
        <w:t xml:space="preserve"> </w:t>
      </w:r>
      <w:r>
        <w:t xml:space="preserve">[38]</w:t>
      </w:r>
      <w:r>
        <w:t xml:space="preserve">. We used Data Thief III to extract the titer-protection curve</w:t>
      </w:r>
      <w:r>
        <w:t xml:space="preserve"> </w:t>
      </w:r>
      <w:r>
        <w:t xml:space="preserve">[25,33]</w:t>
      </w:r>
      <w:r>
        <w:t xml:space="preserve">. Complete package information, data, and code to reproduce all analyses are available in the Supplement.</w:t>
      </w:r>
    </w:p>
    <w:p>
      <w:r>
        <w:br w:type="page"/>
      </w:r>
    </w:p>
    <w:bookmarkEnd w:id="29"/>
    <w:bookmarkEnd w:id="30"/>
    <w:bookmarkStart w:id="35" w:name="results"/>
    <w:p>
      <w:pPr>
        <w:pStyle w:val="Heading1"/>
      </w:pPr>
      <w:r>
        <w:t xml:space="preserve">Results</w:t>
      </w:r>
    </w:p>
    <w:bookmarkStart w:id="31" w:name="population-characteristics"/>
    <w:p>
      <w:pPr>
        <w:pStyle w:val="Heading2"/>
      </w:pPr>
      <w:r>
        <w:t xml:space="preserve">Population characteristics</w:t>
      </w:r>
    </w:p>
    <w:p>
      <w:pPr>
        <w:pStyle w:val="FirstParagraph"/>
      </w:pPr>
      <w:r>
        <w:t xml:space="preserve">We included a total of 2750 observations from 1150 participants from seasons 2013/14-2021/22 (some participants return for multiple seasons). Group sizes varied across seasons, but older adults generally appeared to choose the HD vaccine over the SD vaccine most years, and the younger adult group tended to outnumber the combined older adult groups. Sample size and age distributions for the three groups for each season are shown in</w:t>
      </w:r>
      <w:r>
        <w:t xml:space="preserve"> </w:t>
      </w:r>
      <w:hyperlink w:anchor="tbl-one">
        <w:r>
          <w:rPr>
            <w:rStyle w:val="Hyperlink"/>
          </w:rPr>
          <w:t xml:space="preserve">Table 1</w:t>
        </w:r>
      </w:hyperlink>
      <w:r>
        <w:t xml:space="preserve">. Figure 1 shows pre-vaccination and post-vaccination HAI titers for the H1N1 vaccine strain in 2018. Equivalent plots for all other strains and seasons can be found in the supplement.</w:t>
      </w:r>
    </w:p>
    <w:bookmarkEnd w:id="31"/>
    <w:bookmarkStart w:id="32" w:name="vaccine-efficacy-ve"/>
    <w:p>
      <w:pPr>
        <w:pStyle w:val="Heading2"/>
      </w:pPr>
      <w:r>
        <w:t xml:space="preserve">Vaccine Efficacy (VE)</w:t>
      </w:r>
    </w:p>
    <w:p>
      <w:pPr>
        <w:pStyle w:val="FirstParagraph"/>
      </w:pPr>
      <w:r>
        <w:t xml:space="preserve">Starting from the HAI titer distributions, we computed VE as described in the methods section for the three groups: younger adults given standard-dose (YASD), those 65 years or older who received the SD vaccine (OASD), and those 65 years or older who received the HD vaccine (OAHD).</w:t>
      </w:r>
    </w:p>
    <w:p>
      <w:pPr>
        <w:pStyle w:val="BodyText"/>
      </w:pPr>
      <w:r>
        <w:t xml:space="preserve">Figure 2 shows VE estimates and 95% CIs for H1N1 and H3N2 across all studied influenza seasons. While the confidence intervals are wide, the point estimates suggest that in some seasons, VE estimates follow a pattern that one might expect: VE estimates were highest in the YASD group, followed by the OAHD and OASD groups, respectively (2016, 2017, and 2020 for H1N1). However, in most years, there was no clear difference between groups (2013, 2021 for H1N1 and 2013, 2014, 2015, 2019, 2021 for H3N2). In some seasons, the OAHD group had the highest VE (2014, 2015, 2018 for H1N1 and 2016, 2017 for H3N2). Overall, we saw variable patterns with no consistent ordering for the 3 groups across seasons and strains.</w:t>
      </w:r>
    </w:p>
    <w:bookmarkEnd w:id="32"/>
    <w:bookmarkStart w:id="33" w:name="difference-in-vaccine-efficacy-dve"/>
    <w:p>
      <w:pPr>
        <w:pStyle w:val="Heading2"/>
      </w:pPr>
      <w:r>
        <w:t xml:space="preserve">Difference in Vaccine Efficacy (DVE)</w:t>
      </w:r>
    </w:p>
    <w:p>
      <w:pPr>
        <w:pStyle w:val="FirstParagraph"/>
      </w:pPr>
      <w:r>
        <w:t xml:space="preserve">To better understand the differences between groups, we computed pairwise contrasts for each season and subtype.</w:t>
      </w:r>
    </w:p>
    <w:p>
      <w:pPr>
        <w:pStyle w:val="BodyText"/>
      </w:pPr>
      <w:r>
        <w:t xml:space="preserve">Figure 3 shows the difference between the 3 groups. While almost all confidence intervals include zero, the point estimates suggest that HD vaccines improved VE in older adults, but that younger adults still often had better VE than older adults regardless of dose.</w:t>
      </w:r>
    </w:p>
    <w:p>
      <w:pPr>
        <w:pStyle w:val="BodyText"/>
      </w:pPr>
      <w:r>
        <w:t xml:space="preserve">When comparing the OASD and YASD group VEs, we observed better VE in the YASD group than in the OASD group in most seasons (Figure 3 A). The exception is H1N1 in 2013 (possibly due to older adults having better responses to the pandemic strain) and both strains in the 2021 season (where the sample size for the OASD group was very low).</w:t>
      </w:r>
    </w:p>
    <w:p>
      <w:pPr>
        <w:pStyle w:val="BodyText"/>
      </w:pPr>
      <w:r>
        <w:t xml:space="preserve">When comparing OAHD and YASD group VEs, we found that the HD vaccine generally elevated VE in older adults to a level that was close to that in younger adults (Figure 3 B), but this elevation depended on subtype. For instance, in 2017, the HD vaccine boosted the H3N2 component but not the H1N1 component, and in 2018, the reverse pattern was seen.</w:t>
      </w:r>
    </w:p>
    <w:p>
      <w:pPr>
        <w:pStyle w:val="BodyText"/>
      </w:pPr>
      <w:r>
        <w:t xml:space="preserve">When comparing OAHD and OASD group VEs, we saw that HD vaccines tended to improve VE in older adults for H1N1 in most seasons, but less so for H3N2 (Figure 3 C). Overall, the HD vaccine seemed beneficial. However, the magnitude of the impact is small.</w:t>
      </w:r>
    </w:p>
    <w:bookmarkEnd w:id="33"/>
    <w:bookmarkStart w:id="34" w:name="sensitivity-analyses-1"/>
    <w:p>
      <w:pPr>
        <w:pStyle w:val="Heading2"/>
      </w:pPr>
      <w:r>
        <w:t xml:space="preserve">Sensitivity Analyses</w:t>
      </w:r>
    </w:p>
    <w:p>
      <w:pPr>
        <w:pStyle w:val="FirstParagraph"/>
      </w:pPr>
      <w:r>
        <w:t xml:space="preserve">Overall, the results of the sensitivity analyses were consistent with our main analyses. Removing participants with HAI titers below the limit of detection did not lead to any noticeable changes in the results. Including participants under 18 years of age also did not appear to have a strong impact on the results. Similarly, using each individual as their own control instead of performing group-wise VE calculations did not qualitatively change the results. Results from these analyses are presented in the supplement.</w:t>
      </w:r>
    </w:p>
    <w:p>
      <w:r>
        <w:br w:type="page"/>
      </w:r>
    </w:p>
    <w:bookmarkEnd w:id="34"/>
    <w:bookmarkEnd w:id="35"/>
    <w:bookmarkStart w:id="36" w:name="discussion"/>
    <w:p>
      <w:pPr>
        <w:pStyle w:val="Heading1"/>
      </w:pPr>
      <w:r>
        <w:t xml:space="preserve">Discussion</w:t>
      </w:r>
    </w:p>
    <w:p>
      <w:pPr>
        <w:pStyle w:val="FirstParagraph"/>
      </w:pPr>
      <w:r>
        <w:t xml:space="preserve">In this study, we compared standard- (SD) and high-dose (HD) Fluzone vaccines in a multi-season immunogenicity study and estimated vaccine efficacy (VE) using a previously developed model predicting the probability of protection against infection with observed HAI titer. We compared VE estimates in older adults who received HD vaccines (OAHD), older adults who received SD vaccines (OASD), and younger adults who received SD vaccines (YASD).</w:t>
      </w:r>
    </w:p>
    <w:p>
      <w:pPr>
        <w:pStyle w:val="BodyText"/>
      </w:pPr>
      <w:r>
        <w:t xml:space="preserve">We expected to see the highest VE in the YASD group, followed by the OAHD group, and the lowest VE in the OASD group. We observed this pattern for some seasons, but not all. A direct comparison of groups indicates that HD helps boost VE somewhat in older adults. However, the impact is not large, and older adults still rarely reach the level of protection seen in younger adults.</w:t>
      </w:r>
      <w:r>
        <w:t xml:space="preserve"> </w:t>
      </w:r>
      <w:r>
        <w:rPr>
          <w:color w:val="FF2400"/>
        </w:rPr>
        <w:t>
          <w:r>
            <w:t xml:space="preserve">There also seemed to be discrepancies across influenza subtypes within each season. We believe these changes could be influenced by factors such as the general immunogenicity of the vaccine strains each year</w:t>
          </w:r>
          <w:r>
            <w:t xml:space="preserve"> </w:t>
          </w:r>
          <w:r>
            <w:t xml:space="preserve">[39]</w:t>
          </w:r>
          <w:r>
            <w:t xml:space="preserve">; the impact of vaccine strains being repeated over multiple years, potentially leading to a repeated vaccination effect in which responses decrease after subsequent vaccinations</w:t>
          </w:r>
          <w:r>
            <w:t xml:space="preserve"> </w:t>
          </w:r>
          <w:r>
            <w:t xml:space="preserve">[40]</w:t>
          </w:r>
          <w:r>
            <w:t xml:space="preserve">; or perhaps differences in imprinting patterns or antibody landscapes in different age groups</w:t>
          </w:r>
          <w:r>
            <w:t xml:space="preserve"> </w:t>
          </w:r>
          <w:r>
            <w:t xml:space="preserve">[41,</w:t>
          </w:r>
          <w:r>
            <w:rPr>
              <w:b/>
              <w:bCs/>
            </w:rPr>
            <w:t xml:space="preserve">arevalo2020?</w:t>
          </w:r>
          <w:r>
            <w:t xml:space="preserve">]</w:t>
          </w:r>
          <w:r>
            <w:t xml:space="preserve">, leading to varying immunogenicity to specific strains in different age groups.</w:t>
          </w:r>
        </w:t>
      </w:r>
    </w:p>
    <w:p>
      <w:pPr>
        <w:pStyle w:val="BodyText"/>
      </w:pPr>
      <w:r>
        <w:t xml:space="preserve">Our study spanned nine seasons, which allowed us to comprehensively assess the predicted impact of HD vaccines on VE. The use of pre-vaccination titer as a surrogate for the control group leads to an analysis that essentially follows a traditional vaccine efficacy study design approach using data from a non-randomized, observational cohort study. However, as participants older than 65 years were able to choose which vaccine dose to receive, the analysis did not benefit from randomization as an experimental study design would.</w:t>
      </w:r>
      <w:r>
        <w:t xml:space="preserve"> </w:t>
      </w:r>
      <w:r>
        <w:rPr>
          <w:color w:val="FF2400"/>
        </w:rPr>
        <w:t>
          <w:r>
            <w:t xml:space="preserve">While, as explained in the methods section, we use “VE</w:t>
          </w:r>
        </w:t>
      </w:r>
      <w:r>
        <w:t xml:space="preserve"> </w:t>
      </w:r>
      <w:r>
        <w:rPr>
          <w:color w:val="FF2400"/>
        </w:rPr>
        <w:t>
          <w:r>
            <w:t xml:space="preserve">” to mean vaccine efficacy for consistency with the work by Coudeville et al.</w:t>
          </w:r>
        </w:t>
      </w:r>
      <w:r>
        <w:t xml:space="preserve"> </w:t>
      </w:r>
      <w:r>
        <w:t xml:space="preserve">[25]</w:t>
      </w:r>
      <w:r>
        <w:t xml:space="preserve"> </w:t>
      </w:r>
      <w:r>
        <w:rPr>
          <w:color w:val="FF2400"/>
        </w:rPr>
        <w:t>
          <w:r>
            <w:t xml:space="preserve">, it is important to point out that what we actually estimate is not the classical definition of efficacy. Further, while the data that was used in Coudeville et al.’s study</w:t>
          </w:r>
        </w:t>
      </w:r>
      <w:r>
        <w:t xml:space="preserve"> </w:t>
      </w:r>
      <w:r>
        <w:t xml:space="preserve">[25]</w:t>
      </w:r>
      <w:r>
        <w:t xml:space="preserve"> </w:t>
      </w:r>
      <w:r>
        <w:rPr>
          <w:color w:val="FF2400"/>
        </w:rPr>
        <w:t>
          <w:r>
            <w:t xml:space="preserve">to map antibodies to protection used laboratory confirmation for almost all influenza cases, it is not clear if only symptomatic individuals were tested for influenza. As such, it is not clear if our estimated VE is protection from confirmed infection, from symptomatic infection, or a mix. As such, the clinical interpretation of our estimated VE is not entirely clear, and likely reflects a poorly defined mix of efficacy/effectiveness against infection/disease.</w:t>
          </w:r>
        </w:t>
      </w:r>
    </w:p>
    <w:p>
      <w:pPr>
        <w:pStyle w:val="BodyText"/>
      </w:pPr>
      <w:r>
        <w:t xml:space="preserve">The main limitation of this study was also the primary reason for conducting this analysis: we did not have infection data, so our VE estimates are indirect. A preliminary comparison with epidemiological data suggested a reasonably good match between our estimates and CDC estimates</w:t>
      </w:r>
      <w:r>
        <w:t xml:space="preserve"> </w:t>
      </w:r>
      <w:r>
        <w:t xml:space="preserve">[14]</w:t>
      </w:r>
      <w:r>
        <w:t xml:space="preserve"> </w:t>
      </w:r>
      <w:r>
        <w:t xml:space="preserve">(see supplement), though there were discrepancies in some seasons. In those cases, our VE estimates are generally higher than the CDC-based epidemiological estimates</w:t>
      </w:r>
      <w:r>
        <w:t xml:space="preserve"> </w:t>
      </w:r>
      <w:r>
        <w:t xml:space="preserve">[14]</w:t>
      </w:r>
      <w:r>
        <w:t xml:space="preserve">.</w:t>
      </w:r>
    </w:p>
    <w:p>
      <w:pPr>
        <w:pStyle w:val="BodyText"/>
      </w:pPr>
      <w:r>
        <w:t xml:space="preserve">The reasons for such discrepancies could be due to factors such as mismatch between vaccine and circulating strain, waning immunity during an influenza season, vaccines other than Fluzone SD and HD being used in the population, and protective factors not captured by HAI assays</w:t>
      </w:r>
      <w:r>
        <w:t xml:space="preserve"> </w:t>
      </w:r>
      <w:r>
        <w:t xml:space="preserve">[20,21,42,43]</w:t>
      </w:r>
      <w:r>
        <w:t xml:space="preserve">.</w:t>
      </w:r>
      <w:r>
        <w:t xml:space="preserve"> </w:t>
      </w:r>
      <w:r>
        <w:rPr>
          <w:color w:val="FF2400"/>
        </w:rPr>
        <w:t>
          <w:r>
            <w:t xml:space="preserve">Some of these factors and others, such as medical conditions and vaccine history, could also potentially confound the relationship between dose and VE. As these factors were not available for all participants in this study, we were unable to conduct analyses controlling for them. These factors could impact the relationship between HAI titer and probability of protection, but as we used a previously developed model to estimate protection probabilities, we were unable to account for this as well.</w:t>
          </w:r>
        </w:t>
      </w:r>
      <w:r>
        <w:t xml:space="preserve"> </w:t>
      </w:r>
      <w:r>
        <w:t xml:space="preserve">Future studies should work towards further elucidating the impact of these factors and their implications for analyses such as ours.</w:t>
      </w:r>
    </w:p>
    <w:p>
      <w:pPr>
        <w:pStyle w:val="BodyText"/>
      </w:pPr>
      <w:r>
        <w:t xml:space="preserve">To summarize, we used a previously developed computational method to map influenza HAI titers to estimates of protection. We found that in general, HD vaccines seem to increase protection, though not quite to the level of protection found in younger adults. We also found that the impact of the HD vaccine was variable and often weak.</w:t>
      </w:r>
      <w:r>
        <w:t xml:space="preserve"> </w:t>
      </w:r>
      <w:r>
        <w:rPr>
          <w:color w:val="FF2400"/>
        </w:rPr>
        <w:t>
          <w:r>
            <w:t xml:space="preserve">While we cannot intervene on someone’s age, we hope the comparisons between older adults receiving high-dose vaccines and younger adults receiving standard-dose vaccines highlight opportunities for for further improvement of vaccines for older adults. We believe that further increases in dose or other formulation changes</w:t>
          </w:r>
        </w:t>
      </w:r>
      <w:r>
        <w:t xml:space="preserve"> </w:t>
      </w:r>
      <w:r>
        <w:t xml:space="preserve">might provide additional protection.</w:t>
      </w:r>
    </w:p>
    <w:p>
      <w:r>
        <w:br w:type="page"/>
      </w:r>
    </w:p>
    <w:bookmarkEnd w:id="36"/>
    <w:bookmarkStart w:id="121" w:name="references"/>
    <w:p>
      <w:pPr>
        <w:pStyle w:val="Heading1"/>
      </w:pPr>
      <w:r>
        <w:t xml:space="preserve">References</w:t>
      </w:r>
    </w:p>
    <w:bookmarkStart w:id="120" w:name="refs"/>
    <w:bookmarkStart w:id="38" w:name="ref-haq2014"/>
    <w:p>
      <w:pPr>
        <w:pStyle w:val="Bibliography"/>
      </w:pPr>
      <w:r>
        <w:t xml:space="preserve">1.</w:t>
      </w:r>
      <w:r>
        <w:t xml:space="preserve"> </w:t>
      </w:r>
      <w:r>
        <w:t xml:space="preserve">	</w:t>
      </w:r>
      <w:r>
        <w:t xml:space="preserve">Haq K, McElhaney JE. Immunosenescence: Influenza vaccination and the elderly. Curr Opin Immunol [Internet].</w:t>
      </w:r>
      <w:r>
        <w:t xml:space="preserve"> </w:t>
      </w:r>
      <w:r>
        <w:rPr>
          <w:b/>
          <w:bCs/>
        </w:rPr>
        <w:t xml:space="preserve">2014</w:t>
      </w:r>
      <w:r>
        <w:t xml:space="preserve"> </w:t>
      </w:r>
      <w:r>
        <w:t xml:space="preserve">[cited 2023 Sep 28]; 29:38–42. Available from:</w:t>
      </w:r>
      <w:r>
        <w:t xml:space="preserve"> </w:t>
      </w:r>
      <w:hyperlink r:id="rId37">
        <w:r>
          <w:rPr>
            <w:rStyle w:val="Hyperlink"/>
          </w:rPr>
          <w:t xml:space="preserve">https://www.sciencedirect.com/science/article/pii/S0952791514000569</w:t>
        </w:r>
      </w:hyperlink>
    </w:p>
    <w:bookmarkEnd w:id="38"/>
    <w:bookmarkStart w:id="40" w:name="ref-caldera2021"/>
    <w:p>
      <w:pPr>
        <w:pStyle w:val="Bibliography"/>
      </w:pPr>
      <w:r>
        <w:t xml:space="preserve">2.</w:t>
      </w:r>
      <w:r>
        <w:t xml:space="preserve"> </w:t>
      </w:r>
      <w:r>
        <w:t xml:space="preserve">	</w:t>
      </w:r>
      <w:r>
        <w:t xml:space="preserve">Caldera F, Mercer M, Samson SI, Pitt JM, Hayney MS. Influenza vaccination in immunocompromised populations:</w:t>
      </w:r>
      <w:r>
        <w:t xml:space="preserve"> </w:t>
      </w:r>
      <w:r>
        <w:t xml:space="preserve">Strategies</w:t>
      </w:r>
      <w:r>
        <w:t xml:space="preserve"> </w:t>
      </w:r>
      <w:r>
        <w:t xml:space="preserve">to improve immunogenicity. Vaccine [Internet].</w:t>
      </w:r>
      <w:r>
        <w:t xml:space="preserve"> </w:t>
      </w:r>
      <w:r>
        <w:rPr>
          <w:b/>
          <w:bCs/>
        </w:rPr>
        <w:t xml:space="preserve">2021</w:t>
      </w:r>
      <w:r>
        <w:t xml:space="preserve"> </w:t>
      </w:r>
      <w:r>
        <w:t xml:space="preserve">[cited 2023 Sep 28]; 39:A15–A23. Available from:</w:t>
      </w:r>
      <w:r>
        <w:t xml:space="preserve"> </w:t>
      </w:r>
      <w:hyperlink r:id="rId39">
        <w:r>
          <w:rPr>
            <w:rStyle w:val="Hyperlink"/>
          </w:rPr>
          <w:t xml:space="preserve">https://linkinghub.elsevier.com/retrieve/pii/S0264410X20314900</w:t>
        </w:r>
      </w:hyperlink>
    </w:p>
    <w:bookmarkEnd w:id="40"/>
    <w:bookmarkStart w:id="42" w:name="ref-chaves2023b"/>
    <w:p>
      <w:pPr>
        <w:pStyle w:val="Bibliography"/>
      </w:pPr>
      <w:r>
        <w:t xml:space="preserve">3.</w:t>
      </w:r>
      <w:r>
        <w:t xml:space="preserve"> </w:t>
      </w:r>
      <w:r>
        <w:t xml:space="preserve">	</w:t>
      </w:r>
      <w:r>
        <w:t xml:space="preserve">Chaves SS, Naeger S, Lounaci K, et al.</w:t>
      </w:r>
      <w:r>
        <w:t xml:space="preserve"> </w:t>
      </w:r>
      <w:hyperlink r:id="rId41">
        <w:r>
          <w:rPr>
            <w:rStyle w:val="Hyperlink"/>
          </w:rPr>
          <w:t xml:space="preserve">High-</w:t>
        </w:r>
        <w:r>
          <w:rPr>
            <w:rStyle w:val="Hyperlink"/>
          </w:rPr>
          <w:t xml:space="preserve">Dose Influenza Vaccine Is Associated With Reduced Mortality Among Older Adults With Breakthrough Influenza Even When There Is Poor Vaccine-Strain Match</w:t>
        </w:r>
      </w:hyperlink>
      <w:r>
        <w:t xml:space="preserve">. Clin Infect Dis.</w:t>
      </w:r>
      <w:r>
        <w:t xml:space="preserve"> </w:t>
      </w:r>
      <w:r>
        <w:rPr>
          <w:b/>
          <w:bCs/>
        </w:rPr>
        <w:t xml:space="preserve">2023</w:t>
      </w:r>
      <w:r>
        <w:t xml:space="preserve">; 77(7):1032–1042.</w:t>
      </w:r>
      <w:r>
        <w:t xml:space="preserve"> </w:t>
      </w:r>
    </w:p>
    <w:bookmarkEnd w:id="42"/>
    <w:bookmarkStart w:id="44" w:name="ref-diazgranados2014b"/>
    <w:p>
      <w:pPr>
        <w:pStyle w:val="Bibliography"/>
      </w:pPr>
      <w:r>
        <w:t xml:space="preserve">4.</w:t>
      </w:r>
      <w:r>
        <w:t xml:space="preserve"> </w:t>
      </w:r>
      <w:r>
        <w:t xml:space="preserve">	</w:t>
      </w:r>
      <w:r>
        <w:t xml:space="preserve">DiazGranados CA, Dunning AJ, Kimmel M, et al.</w:t>
      </w:r>
      <w:r>
        <w:t xml:space="preserve"> </w:t>
      </w:r>
      <w:hyperlink r:id="rId43">
        <w:r>
          <w:rPr>
            <w:rStyle w:val="Hyperlink"/>
          </w:rPr>
          <w:t xml:space="preserve">Efficacy of high-dose versus standard-dose influenza vaccine in older adults</w:t>
        </w:r>
      </w:hyperlink>
      <w:r>
        <w:t xml:space="preserve">. N Engl J Med.</w:t>
      </w:r>
      <w:r>
        <w:t xml:space="preserve"> </w:t>
      </w:r>
      <w:r>
        <w:rPr>
          <w:b/>
          <w:bCs/>
        </w:rPr>
        <w:t xml:space="preserve">2014</w:t>
      </w:r>
      <w:r>
        <w:t xml:space="preserve">; 371(7):635–645.</w:t>
      </w:r>
      <w:r>
        <w:t xml:space="preserve"> </w:t>
      </w:r>
    </w:p>
    <w:bookmarkEnd w:id="44"/>
    <w:bookmarkStart w:id="46" w:name="ref-dunning2016"/>
    <w:p>
      <w:pPr>
        <w:pStyle w:val="Bibliography"/>
      </w:pPr>
      <w:r>
        <w:t xml:space="preserve">5.</w:t>
      </w:r>
      <w:r>
        <w:t xml:space="preserve"> </w:t>
      </w:r>
      <w:r>
        <w:t xml:space="preserve">	</w:t>
      </w:r>
      <w:r>
        <w:t xml:space="preserve">Dunning AJ, DiazGranados CA, Voloshen T, Hu B, Landolfi VA, Talbot HK. Correlates of</w:t>
      </w:r>
      <w:r>
        <w:t xml:space="preserve"> </w:t>
      </w:r>
      <w:r>
        <w:t xml:space="preserve">Protection</w:t>
      </w:r>
      <w:r>
        <w:t xml:space="preserve"> </w:t>
      </w:r>
      <w:r>
        <w:t xml:space="preserve">against</w:t>
      </w:r>
      <w:r>
        <w:t xml:space="preserve"> </w:t>
      </w:r>
      <w:r>
        <w:t xml:space="preserve">Influenza</w:t>
      </w:r>
      <w:r>
        <w:t xml:space="preserve"> </w:t>
      </w:r>
      <w:r>
        <w:t xml:space="preserve">in the</w:t>
      </w:r>
      <w:r>
        <w:t xml:space="preserve"> </w:t>
      </w:r>
      <w:r>
        <w:t xml:space="preserve">Elderly</w:t>
      </w:r>
      <w:r>
        <w:t xml:space="preserve">:</w:t>
      </w:r>
      <w:r>
        <w:t xml:space="preserve"> </w:t>
      </w:r>
      <w:r>
        <w:t xml:space="preserve">Results</w:t>
      </w:r>
      <w:r>
        <w:t xml:space="preserve"> </w:t>
      </w:r>
      <w:r>
        <w:t xml:space="preserve">from an</w:t>
      </w:r>
      <w:r>
        <w:t xml:space="preserve"> </w:t>
      </w:r>
      <w:r>
        <w:t xml:space="preserve">Influenza Vaccine Efficacy Trial</w:t>
      </w:r>
      <w:r>
        <w:t xml:space="preserve">. Clin Vaccine Immunol [Internet]. American Society for Microbiology;</w:t>
      </w:r>
      <w:r>
        <w:t xml:space="preserve"> </w:t>
      </w:r>
      <w:r>
        <w:rPr>
          <w:b/>
          <w:bCs/>
        </w:rPr>
        <w:t xml:space="preserve">2016</w:t>
      </w:r>
      <w:r>
        <w:t xml:space="preserve"> </w:t>
      </w:r>
      <w:r>
        <w:t xml:space="preserve">[cited 2023 Jul 3]; 23(3):228–235. Available from:</w:t>
      </w:r>
      <w:r>
        <w:t xml:space="preserve"> </w:t>
      </w:r>
      <w:hyperlink r:id="rId45">
        <w:r>
          <w:rPr>
            <w:rStyle w:val="Hyperlink"/>
          </w:rPr>
          <w:t xml:space="preserve">https://journals.asm.org/doi/10.1128/CVI.00604-15</w:t>
        </w:r>
      </w:hyperlink>
    </w:p>
    <w:bookmarkEnd w:id="46"/>
    <w:bookmarkStart w:id="48" w:name="ref-izurieta2015"/>
    <w:p>
      <w:pPr>
        <w:pStyle w:val="Bibliography"/>
      </w:pPr>
      <w:r>
        <w:t xml:space="preserve">6.</w:t>
      </w:r>
      <w:r>
        <w:t xml:space="preserve"> </w:t>
      </w:r>
      <w:r>
        <w:t xml:space="preserve">	</w:t>
      </w:r>
      <w:r>
        <w:t xml:space="preserve">Izurieta HS, Thadani N, Shay DK, et al. Comparative effectiveness of high-dose versus standard-dose influenza vaccines in</w:t>
      </w:r>
      <w:r>
        <w:t xml:space="preserve"> </w:t>
      </w:r>
      <w:r>
        <w:t xml:space="preserve">US</w:t>
      </w:r>
      <w:r>
        <w:t xml:space="preserve"> </w:t>
      </w:r>
      <w:r>
        <w:t xml:space="preserve">residents aged 65 years and older from 2012 to 2013 using</w:t>
      </w:r>
      <w:r>
        <w:t xml:space="preserve"> </w:t>
      </w:r>
      <w:r>
        <w:t xml:space="preserve">Medicare</w:t>
      </w:r>
      <w:r>
        <w:t xml:space="preserve"> </w:t>
      </w:r>
      <w:r>
        <w:t xml:space="preserve">data: A retrospective cohort analysis. Lancet Infect Dis [Internet].</w:t>
      </w:r>
      <w:r>
        <w:t xml:space="preserve"> </w:t>
      </w:r>
      <w:r>
        <w:rPr>
          <w:b/>
          <w:bCs/>
        </w:rPr>
        <w:t xml:space="preserve">2015</w:t>
      </w:r>
      <w:r>
        <w:t xml:space="preserve"> </w:t>
      </w:r>
      <w:r>
        <w:t xml:space="preserve">[cited 2023 Sep 28]; 15(3):293–300. Available from:</w:t>
      </w:r>
      <w:r>
        <w:t xml:space="preserve"> </w:t>
      </w:r>
      <w:hyperlink r:id="rId47">
        <w:r>
          <w:rPr>
            <w:rStyle w:val="Hyperlink"/>
          </w:rPr>
          <w:t xml:space="preserve">https://linkinghub.elsevier.com/retrieve/pii/S1473309914710874</w:t>
        </w:r>
      </w:hyperlink>
    </w:p>
    <w:bookmarkEnd w:id="48"/>
    <w:bookmarkStart w:id="50" w:name="ref-paudel2020"/>
    <w:p>
      <w:pPr>
        <w:pStyle w:val="Bibliography"/>
      </w:pPr>
      <w:r>
        <w:t xml:space="preserve">7.</w:t>
      </w:r>
      <w:r>
        <w:t xml:space="preserve"> </w:t>
      </w:r>
      <w:r>
        <w:t xml:space="preserve">	</w:t>
      </w:r>
      <w:r>
        <w:t xml:space="preserve">Paudel M, Mahmud S, Buikema A, et al. Relative vaccine efficacy of high-dose versus standard-dose influenza vaccines in preventing probable influenza in a</w:t>
      </w:r>
      <w:r>
        <w:t xml:space="preserve"> </w:t>
      </w:r>
      <w:r>
        <w:t xml:space="preserve">Medicare Fee-for-Service</w:t>
      </w:r>
      <w:r>
        <w:t xml:space="preserve"> </w:t>
      </w:r>
      <w:r>
        <w:t xml:space="preserve">population. Vaccine [Internet].</w:t>
      </w:r>
      <w:r>
        <w:t xml:space="preserve"> </w:t>
      </w:r>
      <w:r>
        <w:rPr>
          <w:b/>
          <w:bCs/>
        </w:rPr>
        <w:t xml:space="preserve">2020</w:t>
      </w:r>
      <w:r>
        <w:t xml:space="preserve"> </w:t>
      </w:r>
      <w:r>
        <w:t xml:space="preserve">[cited 2023 Sep 28]; 38(29):4548–4556. Available from:</w:t>
      </w:r>
      <w:r>
        <w:t xml:space="preserve"> </w:t>
      </w:r>
      <w:hyperlink r:id="rId49">
        <w:r>
          <w:rPr>
            <w:rStyle w:val="Hyperlink"/>
          </w:rPr>
          <w:t xml:space="preserve">https://linkinghub.elsevier.com/retrieve/pii/S0264410X20306381</w:t>
        </w:r>
      </w:hyperlink>
    </w:p>
    <w:bookmarkEnd w:id="50"/>
    <w:bookmarkStart w:id="52" w:name="ref-robison2018"/>
    <w:p>
      <w:pPr>
        <w:pStyle w:val="Bibliography"/>
      </w:pPr>
      <w:r>
        <w:t xml:space="preserve">8.</w:t>
      </w:r>
      <w:r>
        <w:t xml:space="preserve"> </w:t>
      </w:r>
      <w:r>
        <w:t xml:space="preserve">	</w:t>
      </w:r>
      <w:r>
        <w:t xml:space="preserve">Robison SG, Thomas AR. Assessing the effectiveness of high-dose influenza vaccine in preventing hospitalization among seniors, and observations on the limitations of effectiveness study design. Vaccine [Internet].</w:t>
      </w:r>
      <w:r>
        <w:t xml:space="preserve"> </w:t>
      </w:r>
      <w:r>
        <w:rPr>
          <w:b/>
          <w:bCs/>
        </w:rPr>
        <w:t xml:space="preserve">2018</w:t>
      </w:r>
      <w:r>
        <w:t xml:space="preserve"> </w:t>
      </w:r>
      <w:r>
        <w:t xml:space="preserve">[cited 2023 Sep 28]; 36(45):6683–6687. Available from:</w:t>
      </w:r>
      <w:r>
        <w:t xml:space="preserve"> </w:t>
      </w:r>
      <w:hyperlink r:id="rId51">
        <w:r>
          <w:rPr>
            <w:rStyle w:val="Hyperlink"/>
          </w:rPr>
          <w:t xml:space="preserve">https://linkinghub.elsevier.com/retrieve/pii/S0264410X18313197</w:t>
        </w:r>
      </w:hyperlink>
    </w:p>
    <w:bookmarkEnd w:id="52"/>
    <w:bookmarkStart w:id="54" w:name="ref-wilkinson2017a"/>
    <w:p>
      <w:pPr>
        <w:pStyle w:val="Bibliography"/>
      </w:pPr>
      <w:r>
        <w:t xml:space="preserve">9.</w:t>
      </w:r>
      <w:r>
        <w:t xml:space="preserve"> </w:t>
      </w:r>
      <w:r>
        <w:t xml:space="preserve">	</w:t>
      </w:r>
      <w:r>
        <w:t xml:space="preserve">Wilkinson K, Wei Y, Szwajcer A, et al.</w:t>
      </w:r>
      <w:r>
        <w:t xml:space="preserve"> </w:t>
      </w:r>
      <w:hyperlink r:id="rId53">
        <w:r>
          <w:rPr>
            <w:rStyle w:val="Hyperlink"/>
          </w:rPr>
          <w:t xml:space="preserve">Efficacy and safety of high-dose influenza vaccine in elderly adults:</w:t>
        </w:r>
        <w:r>
          <w:rPr>
            <w:rStyle w:val="Hyperlink"/>
          </w:rPr>
          <w:t xml:space="preserve"> </w:t>
        </w:r>
        <w:r>
          <w:rPr>
            <w:rStyle w:val="Hyperlink"/>
          </w:rPr>
          <w:t xml:space="preserve">A</w:t>
        </w:r>
        <w:r>
          <w:rPr>
            <w:rStyle w:val="Hyperlink"/>
          </w:rPr>
          <w:t xml:space="preserve"> </w:t>
        </w:r>
        <w:r>
          <w:rPr>
            <w:rStyle w:val="Hyperlink"/>
          </w:rPr>
          <w:t xml:space="preserve">systematic review and meta-analysis</w:t>
        </w:r>
      </w:hyperlink>
      <w:r>
        <w:t xml:space="preserve">. Vaccine.</w:t>
      </w:r>
      <w:r>
        <w:t xml:space="preserve"> </w:t>
      </w:r>
      <w:r>
        <w:rPr>
          <w:b/>
          <w:bCs/>
        </w:rPr>
        <w:t xml:space="preserve">2017</w:t>
      </w:r>
      <w:r>
        <w:t xml:space="preserve">; 35(21):2775–2780.</w:t>
      </w:r>
      <w:r>
        <w:t xml:space="preserve"> </w:t>
      </w:r>
    </w:p>
    <w:bookmarkEnd w:id="54"/>
    <w:bookmarkStart w:id="56" w:name="ref-cdc2023"/>
    <w:p>
      <w:pPr>
        <w:pStyle w:val="Bibliography"/>
      </w:pPr>
      <w:r>
        <w:t xml:space="preserve">10.</w:t>
      </w:r>
      <w:r>
        <w:t xml:space="preserve"> </w:t>
      </w:r>
      <w:r>
        <w:t xml:space="preserve">	</w:t>
      </w:r>
      <w:r>
        <w:t xml:space="preserve">CDC. Fluzone</w:t>
      </w:r>
      <w:r>
        <w:t xml:space="preserve"> </w:t>
      </w:r>
      <w:r>
        <w:t xml:space="preserve">High-Dose Seasonal Influenza Vaccine</w:t>
      </w:r>
      <w:r>
        <w:t xml:space="preserve"> </w:t>
      </w:r>
      <w:r>
        <w:t xml:space="preserve">[Internet]. Centers for Disease Control; Prevention; 2023 [cited 2023 Sep 28]. Available from:</w:t>
      </w:r>
      <w:r>
        <w:t xml:space="preserve"> </w:t>
      </w:r>
      <w:hyperlink r:id="rId55">
        <w:r>
          <w:rPr>
            <w:rStyle w:val="Hyperlink"/>
          </w:rPr>
          <w:t xml:space="preserve">https://www.cdc.gov/flu/prevent/qa_fluzone.htm</w:t>
        </w:r>
      </w:hyperlink>
    </w:p>
    <w:bookmarkEnd w:id="56"/>
    <w:bookmarkStart w:id="58" w:name="ref-lee2021"/>
    <w:p>
      <w:pPr>
        <w:pStyle w:val="Bibliography"/>
      </w:pPr>
      <w:r>
        <w:t xml:space="preserve">11.</w:t>
      </w:r>
      <w:r>
        <w:t xml:space="preserve"> </w:t>
      </w:r>
      <w:r>
        <w:t xml:space="preserve">	</w:t>
      </w:r>
      <w:r>
        <w:t xml:space="preserve">Lee JKH, Lam GKL, Shin T, Samson SI, Greenberg DP, Chit A.</w:t>
      </w:r>
      <w:r>
        <w:t xml:space="preserve"> </w:t>
      </w:r>
      <w:hyperlink r:id="rId57">
        <w:r>
          <w:rPr>
            <w:rStyle w:val="Hyperlink"/>
          </w:rPr>
          <w:t xml:space="preserve">Efficacy and effectiveness of high-dose influenza vaccine in older adults by circulating strain and antigenic match:</w:t>
        </w:r>
        <w:r>
          <w:rPr>
            <w:rStyle w:val="Hyperlink"/>
          </w:rPr>
          <w:t xml:space="preserve"> </w:t>
        </w:r>
        <w:r>
          <w:rPr>
            <w:rStyle w:val="Hyperlink"/>
          </w:rPr>
          <w:t xml:space="preserve">An</w:t>
        </w:r>
        <w:r>
          <w:rPr>
            <w:rStyle w:val="Hyperlink"/>
          </w:rPr>
          <w:t xml:space="preserve"> </w:t>
        </w:r>
        <w:r>
          <w:rPr>
            <w:rStyle w:val="Hyperlink"/>
          </w:rPr>
          <w:t xml:space="preserve">updated systematic review and meta-analysis</w:t>
        </w:r>
      </w:hyperlink>
      <w:r>
        <w:t xml:space="preserve">. Vaccine.</w:t>
      </w:r>
      <w:r>
        <w:t xml:space="preserve"> </w:t>
      </w:r>
      <w:r>
        <w:rPr>
          <w:b/>
          <w:bCs/>
        </w:rPr>
        <w:t xml:space="preserve">2021</w:t>
      </w:r>
      <w:r>
        <w:t xml:space="preserve">; 39 Suppl 1:A24–A35.</w:t>
      </w:r>
      <w:r>
        <w:t xml:space="preserve"> </w:t>
      </w:r>
    </w:p>
    <w:bookmarkEnd w:id="58"/>
    <w:bookmarkStart w:id="60" w:name="ref-lee2023"/>
    <w:p>
      <w:pPr>
        <w:pStyle w:val="Bibliography"/>
      </w:pPr>
      <w:r>
        <w:t xml:space="preserve">12.</w:t>
      </w:r>
      <w:r>
        <w:t xml:space="preserve"> </w:t>
      </w:r>
      <w:r>
        <w:t xml:space="preserve">	</w:t>
      </w:r>
      <w:r>
        <w:t xml:space="preserve">Lee JKH, Lam GKL, Yin JK, Loiacono MM, Samson SI. High-dose influenza vaccine in older adults by age and seasonal characteristics:</w:t>
      </w:r>
      <w:r>
        <w:t xml:space="preserve"> </w:t>
      </w:r>
      <w:r>
        <w:t xml:space="preserve">Systematic</w:t>
      </w:r>
      <w:r>
        <w:t xml:space="preserve"> </w:t>
      </w:r>
      <w:r>
        <w:t xml:space="preserve">review and meta-analysis update. Vaccine X [Internet].</w:t>
      </w:r>
      <w:r>
        <w:t xml:space="preserve"> </w:t>
      </w:r>
      <w:r>
        <w:rPr>
          <w:b/>
          <w:bCs/>
        </w:rPr>
        <w:t xml:space="preserve">2023</w:t>
      </w:r>
      <w:r>
        <w:t xml:space="preserve"> </w:t>
      </w:r>
      <w:r>
        <w:t xml:space="preserve">[cited 2023 Dec 17]; 14:100327. Available from:</w:t>
      </w:r>
      <w:r>
        <w:t xml:space="preserve"> </w:t>
      </w:r>
      <w:hyperlink r:id="rId59">
        <w:r>
          <w:rPr>
            <w:rStyle w:val="Hyperlink"/>
          </w:rPr>
          <w:t xml:space="preserve">https://www.ncbi.nlm.nih.gov/pmc/articles/PMC10276206/</w:t>
        </w:r>
      </w:hyperlink>
    </w:p>
    <w:bookmarkEnd w:id="60"/>
    <w:bookmarkStart w:id="62" w:name="ref-mcmenamin2022"/>
    <w:p>
      <w:pPr>
        <w:pStyle w:val="Bibliography"/>
      </w:pPr>
      <w:r>
        <w:t xml:space="preserve">13.</w:t>
      </w:r>
      <w:r>
        <w:t xml:space="preserve"> </w:t>
      </w:r>
      <w:r>
        <w:t xml:space="preserve">	</w:t>
      </w:r>
      <w:r>
        <w:t xml:space="preserve">McMenamin ME, Bond HS, Sullivan SG, Cowling BJ.</w:t>
      </w:r>
      <w:r>
        <w:t xml:space="preserve"> </w:t>
      </w:r>
      <w:hyperlink r:id="rId61">
        <w:r>
          <w:rPr>
            <w:rStyle w:val="Hyperlink"/>
          </w:rPr>
          <w:t xml:space="preserve">Estimation of</w:t>
        </w:r>
        <w:r>
          <w:rPr>
            <w:rStyle w:val="Hyperlink"/>
          </w:rPr>
          <w:t xml:space="preserve"> </w:t>
        </w:r>
        <w:r>
          <w:rPr>
            <w:rStyle w:val="Hyperlink"/>
          </w:rPr>
          <w:t xml:space="preserve">Relative Vaccine Effectiveness</w:t>
        </w:r>
        <w:r>
          <w:rPr>
            <w:rStyle w:val="Hyperlink"/>
          </w:rPr>
          <w:t xml:space="preserve"> </w:t>
        </w:r>
        <w:r>
          <w:rPr>
            <w:rStyle w:val="Hyperlink"/>
          </w:rPr>
          <w:t xml:space="preserve">in</w:t>
        </w:r>
        <w:r>
          <w:rPr>
            <w:rStyle w:val="Hyperlink"/>
          </w:rPr>
          <w:t xml:space="preserve"> </w:t>
        </w:r>
        <w:r>
          <w:rPr>
            <w:rStyle w:val="Hyperlink"/>
          </w:rPr>
          <w:t xml:space="preserve">Influenza</w:t>
        </w:r>
        <w:r>
          <w:rPr>
            <w:rStyle w:val="Hyperlink"/>
          </w:rPr>
          <w:t xml:space="preserve">:</w:t>
        </w:r>
        <w:r>
          <w:rPr>
            <w:rStyle w:val="Hyperlink"/>
          </w:rPr>
          <w:t xml:space="preserve"> </w:t>
        </w:r>
        <w:r>
          <w:rPr>
            <w:rStyle w:val="Hyperlink"/>
          </w:rPr>
          <w:t xml:space="preserve">A Systematic Review</w:t>
        </w:r>
        <w:r>
          <w:rPr>
            <w:rStyle w:val="Hyperlink"/>
          </w:rPr>
          <w:t xml:space="preserve"> </w:t>
        </w:r>
        <w:r>
          <w:rPr>
            <w:rStyle w:val="Hyperlink"/>
          </w:rPr>
          <w:t xml:space="preserve">of</w:t>
        </w:r>
        <w:r>
          <w:rPr>
            <w:rStyle w:val="Hyperlink"/>
          </w:rPr>
          <w:t xml:space="preserve"> </w:t>
        </w:r>
        <w:r>
          <w:rPr>
            <w:rStyle w:val="Hyperlink"/>
          </w:rPr>
          <w:t xml:space="preserve">Methodology</w:t>
        </w:r>
      </w:hyperlink>
      <w:r>
        <w:t xml:space="preserve">. Epidemiology.</w:t>
      </w:r>
      <w:r>
        <w:t xml:space="preserve"> </w:t>
      </w:r>
      <w:r>
        <w:rPr>
          <w:b/>
          <w:bCs/>
        </w:rPr>
        <w:t xml:space="preserve">2022</w:t>
      </w:r>
      <w:r>
        <w:t xml:space="preserve">; 33(3):334–345.</w:t>
      </w:r>
      <w:r>
        <w:t xml:space="preserve"> </w:t>
      </w:r>
    </w:p>
    <w:bookmarkEnd w:id="62"/>
    <w:bookmarkStart w:id="64" w:name="ref-cdc2022"/>
    <w:p>
      <w:pPr>
        <w:pStyle w:val="Bibliography"/>
      </w:pPr>
      <w:r>
        <w:t xml:space="preserve">14.</w:t>
      </w:r>
      <w:r>
        <w:t xml:space="preserve"> </w:t>
      </w:r>
      <w:r>
        <w:t xml:space="preserve">	</w:t>
      </w:r>
      <w:r>
        <w:t xml:space="preserve">CDC. Seasonal</w:t>
      </w:r>
      <w:r>
        <w:t xml:space="preserve"> </w:t>
      </w:r>
      <w:r>
        <w:t xml:space="preserve">Flu Vaccine Effectiveness Studies</w:t>
      </w:r>
      <w:r>
        <w:t xml:space="preserve"> </w:t>
      </w:r>
      <w:r>
        <w:t xml:space="preserve">[Internet]. 2022 [cited 2023 May 5]. Available from:</w:t>
      </w:r>
      <w:r>
        <w:t xml:space="preserve"> </w:t>
      </w:r>
      <w:hyperlink r:id="rId63">
        <w:r>
          <w:rPr>
            <w:rStyle w:val="Hyperlink"/>
          </w:rPr>
          <w:t xml:space="preserve">https://www.cdc.gov/flu/vaccines-work/effectiveness-studies.htm</w:t>
        </w:r>
      </w:hyperlink>
    </w:p>
    <w:bookmarkEnd w:id="64"/>
    <w:bookmarkStart w:id="66" w:name="ref-fda2007a"/>
    <w:p>
      <w:pPr>
        <w:pStyle w:val="Bibliography"/>
      </w:pPr>
      <w:r>
        <w:t xml:space="preserve">15.</w:t>
      </w:r>
      <w:r>
        <w:t xml:space="preserve"> </w:t>
      </w:r>
      <w:r>
        <w:t xml:space="preserve">	</w:t>
      </w:r>
      <w:r>
        <w:t xml:space="preserve">FDA. Guidance for</w:t>
      </w:r>
      <w:r>
        <w:t xml:space="preserve"> </w:t>
      </w:r>
      <w:r>
        <w:t xml:space="preserve">Industry</w:t>
      </w:r>
      <w:r>
        <w:t xml:space="preserve">:</w:t>
      </w:r>
      <w:r>
        <w:t xml:space="preserve"> </w:t>
      </w:r>
      <w:r>
        <w:t xml:space="preserve">Clinical Data Needed</w:t>
      </w:r>
      <w:r>
        <w:t xml:space="preserve"> </w:t>
      </w:r>
      <w:r>
        <w:t xml:space="preserve">to</w:t>
      </w:r>
      <w:r>
        <w:t xml:space="preserve"> </w:t>
      </w:r>
      <w:r>
        <w:t xml:space="preserve">Support</w:t>
      </w:r>
      <w:r>
        <w:t xml:space="preserve"> </w:t>
      </w:r>
      <w:r>
        <w:t xml:space="preserve">the</w:t>
      </w:r>
      <w:r>
        <w:t xml:space="preserve"> </w:t>
      </w:r>
      <w:r>
        <w:t xml:space="preserve">Licensure</w:t>
      </w:r>
      <w:r>
        <w:t xml:space="preserve"> </w:t>
      </w:r>
      <w:r>
        <w:t xml:space="preserve">of</w:t>
      </w:r>
      <w:r>
        <w:t xml:space="preserve"> </w:t>
      </w:r>
      <w:r>
        <w:t xml:space="preserve">Pandemic Influenza Vaccines</w:t>
      </w:r>
      <w:r>
        <w:t xml:space="preserve">.</w:t>
      </w:r>
      <w:r>
        <w:t xml:space="preserve"> </w:t>
      </w:r>
      <w:r>
        <w:rPr>
          <w:b/>
          <w:bCs/>
        </w:rPr>
        <w:t xml:space="preserve">2007</w:t>
      </w:r>
      <w:r>
        <w:t xml:space="preserve">; Available from:</w:t>
      </w:r>
      <w:r>
        <w:t xml:space="preserve"> </w:t>
      </w:r>
      <w:hyperlink r:id="rId65">
        <w:r>
          <w:rPr>
            <w:rStyle w:val="Hyperlink"/>
          </w:rPr>
          <w:t xml:space="preserve">https://www.fda.gov/regulatory-information/search-fda-guidance-documents/clinical-data-needed-support-licensure-pandemic-influenza-vaccines</w:t>
        </w:r>
      </w:hyperlink>
    </w:p>
    <w:bookmarkEnd w:id="66"/>
    <w:bookmarkStart w:id="67" w:name="ref-fda2007"/>
    <w:p>
      <w:pPr>
        <w:pStyle w:val="Bibliography"/>
      </w:pPr>
      <w:r>
        <w:t xml:space="preserve">16.</w:t>
      </w:r>
      <w:r>
        <w:t xml:space="preserve"> </w:t>
      </w:r>
      <w:r>
        <w:t xml:space="preserve">	</w:t>
      </w:r>
      <w:r>
        <w:t xml:space="preserve">FDA. Guidance for</w:t>
      </w:r>
      <w:r>
        <w:t xml:space="preserve"> </w:t>
      </w:r>
      <w:r>
        <w:t xml:space="preserve">Industry</w:t>
      </w:r>
      <w:r>
        <w:t xml:space="preserve">:</w:t>
      </w:r>
      <w:r>
        <w:t xml:space="preserve"> </w:t>
      </w:r>
      <w:r>
        <w:t xml:space="preserve">Clinical Data Needed</w:t>
      </w:r>
      <w:r>
        <w:t xml:space="preserve"> </w:t>
      </w:r>
      <w:r>
        <w:t xml:space="preserve">to</w:t>
      </w:r>
      <w:r>
        <w:t xml:space="preserve"> </w:t>
      </w:r>
      <w:r>
        <w:t xml:space="preserve">Support</w:t>
      </w:r>
      <w:r>
        <w:t xml:space="preserve"> </w:t>
      </w:r>
      <w:r>
        <w:t xml:space="preserve">the</w:t>
      </w:r>
      <w:r>
        <w:t xml:space="preserve"> </w:t>
      </w:r>
      <w:r>
        <w:t xml:space="preserve">Licensure</w:t>
      </w:r>
      <w:r>
        <w:t xml:space="preserve"> </w:t>
      </w:r>
      <w:r>
        <w:t xml:space="preserve">of</w:t>
      </w:r>
      <w:r>
        <w:t xml:space="preserve"> </w:t>
      </w:r>
      <w:r>
        <w:t xml:space="preserve">Seasonal Inactivated Influenza Vaccines</w:t>
      </w:r>
      <w:r>
        <w:t xml:space="preserve">.</w:t>
      </w:r>
      <w:r>
        <w:t xml:space="preserve"> </w:t>
      </w:r>
      <w:r>
        <w:rPr>
          <w:b/>
          <w:bCs/>
        </w:rPr>
        <w:t xml:space="preserve">2007</w:t>
      </w:r>
      <w:r>
        <w:t xml:space="preserve">;</w:t>
      </w:r>
      <w:r>
        <w:t xml:space="preserve"> </w:t>
      </w:r>
    </w:p>
    <w:bookmarkEnd w:id="67"/>
    <w:bookmarkStart w:id="69" w:name="ref-weir2016a"/>
    <w:p>
      <w:pPr>
        <w:pStyle w:val="Bibliography"/>
      </w:pPr>
      <w:r>
        <w:t xml:space="preserve">17.</w:t>
      </w:r>
      <w:r>
        <w:t xml:space="preserve"> </w:t>
      </w:r>
      <w:r>
        <w:t xml:space="preserve">	</w:t>
      </w:r>
      <w:r>
        <w:t xml:space="preserve">Weir JP, Gruber MF. An overview of the regulation of influenza vaccines in the</w:t>
      </w:r>
      <w:r>
        <w:t xml:space="preserve"> </w:t>
      </w:r>
      <w:r>
        <w:t xml:space="preserve">United States</w:t>
      </w:r>
      <w:r>
        <w:t xml:space="preserve">. Influenza Other Respir Viruses [Internet].</w:t>
      </w:r>
      <w:r>
        <w:t xml:space="preserve"> </w:t>
      </w:r>
      <w:r>
        <w:rPr>
          <w:b/>
          <w:bCs/>
        </w:rPr>
        <w:t xml:space="preserve">2016</w:t>
      </w:r>
      <w:r>
        <w:t xml:space="preserve"> </w:t>
      </w:r>
      <w:r>
        <w:t xml:space="preserve">[cited 2023 Sep 27]; 10(5):354–360. Available from:</w:t>
      </w:r>
      <w:r>
        <w:t xml:space="preserve"> </w:t>
      </w:r>
      <w:hyperlink r:id="rId68">
        <w:r>
          <w:rPr>
            <w:rStyle w:val="Hyperlink"/>
          </w:rPr>
          <w:t xml:space="preserve">https://www.ncbi.nlm.nih.gov/pmc/articles/PMC4947948/</w:t>
        </w:r>
      </w:hyperlink>
    </w:p>
    <w:bookmarkEnd w:id="69"/>
    <w:bookmarkStart w:id="71" w:name="ref-hobson1972"/>
    <w:p>
      <w:pPr>
        <w:pStyle w:val="Bibliography"/>
      </w:pPr>
      <w:r>
        <w:t xml:space="preserve">18.</w:t>
      </w:r>
      <w:r>
        <w:t xml:space="preserve"> </w:t>
      </w:r>
      <w:r>
        <w:t xml:space="preserve">	</w:t>
      </w:r>
      <w:r>
        <w:t xml:space="preserve">Hobson D, Curry RL, Beare AS, Ward-Gardner A. The role of serum haemagglutination-inhibiting antibody in protection against challenge infection with influenza</w:t>
      </w:r>
      <w:r>
        <w:t xml:space="preserve"> </w:t>
      </w:r>
      <w:r>
        <w:t xml:space="preserve">A2</w:t>
      </w:r>
      <w:r>
        <w:t xml:space="preserve"> </w:t>
      </w:r>
      <w:r>
        <w:t xml:space="preserve">and</w:t>
      </w:r>
      <w:r>
        <w:t xml:space="preserve"> </w:t>
      </w:r>
      <w:r>
        <w:t xml:space="preserve">B</w:t>
      </w:r>
      <w:r>
        <w:t xml:space="preserve"> </w:t>
      </w:r>
      <w:r>
        <w:t xml:space="preserve">viruses. Epidemiol Infect [Internet]. Cambridge University Press;</w:t>
      </w:r>
      <w:r>
        <w:t xml:space="preserve"> </w:t>
      </w:r>
      <w:r>
        <w:rPr>
          <w:b/>
          <w:bCs/>
        </w:rPr>
        <w:t xml:space="preserve">1972</w:t>
      </w:r>
      <w:r>
        <w:t xml:space="preserve"> </w:t>
      </w:r>
      <w:r>
        <w:t xml:space="preserve">[cited 2022 May 9]; 70(4):767–777. Available from:</w:t>
      </w:r>
      <w:r>
        <w:t xml:space="preserve"> </w:t>
      </w:r>
      <w:hyperlink r:id="rId70">
        <w:r>
          <w:rPr>
            <w:rStyle w:val="Hyperlink"/>
          </w:rPr>
          <w:t xml:space="preserve">https://www.cambridge.org/core/journals/epidemiology-and-infection/article/role-of-serum-haemagglutinationinhibiting-antibody-in-protection-against-challenge-infection-with-influenza-a2-and-b-viruses/BE4AB655EE41499C5C25349AEDD22C20</w:t>
        </w:r>
      </w:hyperlink>
    </w:p>
    <w:bookmarkEnd w:id="71"/>
    <w:bookmarkStart w:id="73" w:name="ref-ohmit2011"/>
    <w:p>
      <w:pPr>
        <w:pStyle w:val="Bibliography"/>
      </w:pPr>
      <w:r>
        <w:t xml:space="preserve">19.</w:t>
      </w:r>
      <w:r>
        <w:t xml:space="preserve"> </w:t>
      </w:r>
      <w:r>
        <w:t xml:space="preserve">	</w:t>
      </w:r>
      <w:r>
        <w:t xml:space="preserve">Ohmit SE, Petrie JG, Cross RT, Johnson E, Monto AS.</w:t>
      </w:r>
      <w:r>
        <w:t xml:space="preserve"> </w:t>
      </w:r>
      <w:hyperlink r:id="rId72">
        <w:r>
          <w:rPr>
            <w:rStyle w:val="Hyperlink"/>
          </w:rPr>
          <w:t xml:space="preserve">Influenza hemagglutination-inhibition antibody titer as a correlate of vaccine-induced protection</w:t>
        </w:r>
      </w:hyperlink>
      <w:r>
        <w:t xml:space="preserve">. J Infect Dis.</w:t>
      </w:r>
      <w:r>
        <w:t xml:space="preserve"> </w:t>
      </w:r>
      <w:r>
        <w:rPr>
          <w:b/>
          <w:bCs/>
        </w:rPr>
        <w:t xml:space="preserve">2011</w:t>
      </w:r>
      <w:r>
        <w:t xml:space="preserve">; 204(12):1879–1885.</w:t>
      </w:r>
      <w:r>
        <w:t xml:space="preserve"> </w:t>
      </w:r>
    </w:p>
    <w:bookmarkEnd w:id="73"/>
    <w:bookmarkStart w:id="75" w:name="ref-cox2013"/>
    <w:p>
      <w:pPr>
        <w:pStyle w:val="Bibliography"/>
      </w:pPr>
      <w:r>
        <w:t xml:space="preserve">20.</w:t>
      </w:r>
      <w:r>
        <w:t xml:space="preserve"> </w:t>
      </w:r>
      <w:r>
        <w:t xml:space="preserve">	</w:t>
      </w:r>
      <w:r>
        <w:t xml:space="preserve">Cox R. Correlates of protection to influenza virus, where do we go from here? Hum Vaccin Immunother [Internet]. Taylor &amp; Francis;</w:t>
      </w:r>
      <w:r>
        <w:t xml:space="preserve"> </w:t>
      </w:r>
      <w:r>
        <w:rPr>
          <w:b/>
          <w:bCs/>
        </w:rPr>
        <w:t xml:space="preserve">2013</w:t>
      </w:r>
      <w:r>
        <w:t xml:space="preserve"> </w:t>
      </w:r>
      <w:r>
        <w:t xml:space="preserve">[cited 2023 May 16]; 9(2):405–408. Available from:</w:t>
      </w:r>
      <w:r>
        <w:t xml:space="preserve"> </w:t>
      </w:r>
      <w:hyperlink r:id="rId74">
        <w:r>
          <w:rPr>
            <w:rStyle w:val="Hyperlink"/>
          </w:rPr>
          <w:t xml:space="preserve">https://doi.org/10.4161/hv.22908</w:t>
        </w:r>
      </w:hyperlink>
    </w:p>
    <w:bookmarkEnd w:id="75"/>
    <w:bookmarkStart w:id="77" w:name="ref-krammer2020"/>
    <w:p>
      <w:pPr>
        <w:pStyle w:val="Bibliography"/>
      </w:pPr>
      <w:r>
        <w:t xml:space="preserve">21.</w:t>
      </w:r>
      <w:r>
        <w:t xml:space="preserve"> </w:t>
      </w:r>
      <w:r>
        <w:t xml:space="preserve">	</w:t>
      </w:r>
      <w:r>
        <w:t xml:space="preserve">Krammer F, Weir JP, Engelhardt O, Katz JM, Cox RJ.</w:t>
      </w:r>
      <w:r>
        <w:t xml:space="preserve"> </w:t>
      </w:r>
      <w:hyperlink r:id="rId76">
        <w:r>
          <w:rPr>
            <w:rStyle w:val="Hyperlink"/>
          </w:rPr>
          <w:t xml:space="preserve">Meeting report and review:</w:t>
        </w:r>
        <w:r>
          <w:rPr>
            <w:rStyle w:val="Hyperlink"/>
          </w:rPr>
          <w:t xml:space="preserve"> </w:t>
        </w:r>
        <w:r>
          <w:rPr>
            <w:rStyle w:val="Hyperlink"/>
          </w:rPr>
          <w:t xml:space="preserve">Immunological</w:t>
        </w:r>
        <w:r>
          <w:rPr>
            <w:rStyle w:val="Hyperlink"/>
          </w:rPr>
          <w:t xml:space="preserve"> </w:t>
        </w:r>
        <w:r>
          <w:rPr>
            <w:rStyle w:val="Hyperlink"/>
          </w:rPr>
          <w:t xml:space="preserve">assays and correlates of protection for next-generation influenza vaccines</w:t>
        </w:r>
      </w:hyperlink>
      <w:r>
        <w:t xml:space="preserve">. Influenza Other Respir Viruses.</w:t>
      </w:r>
      <w:r>
        <w:t xml:space="preserve"> </w:t>
      </w:r>
      <w:r>
        <w:rPr>
          <w:b/>
          <w:bCs/>
        </w:rPr>
        <w:t xml:space="preserve">2020</w:t>
      </w:r>
      <w:r>
        <w:t xml:space="preserve">; 14(2):237–243.</w:t>
      </w:r>
      <w:r>
        <w:t xml:space="preserve"> </w:t>
      </w:r>
    </w:p>
    <w:bookmarkEnd w:id="77"/>
    <w:bookmarkStart w:id="79" w:name="ref-dunning2006"/>
    <w:p>
      <w:pPr>
        <w:pStyle w:val="Bibliography"/>
      </w:pPr>
      <w:r>
        <w:t xml:space="preserve">22.</w:t>
      </w:r>
      <w:r>
        <w:t xml:space="preserve"> </w:t>
      </w:r>
      <w:r>
        <w:t xml:space="preserve">	</w:t>
      </w:r>
      <w:r>
        <w:t xml:space="preserve">Dunning AJ.</w:t>
      </w:r>
      <w:r>
        <w:t xml:space="preserve"> </w:t>
      </w:r>
      <w:hyperlink r:id="rId78">
        <w:r>
          <w:rPr>
            <w:rStyle w:val="Hyperlink"/>
          </w:rPr>
          <w:t xml:space="preserve">A model for immunological correlates of protection</w:t>
        </w:r>
      </w:hyperlink>
      <w:r>
        <w:t xml:space="preserve">. Stat Med.</w:t>
      </w:r>
      <w:r>
        <w:t xml:space="preserve"> </w:t>
      </w:r>
      <w:r>
        <w:rPr>
          <w:b/>
          <w:bCs/>
        </w:rPr>
        <w:t xml:space="preserve">2006</w:t>
      </w:r>
      <w:r>
        <w:t xml:space="preserve">; 25(9):1485–1497.</w:t>
      </w:r>
      <w:r>
        <w:t xml:space="preserve"> </w:t>
      </w:r>
    </w:p>
    <w:bookmarkEnd w:id="79"/>
    <w:bookmarkStart w:id="81" w:name="ref-ng2013a"/>
    <w:p>
      <w:pPr>
        <w:pStyle w:val="Bibliography"/>
      </w:pPr>
      <w:r>
        <w:t xml:space="preserve">23.</w:t>
      </w:r>
      <w:r>
        <w:t xml:space="preserve"> </w:t>
      </w:r>
      <w:r>
        <w:t xml:space="preserve">	</w:t>
      </w:r>
      <w:r>
        <w:t xml:space="preserve">Ng S, Fang VJ, Ip DKM, et al.</w:t>
      </w:r>
      <w:r>
        <w:t xml:space="preserve"> </w:t>
      </w:r>
      <w:hyperlink r:id="rId80">
        <w:r>
          <w:rPr>
            <w:rStyle w:val="Hyperlink"/>
          </w:rPr>
          <w:t xml:space="preserve">Estimation of the association between antibody titers and protection against confirmed influenza virus infection in children</w:t>
        </w:r>
      </w:hyperlink>
      <w:r>
        <w:t xml:space="preserve">. J Infect Dis.</w:t>
      </w:r>
      <w:r>
        <w:t xml:space="preserve"> </w:t>
      </w:r>
      <w:r>
        <w:rPr>
          <w:b/>
          <w:bCs/>
        </w:rPr>
        <w:t xml:space="preserve">2013</w:t>
      </w:r>
      <w:r>
        <w:t xml:space="preserve">; 208(8):1320–1324.</w:t>
      </w:r>
      <w:r>
        <w:t xml:space="preserve"> </w:t>
      </w:r>
    </w:p>
    <w:bookmarkEnd w:id="81"/>
    <w:bookmarkStart w:id="82" w:name="ref-feldstein16"/>
    <w:p>
      <w:pPr>
        <w:pStyle w:val="Bibliography"/>
      </w:pPr>
      <w:r>
        <w:t xml:space="preserve">24.</w:t>
      </w:r>
      <w:r>
        <w:t xml:space="preserve"> </w:t>
      </w:r>
      <w:r>
        <w:t xml:space="preserve">	</w:t>
      </w:r>
      <w:r>
        <w:t xml:space="preserve">Feldstein LR, Matrajt L, Elizabeth Halloran M, Keitel WA, Longini IM Jr, H5N1 Vaccine Working Group. Extrapolating theoretical efficacy of inactivated influenza</w:t>
      </w:r>
      <w:r>
        <w:t xml:space="preserve"> </w:t>
      </w:r>
      <w:r>
        <w:t xml:space="preserve">A</w:t>
      </w:r>
      <w:r>
        <w:t xml:space="preserve">/</w:t>
      </w:r>
      <w:r>
        <w:t xml:space="preserve">H5N1</w:t>
      </w:r>
      <w:r>
        <w:t xml:space="preserve"> </w:t>
      </w:r>
      <w:r>
        <w:t xml:space="preserve">virus vaccine from human immunogenicity studies. Vaccine.</w:t>
      </w:r>
      <w:r>
        <w:t xml:space="preserve"> </w:t>
      </w:r>
      <w:r>
        <w:rPr>
          <w:b/>
          <w:bCs/>
        </w:rPr>
        <w:t xml:space="preserve">2016</w:t>
      </w:r>
      <w:r>
        <w:t xml:space="preserve">; 34(33):3796–3802.</w:t>
      </w:r>
      <w:r>
        <w:t xml:space="preserve"> </w:t>
      </w:r>
    </w:p>
    <w:bookmarkEnd w:id="82"/>
    <w:bookmarkStart w:id="84" w:name="ref-coudeville2010b"/>
    <w:p>
      <w:pPr>
        <w:pStyle w:val="Bibliography"/>
      </w:pPr>
      <w:r>
        <w:t xml:space="preserve">25.</w:t>
      </w:r>
      <w:r>
        <w:t xml:space="preserve"> </w:t>
      </w:r>
      <w:r>
        <w:t xml:space="preserve">	</w:t>
      </w:r>
      <w:r>
        <w:t xml:space="preserve">Coudeville L, Bailleux F, Riche B, Megas F, Andre P, Ecochard R.</w:t>
      </w:r>
      <w:r>
        <w:t xml:space="preserve"> </w:t>
      </w:r>
      <w:hyperlink r:id="rId83">
        <w:r>
          <w:rPr>
            <w:rStyle w:val="Hyperlink"/>
          </w:rPr>
          <w:t xml:space="preserve">Relationship between haemagglutination-inhibiting antibody titres and clinical protection against influenza:</w:t>
        </w:r>
        <w:r>
          <w:rPr>
            <w:rStyle w:val="Hyperlink"/>
          </w:rPr>
          <w:t xml:space="preserve"> </w:t>
        </w:r>
        <w:r>
          <w:rPr>
            <w:rStyle w:val="Hyperlink"/>
          </w:rPr>
          <w:t xml:space="preserve">Development</w:t>
        </w:r>
        <w:r>
          <w:rPr>
            <w:rStyle w:val="Hyperlink"/>
          </w:rPr>
          <w:t xml:space="preserve"> </w:t>
        </w:r>
        <w:r>
          <w:rPr>
            <w:rStyle w:val="Hyperlink"/>
          </w:rPr>
          <w:t xml:space="preserve">and application of a bayesian random-effects model.</w:t>
        </w:r>
      </w:hyperlink>
      <w:r>
        <w:t xml:space="preserve"> BMC Med Res Methodol.</w:t>
      </w:r>
      <w:r>
        <w:t xml:space="preserve"> </w:t>
      </w:r>
      <w:r>
        <w:rPr>
          <w:b/>
          <w:bCs/>
        </w:rPr>
        <w:t xml:space="preserve">2010</w:t>
      </w:r>
      <w:r>
        <w:t xml:space="preserve">; 10(1):18.</w:t>
      </w:r>
      <w:r>
        <w:t xml:space="preserve"> </w:t>
      </w:r>
    </w:p>
    <w:bookmarkEnd w:id="84"/>
    <w:bookmarkStart w:id="86" w:name="ref-dudasova2021"/>
    <w:p>
      <w:pPr>
        <w:pStyle w:val="Bibliography"/>
      </w:pPr>
      <w:r>
        <w:t xml:space="preserve">26.</w:t>
      </w:r>
      <w:r>
        <w:t xml:space="preserve"> </w:t>
      </w:r>
      <w:r>
        <w:t xml:space="preserve">	</w:t>
      </w:r>
      <w:r>
        <w:t xml:space="preserve">Dudášová J, Laube R, Valiathan C, et al. A method to estimate probability of disease and vaccine efficacy from clinical trial immunogenicity data. npj Vaccines [Internet].</w:t>
      </w:r>
      <w:r>
        <w:t xml:space="preserve"> </w:t>
      </w:r>
      <w:r>
        <w:rPr>
          <w:b/>
          <w:bCs/>
        </w:rPr>
        <w:t xml:space="preserve">2021</w:t>
      </w:r>
      <w:r>
        <w:t xml:space="preserve"> </w:t>
      </w:r>
      <w:r>
        <w:t xml:space="preserve">[cited 2023 Mar 30]; 6(1):133. Available from:</w:t>
      </w:r>
      <w:r>
        <w:t xml:space="preserve"> </w:t>
      </w:r>
      <w:hyperlink r:id="rId85">
        <w:r>
          <w:rPr>
            <w:rStyle w:val="Hyperlink"/>
          </w:rPr>
          <w:t xml:space="preserve">https://www.nature.com/articles/s41541-021-00377-6</w:t>
        </w:r>
      </w:hyperlink>
    </w:p>
    <w:bookmarkEnd w:id="86"/>
    <w:bookmarkStart w:id="88" w:name="ref-cowling2019"/>
    <w:p>
      <w:pPr>
        <w:pStyle w:val="Bibliography"/>
      </w:pPr>
      <w:r>
        <w:t xml:space="preserve">27.</w:t>
      </w:r>
      <w:r>
        <w:t xml:space="preserve"> </w:t>
      </w:r>
      <w:r>
        <w:t xml:space="preserve">	</w:t>
      </w:r>
      <w:r>
        <w:t xml:space="preserve">Cowling BJ, Lim WW, Perera RAPM, et al. Influenza</w:t>
      </w:r>
      <w:r>
        <w:t xml:space="preserve"> </w:t>
      </w:r>
      <w:r>
        <w:t xml:space="preserve">Hemagglutination-inhibition Antibody Titer</w:t>
      </w:r>
      <w:r>
        <w:t xml:space="preserve"> </w:t>
      </w:r>
      <w:r>
        <w:t xml:space="preserve">as a</w:t>
      </w:r>
      <w:r>
        <w:t xml:space="preserve"> </w:t>
      </w:r>
      <w:r>
        <w:t xml:space="preserve">Mediator</w:t>
      </w:r>
      <w:r>
        <w:t xml:space="preserve"> </w:t>
      </w:r>
      <w:r>
        <w:t xml:space="preserve">of</w:t>
      </w:r>
      <w:r>
        <w:t xml:space="preserve"> </w:t>
      </w:r>
      <w:r>
        <w:t xml:space="preserve">Vaccine-induced Protection</w:t>
      </w:r>
      <w:r>
        <w:t xml:space="preserve"> </w:t>
      </w:r>
      <w:r>
        <w:t xml:space="preserve">for</w:t>
      </w:r>
      <w:r>
        <w:t xml:space="preserve"> </w:t>
      </w:r>
      <w:r>
        <w:t xml:space="preserve">Influenza B</w:t>
      </w:r>
      <w:r>
        <w:t xml:space="preserve">. Clin Infect Dis [Internet].</w:t>
      </w:r>
      <w:r>
        <w:t xml:space="preserve"> </w:t>
      </w:r>
      <w:r>
        <w:rPr>
          <w:b/>
          <w:bCs/>
        </w:rPr>
        <w:t xml:space="preserve">2019</w:t>
      </w:r>
      <w:r>
        <w:t xml:space="preserve"> </w:t>
      </w:r>
      <w:r>
        <w:t xml:space="preserve">[cited 2023 Mar 30]; 68(10):1713–1717. Available from:</w:t>
      </w:r>
      <w:r>
        <w:t xml:space="preserve"> </w:t>
      </w:r>
      <w:hyperlink r:id="rId87">
        <w:r>
          <w:rPr>
            <w:rStyle w:val="Hyperlink"/>
          </w:rPr>
          <w:t xml:space="preserve">https://doi.org/10.1093/cid/ciy759</w:t>
        </w:r>
      </w:hyperlink>
    </w:p>
    <w:bookmarkEnd w:id="88"/>
    <w:bookmarkStart w:id="90" w:name="ref-coudeville2010"/>
    <w:p>
      <w:pPr>
        <w:pStyle w:val="Bibliography"/>
      </w:pPr>
      <w:r>
        <w:t xml:space="preserve">28.</w:t>
      </w:r>
      <w:r>
        <w:t xml:space="preserve"> </w:t>
      </w:r>
      <w:r>
        <w:t xml:space="preserve">	</w:t>
      </w:r>
      <w:r>
        <w:t xml:space="preserve">Coudeville L, Andre P, Bailleux F, Weber F, Plotkin S. A new approach to estimate vaccine efficacy based on immunogenicity data applied to influenza vaccines administered by the intradermal or intramuscular routes. Hum Vaccin [Internet]. Taylor &amp; Francis;</w:t>
      </w:r>
      <w:r>
        <w:t xml:space="preserve"> </w:t>
      </w:r>
      <w:r>
        <w:rPr>
          <w:b/>
          <w:bCs/>
        </w:rPr>
        <w:t xml:space="preserve">2010</w:t>
      </w:r>
      <w:r>
        <w:t xml:space="preserve"> </w:t>
      </w:r>
      <w:r>
        <w:t xml:space="preserve">[cited 2023 Mar 30]; 6(10):841–848. Available from:</w:t>
      </w:r>
      <w:r>
        <w:t xml:space="preserve"> </w:t>
      </w:r>
      <w:hyperlink r:id="rId89">
        <w:r>
          <w:rPr>
            <w:rStyle w:val="Hyperlink"/>
          </w:rPr>
          <w:t xml:space="preserve">https://doi.org/10.4161/hv.6.10.12636</w:t>
        </w:r>
      </w:hyperlink>
    </w:p>
    <w:bookmarkEnd w:id="90"/>
    <w:bookmarkStart w:id="92" w:name="ref-edler2024"/>
    <w:p>
      <w:pPr>
        <w:pStyle w:val="Bibliography"/>
      </w:pPr>
      <w:r>
        <w:t xml:space="preserve">29.</w:t>
      </w:r>
      <w:r>
        <w:t xml:space="preserve"> </w:t>
      </w:r>
      <w:r>
        <w:t xml:space="preserve">	</w:t>
      </w:r>
      <w:r>
        <w:t xml:space="preserve">Edler P, Schwab LSU, Aban M, et al. Immune imprinting in early life shapes cross-reactivity to influenza</w:t>
      </w:r>
      <w:r>
        <w:t xml:space="preserve"> </w:t>
      </w:r>
      <w:r>
        <w:t xml:space="preserve">B</w:t>
      </w:r>
      <w:r>
        <w:t xml:space="preserve"> </w:t>
      </w:r>
      <w:r>
        <w:t xml:space="preserve">virus haemagglutinin. Nat Microbiol [Internet]. Nature Publishing Group;</w:t>
      </w:r>
      <w:r>
        <w:t xml:space="preserve"> </w:t>
      </w:r>
      <w:r>
        <w:rPr>
          <w:b/>
          <w:bCs/>
        </w:rPr>
        <w:t xml:space="preserve">2024</w:t>
      </w:r>
      <w:r>
        <w:t xml:space="preserve"> </w:t>
      </w:r>
      <w:r>
        <w:t xml:space="preserve">[cited 2024 Jun 27]; :1–11. Available from:</w:t>
      </w:r>
      <w:r>
        <w:t xml:space="preserve"> </w:t>
      </w:r>
      <w:hyperlink r:id="rId91">
        <w:r>
          <w:rPr>
            <w:rStyle w:val="Hyperlink"/>
          </w:rPr>
          <w:t xml:space="preserve">https://www.nature.com/articles/s41564-024-01732-8</w:t>
        </w:r>
      </w:hyperlink>
    </w:p>
    <w:bookmarkEnd w:id="92"/>
    <w:bookmarkStart w:id="94" w:name="ref-wu2022b"/>
    <w:p>
      <w:pPr>
        <w:pStyle w:val="Bibliography"/>
      </w:pPr>
      <w:r>
        <w:t xml:space="preserve">30.</w:t>
      </w:r>
      <w:r>
        <w:t xml:space="preserve"> </w:t>
      </w:r>
      <w:r>
        <w:t xml:space="preserve">	</w:t>
      </w:r>
      <w:r>
        <w:t xml:space="preserve">Wu S, Ross TM, Carlock MA, Ghedin E, Choi H, Vogel C. Evaluation of determinants of the serological response to the quadrivalent split‐inactivated influenza vaccine. Mol Syst Biol [Internet].</w:t>
      </w:r>
      <w:r>
        <w:t xml:space="preserve"> </w:t>
      </w:r>
      <w:r>
        <w:rPr>
          <w:b/>
          <w:bCs/>
        </w:rPr>
        <w:t xml:space="preserve">2022</w:t>
      </w:r>
      <w:r>
        <w:t xml:space="preserve"> </w:t>
      </w:r>
      <w:r>
        <w:t xml:space="preserve">[cited 2023 Aug 1]; 18(5):e10724. Available from:</w:t>
      </w:r>
      <w:r>
        <w:t xml:space="preserve"> </w:t>
      </w:r>
      <w:hyperlink r:id="rId93">
        <w:r>
          <w:rPr>
            <w:rStyle w:val="Hyperlink"/>
          </w:rPr>
          <w:t xml:space="preserve">https://www.ncbi.nlm.nih.gov/pmc/articles/PMC9073386/</w:t>
        </w:r>
      </w:hyperlink>
    </w:p>
    <w:bookmarkEnd w:id="94"/>
    <w:bookmarkStart w:id="96" w:name="ref-sung2021b"/>
    <w:p>
      <w:pPr>
        <w:pStyle w:val="Bibliography"/>
      </w:pPr>
      <w:r>
        <w:t xml:space="preserve">31.</w:t>
      </w:r>
      <w:r>
        <w:t xml:space="preserve"> </w:t>
      </w:r>
      <w:r>
        <w:t xml:space="preserve">	</w:t>
      </w:r>
      <w:r>
        <w:t xml:space="preserve">Sung M-H, Shen Y, Handel A, Bahl J, Ross TM. Longitudinal</w:t>
      </w:r>
      <w:r>
        <w:t xml:space="preserve"> </w:t>
      </w:r>
      <w:r>
        <w:t xml:space="preserve">Assessment</w:t>
      </w:r>
      <w:r>
        <w:t xml:space="preserve"> </w:t>
      </w:r>
      <w:r>
        <w:t xml:space="preserve">of</w:t>
      </w:r>
      <w:r>
        <w:t xml:space="preserve"> </w:t>
      </w:r>
      <w:r>
        <w:t xml:space="preserve">Immune Responses</w:t>
      </w:r>
      <w:r>
        <w:t xml:space="preserve"> </w:t>
      </w:r>
      <w:r>
        <w:t xml:space="preserve">to</w:t>
      </w:r>
      <w:r>
        <w:t xml:space="preserve"> </w:t>
      </w:r>
      <w:r>
        <w:t xml:space="preserve">Repeated Annual Influenza Vaccination</w:t>
      </w:r>
      <w:r>
        <w:t xml:space="preserve"> </w:t>
      </w:r>
      <w:r>
        <w:t xml:space="preserve">in a</w:t>
      </w:r>
      <w:r>
        <w:t xml:space="preserve"> </w:t>
      </w:r>
      <w:r>
        <w:t xml:space="preserve">Human Cohort</w:t>
      </w:r>
      <w:r>
        <w:t xml:space="preserve"> </w:t>
      </w:r>
      <w:r>
        <w:t xml:space="preserve">of</w:t>
      </w:r>
      <w:r>
        <w:t xml:space="preserve"> </w:t>
      </w:r>
      <w:r>
        <w:t xml:space="preserve">Adults</w:t>
      </w:r>
      <w:r>
        <w:t xml:space="preserve"> </w:t>
      </w:r>
      <w:r>
        <w:t xml:space="preserve">and</w:t>
      </w:r>
      <w:r>
        <w:t xml:space="preserve"> </w:t>
      </w:r>
      <w:r>
        <w:t xml:space="preserve">Teenagers</w:t>
      </w:r>
      <w:r>
        <w:t xml:space="preserve">. Front Immunol [Internet].</w:t>
      </w:r>
      <w:r>
        <w:t xml:space="preserve"> </w:t>
      </w:r>
      <w:r>
        <w:rPr>
          <w:b/>
          <w:bCs/>
        </w:rPr>
        <w:t xml:space="preserve">2021</w:t>
      </w:r>
      <w:r>
        <w:t xml:space="preserve"> </w:t>
      </w:r>
      <w:r>
        <w:t xml:space="preserve">[cited 2023 Aug 1]; 12:642791. Available from:</w:t>
      </w:r>
      <w:r>
        <w:t xml:space="preserve"> </w:t>
      </w:r>
      <w:hyperlink r:id="rId95">
        <w:r>
          <w:rPr>
            <w:rStyle w:val="Hyperlink"/>
          </w:rPr>
          <w:t xml:space="preserve">https://www.ncbi.nlm.nih.gov/pmc/articles/PMC7965973/</w:t>
        </w:r>
      </w:hyperlink>
    </w:p>
    <w:bookmarkEnd w:id="96"/>
    <w:bookmarkStart w:id="98" w:name="ref-abreu2020a"/>
    <w:p>
      <w:pPr>
        <w:pStyle w:val="Bibliography"/>
      </w:pPr>
      <w:r>
        <w:t xml:space="preserve">32.</w:t>
      </w:r>
      <w:r>
        <w:t xml:space="preserve"> </w:t>
      </w:r>
      <w:r>
        <w:t xml:space="preserve">	</w:t>
      </w:r>
      <w:r>
        <w:t xml:space="preserve">Abreu RB, Kirchenbaum GA, Clutter EF, Sautto GA, Ross TM. Preexisting subtype immunodominance shapes memory</w:t>
      </w:r>
      <w:r>
        <w:t xml:space="preserve"> </w:t>
      </w:r>
      <w:r>
        <w:t xml:space="preserve">B</w:t>
      </w:r>
      <w:r>
        <w:t xml:space="preserve"> </w:t>
      </w:r>
      <w:r>
        <w:t xml:space="preserve">cell recall response to influenza vaccination. JCI Insight [Internet]. American Society for Clinical Investigation;</w:t>
      </w:r>
      <w:r>
        <w:t xml:space="preserve"> </w:t>
      </w:r>
      <w:r>
        <w:rPr>
          <w:b/>
          <w:bCs/>
        </w:rPr>
        <w:t xml:space="preserve">2020</w:t>
      </w:r>
      <w:r>
        <w:t xml:space="preserve"> </w:t>
      </w:r>
      <w:r>
        <w:t xml:space="preserve">[cited 2023 Nov 16]; 5(1). Available from:</w:t>
      </w:r>
      <w:r>
        <w:t xml:space="preserve"> </w:t>
      </w:r>
      <w:hyperlink r:id="rId97">
        <w:r>
          <w:rPr>
            <w:rStyle w:val="Hyperlink"/>
          </w:rPr>
          <w:t xml:space="preserve">https://insight.jci.org/articles/view/132155</w:t>
        </w:r>
      </w:hyperlink>
    </w:p>
    <w:bookmarkEnd w:id="98"/>
    <w:bookmarkStart w:id="100" w:name="ref-tummers2006"/>
    <w:p>
      <w:pPr>
        <w:pStyle w:val="Bibliography"/>
      </w:pPr>
      <w:r>
        <w:t xml:space="preserve">33.</w:t>
      </w:r>
      <w:r>
        <w:t xml:space="preserve"> </w:t>
      </w:r>
      <w:r>
        <w:t xml:space="preserve">	</w:t>
      </w:r>
      <w:r>
        <w:t xml:space="preserve">Tummers B.</w:t>
      </w:r>
      <w:r>
        <w:t xml:space="preserve"> </w:t>
      </w:r>
      <w:r>
        <w:t xml:space="preserve">DataThief III</w:t>
      </w:r>
      <w:r>
        <w:t xml:space="preserve"> </w:t>
      </w:r>
      <w:r>
        <w:t xml:space="preserve">[Internet]. 2006. Available from:</w:t>
      </w:r>
      <w:r>
        <w:t xml:space="preserve"> </w:t>
      </w:r>
      <w:hyperlink r:id="rId99">
        <w:r>
          <w:rPr>
            <w:rStyle w:val="Hyperlink"/>
          </w:rPr>
          <w:t xml:space="preserve">https://datathief.org/</w:t>
        </w:r>
      </w:hyperlink>
    </w:p>
    <w:bookmarkEnd w:id="100"/>
    <w:bookmarkStart w:id="102" w:name="ref-davison1997a"/>
    <w:p>
      <w:pPr>
        <w:pStyle w:val="Bibliography"/>
      </w:pPr>
      <w:r>
        <w:t xml:space="preserve">34.</w:t>
      </w:r>
      <w:r>
        <w:t xml:space="preserve"> </w:t>
      </w:r>
      <w:r>
        <w:t xml:space="preserve">	</w:t>
      </w:r>
      <w:r>
        <w:t xml:space="preserve">Davison AC, Hinkley DV. Bootstrap methods and their applications [Internet]. Cambridge: Cambridge University Press; 1997. Available from:</w:t>
      </w:r>
      <w:r>
        <w:t xml:space="preserve"> </w:t>
      </w:r>
      <w:hyperlink r:id="rId101">
        <w:r>
          <w:rPr>
            <w:rStyle w:val="Hyperlink"/>
          </w:rPr>
          <w:t xml:space="preserve">http://statwww.epfl.ch/davison/BMA/</w:t>
        </w:r>
      </w:hyperlink>
    </w:p>
    <w:bookmarkEnd w:id="102"/>
    <w:bookmarkStart w:id="104" w:name="ref-forst2022"/>
    <w:p>
      <w:pPr>
        <w:pStyle w:val="Bibliography"/>
      </w:pPr>
      <w:r>
        <w:t xml:space="preserve">35.</w:t>
      </w:r>
      <w:r>
        <w:t xml:space="preserve"> </w:t>
      </w:r>
      <w:r>
        <w:t xml:space="preserve">	</w:t>
      </w:r>
      <w:r>
        <w:t xml:space="preserve">Forst CV, Chung M, Hockman M, et al. Vaccination</w:t>
      </w:r>
      <w:r>
        <w:t xml:space="preserve"> </w:t>
      </w:r>
      <w:r>
        <w:t xml:space="preserve">History</w:t>
      </w:r>
      <w:r>
        <w:t xml:space="preserve">,</w:t>
      </w:r>
      <w:r>
        <w:t xml:space="preserve"> </w:t>
      </w:r>
      <w:r>
        <w:t xml:space="preserve">Body Mass Index</w:t>
      </w:r>
      <w:r>
        <w:t xml:space="preserve">,</w:t>
      </w:r>
      <w:r>
        <w:t xml:space="preserve"> </w:t>
      </w:r>
      <w:r>
        <w:t xml:space="preserve">Age</w:t>
      </w:r>
      <w:r>
        <w:t xml:space="preserve">, and</w:t>
      </w:r>
      <w:r>
        <w:t xml:space="preserve"> </w:t>
      </w:r>
      <w:r>
        <w:t xml:space="preserve">Baseline Gene Expression Predict Influenza Vaccination Outcomes</w:t>
      </w:r>
      <w:r>
        <w:t xml:space="preserve">. Viruses [Internet]. Multidisciplinary Digital Publishing Institute;</w:t>
      </w:r>
      <w:r>
        <w:t xml:space="preserve"> </w:t>
      </w:r>
      <w:r>
        <w:rPr>
          <w:b/>
          <w:bCs/>
        </w:rPr>
        <w:t xml:space="preserve">2022</w:t>
      </w:r>
      <w:r>
        <w:t xml:space="preserve"> </w:t>
      </w:r>
      <w:r>
        <w:t xml:space="preserve">[cited 2023 Mar 21]; 14(11, 11):2446. Available from:</w:t>
      </w:r>
      <w:r>
        <w:t xml:space="preserve"> </w:t>
      </w:r>
      <w:hyperlink r:id="rId103">
        <w:r>
          <w:rPr>
            <w:rStyle w:val="Hyperlink"/>
          </w:rPr>
          <w:t xml:space="preserve">https://www.mdpi.com/1999-4915/14/11/2446</w:t>
        </w:r>
      </w:hyperlink>
    </w:p>
    <w:bookmarkEnd w:id="104"/>
    <w:bookmarkStart w:id="106" w:name="ref-wickham2019a"/>
    <w:p>
      <w:pPr>
        <w:pStyle w:val="Bibliography"/>
      </w:pPr>
      <w:r>
        <w:t xml:space="preserve">36.</w:t>
      </w:r>
      <w:r>
        <w:t xml:space="preserve"> </w:t>
      </w:r>
      <w:r>
        <w:t xml:space="preserve">	</w:t>
      </w:r>
      <w:r>
        <w:t xml:space="preserve">Wickham H, Averick M, Bryan J, et al.</w:t>
      </w:r>
      <w:r>
        <w:t xml:space="preserve"> </w:t>
      </w:r>
      <w:hyperlink r:id="rId105">
        <w:r>
          <w:rPr>
            <w:rStyle w:val="Hyperlink"/>
          </w:rPr>
          <w:t xml:space="preserve">Welcome to the</w:t>
        </w:r>
        <w:r>
          <w:rPr>
            <w:rStyle w:val="Hyperlink"/>
          </w:rPr>
          <w:t xml:space="preserve"> </w:t>
        </w:r>
        <w:r>
          <w:rPr>
            <w:rStyle w:val="Hyperlink"/>
          </w:rPr>
          <w:t xml:space="preserve">tidyverse</w:t>
        </w:r>
      </w:hyperlink>
      <w:r>
        <w:t xml:space="preserve">. Journal of Open Source Software.</w:t>
      </w:r>
      <w:r>
        <w:t xml:space="preserve"> </w:t>
      </w:r>
      <w:r>
        <w:rPr>
          <w:b/>
          <w:bCs/>
        </w:rPr>
        <w:t xml:space="preserve">2019</w:t>
      </w:r>
      <w:r>
        <w:t xml:space="preserve">; 4(43):1686.</w:t>
      </w:r>
      <w:r>
        <w:t xml:space="preserve"> </w:t>
      </w:r>
    </w:p>
    <w:bookmarkEnd w:id="106"/>
    <w:bookmarkStart w:id="108" w:name="ref-ushey2023"/>
    <w:p>
      <w:pPr>
        <w:pStyle w:val="Bibliography"/>
      </w:pPr>
      <w:r>
        <w:t xml:space="preserve">37.</w:t>
      </w:r>
      <w:r>
        <w:t xml:space="preserve"> </w:t>
      </w:r>
      <w:r>
        <w:t xml:space="preserve">	</w:t>
      </w:r>
      <w:r>
        <w:t xml:space="preserve">Ushey K, Wickham H. Renv:</w:t>
      </w:r>
      <w:r>
        <w:t xml:space="preserve"> </w:t>
      </w:r>
      <w:r>
        <w:t xml:space="preserve">Project</w:t>
      </w:r>
      <w:r>
        <w:t xml:space="preserve"> </w:t>
      </w:r>
      <w:r>
        <w:t xml:space="preserve">environments [Internet]. 2023. Available from:</w:t>
      </w:r>
      <w:r>
        <w:t xml:space="preserve"> </w:t>
      </w:r>
      <w:hyperlink r:id="rId107">
        <w:r>
          <w:rPr>
            <w:rStyle w:val="Hyperlink"/>
          </w:rPr>
          <w:t xml:space="preserve">https://CRAN.R-project.org/package=renv</w:t>
        </w:r>
      </w:hyperlink>
    </w:p>
    <w:bookmarkEnd w:id="108"/>
    <w:bookmarkStart w:id="109" w:name="ref-canty2022"/>
    <w:p>
      <w:pPr>
        <w:pStyle w:val="Bibliography"/>
      </w:pPr>
      <w:r>
        <w:t xml:space="preserve">38.</w:t>
      </w:r>
      <w:r>
        <w:t xml:space="preserve"> </w:t>
      </w:r>
      <w:r>
        <w:t xml:space="preserve">	</w:t>
      </w:r>
      <w:r>
        <w:t xml:space="preserve">Canty A, Ripley BD. Boot:</w:t>
      </w:r>
      <w:r>
        <w:t xml:space="preserve"> </w:t>
      </w:r>
      <w:r>
        <w:t xml:space="preserve">Bootstrap R</w:t>
      </w:r>
      <w:r>
        <w:t xml:space="preserve"> </w:t>
      </w:r>
      <w:r>
        <w:t xml:space="preserve">(</w:t>
      </w:r>
      <w:r>
        <w:t xml:space="preserve">S-plus</w:t>
      </w:r>
      <w:r>
        <w:t xml:space="preserve">) functions. 2022.</w:t>
      </w:r>
      <w:r>
        <w:t xml:space="preserve"> </w:t>
      </w:r>
    </w:p>
    <w:bookmarkEnd w:id="109"/>
    <w:bookmarkStart w:id="111" w:name="ref-cobey2018"/>
    <w:p>
      <w:pPr>
        <w:pStyle w:val="Bibliography"/>
      </w:pPr>
      <w:r>
        <w:t xml:space="preserve">39.</w:t>
      </w:r>
      <w:r>
        <w:t xml:space="preserve"> </w:t>
      </w:r>
      <w:r>
        <w:t xml:space="preserve">	</w:t>
      </w:r>
      <w:r>
        <w:t xml:space="preserve">Cobey S, Gouma S, Parkhouse K, et al.</w:t>
      </w:r>
      <w:r>
        <w:t xml:space="preserve"> </w:t>
      </w:r>
      <w:hyperlink r:id="rId110">
        <w:r>
          <w:rPr>
            <w:rStyle w:val="Hyperlink"/>
          </w:rPr>
          <w:t xml:space="preserve">Poor</w:t>
        </w:r>
        <w:r>
          <w:rPr>
            <w:rStyle w:val="Hyperlink"/>
          </w:rPr>
          <w:t xml:space="preserve"> </w:t>
        </w:r>
        <w:r>
          <w:rPr>
            <w:rStyle w:val="Hyperlink"/>
          </w:rPr>
          <w:t xml:space="preserve">Immunogenicity</w:t>
        </w:r>
        <w:r>
          <w:rPr>
            <w:rStyle w:val="Hyperlink"/>
          </w:rPr>
          <w:t xml:space="preserve">,</w:t>
        </w:r>
        <w:r>
          <w:rPr>
            <w:rStyle w:val="Hyperlink"/>
          </w:rPr>
          <w:t xml:space="preserve"> </w:t>
        </w:r>
        <w:r>
          <w:rPr>
            <w:rStyle w:val="Hyperlink"/>
          </w:rPr>
          <w:t xml:space="preserve">Not Vaccine Strain Egg Adaptation</w:t>
        </w:r>
        <w:r>
          <w:rPr>
            <w:rStyle w:val="Hyperlink"/>
          </w:rPr>
          <w:t xml:space="preserve">,</w:t>
        </w:r>
        <w:r>
          <w:rPr>
            <w:rStyle w:val="Hyperlink"/>
          </w:rPr>
          <w:t xml:space="preserve"> </w:t>
        </w:r>
        <w:r>
          <w:rPr>
            <w:rStyle w:val="Hyperlink"/>
          </w:rPr>
          <w:t xml:space="preserve">May Explain</w:t>
        </w:r>
        <w:r>
          <w:rPr>
            <w:rStyle w:val="Hyperlink"/>
          </w:rPr>
          <w:t xml:space="preserve"> </w:t>
        </w:r>
        <w:r>
          <w:rPr>
            <w:rStyle w:val="Hyperlink"/>
          </w:rPr>
          <w:t xml:space="preserve">the</w:t>
        </w:r>
        <w:r>
          <w:rPr>
            <w:rStyle w:val="Hyperlink"/>
          </w:rPr>
          <w:t xml:space="preserve"> </w:t>
        </w:r>
        <w:r>
          <w:rPr>
            <w:rStyle w:val="Hyperlink"/>
          </w:rPr>
          <w:t xml:space="preserve">Low H3N2 Influenza Vaccine Effectiveness</w:t>
        </w:r>
        <w:r>
          <w:rPr>
            <w:rStyle w:val="Hyperlink"/>
          </w:rPr>
          <w:t xml:space="preserve"> </w:t>
        </w:r>
        <w:r>
          <w:rPr>
            <w:rStyle w:val="Hyperlink"/>
          </w:rPr>
          <w:t xml:space="preserve">in 2012-2013</w:t>
        </w:r>
      </w:hyperlink>
      <w:r>
        <w:t xml:space="preserve">. Clin Infect Dis.</w:t>
      </w:r>
      <w:r>
        <w:t xml:space="preserve"> </w:t>
      </w:r>
      <w:r>
        <w:rPr>
          <w:b/>
          <w:bCs/>
        </w:rPr>
        <w:t xml:space="preserve">2018</w:t>
      </w:r>
      <w:r>
        <w:t xml:space="preserve">; 67(3):327–333.</w:t>
      </w:r>
      <w:r>
        <w:t xml:space="preserve"> </w:t>
      </w:r>
    </w:p>
    <w:bookmarkEnd w:id="111"/>
    <w:bookmarkStart w:id="113" w:name="ref-kwong2020"/>
    <w:p>
      <w:pPr>
        <w:pStyle w:val="Bibliography"/>
      </w:pPr>
      <w:r>
        <w:t xml:space="preserve">40.</w:t>
      </w:r>
      <w:r>
        <w:t xml:space="preserve"> </w:t>
      </w:r>
      <w:r>
        <w:t xml:space="preserve">	</w:t>
      </w:r>
      <w:r>
        <w:t xml:space="preserve">Kwong JC, Chung H, Jung JK, et al.</w:t>
      </w:r>
      <w:r>
        <w:t xml:space="preserve"> </w:t>
      </w:r>
      <w:hyperlink r:id="rId112">
        <w:r>
          <w:rPr>
            <w:rStyle w:val="Hyperlink"/>
          </w:rPr>
          <w:t xml:space="preserve">The impact of repeated vaccination using 10-year vaccination history on protection against influenza in older adults: A test-negative design study across the 2010/11 to 2015/16 influenza seasons in</w:t>
        </w:r>
        <w:r>
          <w:rPr>
            <w:rStyle w:val="Hyperlink"/>
          </w:rPr>
          <w:t xml:space="preserve"> </w:t>
        </w:r>
        <w:r>
          <w:rPr>
            <w:rStyle w:val="Hyperlink"/>
          </w:rPr>
          <w:t xml:space="preserve">Ontario</w:t>
        </w:r>
        <w:r>
          <w:rPr>
            <w:rStyle w:val="Hyperlink"/>
          </w:rPr>
          <w:t xml:space="preserve">,</w:t>
        </w:r>
        <w:r>
          <w:rPr>
            <w:rStyle w:val="Hyperlink"/>
          </w:rPr>
          <w:t xml:space="preserve"> </w:t>
        </w:r>
        <w:r>
          <w:rPr>
            <w:rStyle w:val="Hyperlink"/>
          </w:rPr>
          <w:t xml:space="preserve">Canada</w:t>
        </w:r>
      </w:hyperlink>
      <w:r>
        <w:t xml:space="preserve">. Euro Surveill.</w:t>
      </w:r>
      <w:r>
        <w:t xml:space="preserve"> </w:t>
      </w:r>
      <w:r>
        <w:rPr>
          <w:b/>
          <w:bCs/>
        </w:rPr>
        <w:t xml:space="preserve">2020</w:t>
      </w:r>
      <w:r>
        <w:t xml:space="preserve">; 25(1):1900245.</w:t>
      </w:r>
      <w:r>
        <w:t xml:space="preserve"> </w:t>
      </w:r>
    </w:p>
    <w:bookmarkEnd w:id="113"/>
    <w:bookmarkStart w:id="115" w:name="ref-dugan2020"/>
    <w:p>
      <w:pPr>
        <w:pStyle w:val="Bibliography"/>
      </w:pPr>
      <w:r>
        <w:t xml:space="preserve">41.</w:t>
      </w:r>
      <w:r>
        <w:t xml:space="preserve"> </w:t>
      </w:r>
      <w:r>
        <w:t xml:space="preserve">	</w:t>
      </w:r>
      <w:r>
        <w:t xml:space="preserve">Dugan HL, Guthmiller JJ, Arevalo P, et al.</w:t>
      </w:r>
      <w:r>
        <w:t xml:space="preserve"> </w:t>
      </w:r>
      <w:hyperlink r:id="rId114">
        <w:r>
          <w:rPr>
            <w:rStyle w:val="Hyperlink"/>
          </w:rPr>
          <w:t xml:space="preserve">Preexisting immunity shapes distinct antibody landscapes after influenza virus infection and vaccination in humans</w:t>
        </w:r>
      </w:hyperlink>
      <w:r>
        <w:t xml:space="preserve">. Sci Transl Med.</w:t>
      </w:r>
      <w:r>
        <w:t xml:space="preserve"> </w:t>
      </w:r>
      <w:r>
        <w:rPr>
          <w:b/>
          <w:bCs/>
        </w:rPr>
        <w:t xml:space="preserve">2020</w:t>
      </w:r>
      <w:r>
        <w:t xml:space="preserve">; 12(573):eabd3601.</w:t>
      </w:r>
      <w:r>
        <w:t xml:space="preserve"> </w:t>
      </w:r>
    </w:p>
    <w:bookmarkEnd w:id="115"/>
    <w:bookmarkStart w:id="117" w:name="ref-mettelman2023"/>
    <w:p>
      <w:pPr>
        <w:pStyle w:val="Bibliography"/>
      </w:pPr>
      <w:r>
        <w:t xml:space="preserve">42.</w:t>
      </w:r>
      <w:r>
        <w:t xml:space="preserve"> </w:t>
      </w:r>
      <w:r>
        <w:t xml:space="preserve">	</w:t>
      </w:r>
      <w:r>
        <w:t xml:space="preserve">Mettelman RC, Souquette A, Van de Velde L-A, et al. Baseline innate and</w:t>
      </w:r>
      <w:r>
        <w:t xml:space="preserve"> </w:t>
      </w:r>
      <w:r>
        <w:t xml:space="preserve">T</w:t>
      </w:r>
      <w:r>
        <w:t xml:space="preserve"> </w:t>
      </w:r>
      <w:r>
        <w:t xml:space="preserve">cell populations are correlates of protection against symptomatic influenza virus infection independent of serology. Nat Immunol [Internet]. Nature Publishing Group;</w:t>
      </w:r>
      <w:r>
        <w:t xml:space="preserve"> </w:t>
      </w:r>
      <w:r>
        <w:rPr>
          <w:b/>
          <w:bCs/>
        </w:rPr>
        <w:t xml:space="preserve">2023</w:t>
      </w:r>
      <w:r>
        <w:t xml:space="preserve"> </w:t>
      </w:r>
      <w:r>
        <w:t xml:space="preserve">[cited 2023 Aug 21]; :1–16. Available from:</w:t>
      </w:r>
      <w:r>
        <w:t xml:space="preserve"> </w:t>
      </w:r>
      <w:hyperlink r:id="rId116">
        <w:r>
          <w:rPr>
            <w:rStyle w:val="Hyperlink"/>
          </w:rPr>
          <w:t xml:space="preserve">https://www.nature.com/articles/s41590-023-01590-2</w:t>
        </w:r>
      </w:hyperlink>
    </w:p>
    <w:bookmarkEnd w:id="117"/>
    <w:bookmarkStart w:id="119" w:name="ref-reber2013"/>
    <w:p>
      <w:pPr>
        <w:pStyle w:val="Bibliography"/>
      </w:pPr>
      <w:r>
        <w:t xml:space="preserve">43.</w:t>
      </w:r>
      <w:r>
        <w:t xml:space="preserve"> </w:t>
      </w:r>
      <w:r>
        <w:t xml:space="preserve">	</w:t>
      </w:r>
      <w:r>
        <w:t xml:space="preserve">Reber A, Katz J. Immunological assessment of influenza vaccines and immune correlates of protection. Expert Rev Vaccines [Internet].</w:t>
      </w:r>
      <w:r>
        <w:t xml:space="preserve"> </w:t>
      </w:r>
      <w:r>
        <w:rPr>
          <w:b/>
          <w:bCs/>
        </w:rPr>
        <w:t xml:space="preserve">2013</w:t>
      </w:r>
      <w:r>
        <w:t xml:space="preserve"> </w:t>
      </w:r>
      <w:r>
        <w:t xml:space="preserve">[cited 2023 Oct 2]; 12(5):519–536. Available from:</w:t>
      </w:r>
      <w:r>
        <w:t xml:space="preserve"> </w:t>
      </w:r>
      <w:hyperlink r:id="rId118">
        <w:r>
          <w:rPr>
            <w:rStyle w:val="Hyperlink"/>
          </w:rPr>
          <w:t xml:space="preserve">http://www.tandfonline.com/doi/full/10.1586/erv.13.35</w:t>
        </w:r>
      </w:hyperlink>
    </w:p>
    <w:bookmarkEnd w:id="119"/>
    <w:bookmarkEnd w:id="120"/>
    <w:p>
      <w:r>
        <w:br w:type="page"/>
      </w:r>
    </w:p>
    <w:bookmarkEnd w:id="121"/>
    <w:bookmarkStart w:id="123" w:name="appendix"/>
    <w:p>
      <w:pPr>
        <w:pStyle w:val="Heading1"/>
      </w:pPr>
      <w:r>
        <w:t xml:space="preserve">Appendix</w:t>
      </w:r>
    </w:p>
    <w:p>
      <w:pPr>
        <w:pStyle w:val="FirstParagraph"/>
      </w:pPr>
      <w:r>
        <w:rPr>
          <w:b/>
          <w:bCs/>
        </w:rPr>
        <w:t xml:space="preserve">Figure 1.</w:t>
      </w:r>
      <w:r>
        <w:t xml:space="preserve"> </w:t>
      </w:r>
      <w:r>
        <w:t xml:space="preserve">Schematic showing the analysis flow: In every season, participant HAI titers were measured both pre- and post-vaccination. Pre- and post- vaccine titers were mapped to predicted protection probabilities using the model defined by Coudeville et al</w:t>
      </w:r>
      <w:r>
        <w:t xml:space="preserve"> </w:t>
      </w:r>
      <w:r>
        <w:t xml:space="preserve">[25]</w:t>
      </w:r>
      <w:r>
        <w:t xml:space="preserve">. These protection probabilities were then converted to risk probabilities (1-Protection), summed, and pre- and post-vaccine group risks were compared via ratio to achieve an estimated vaccine efficacy. Pre-vaccine titers were used to represent an unvaccinated (placebo) group. These methods were applied to both H1N1 and H3N2 titers in all seasons, the diagram shows H1N1 titers for the 2018-2019 season as example. Created with BioRender.com</w:t>
      </w:r>
    </w:p>
    <w:p>
      <w:pPr>
        <w:pStyle w:val="BodyText"/>
      </w:pPr>
      <w:r>
        <w:rPr>
          <w:b/>
          <w:bCs/>
        </w:rPr>
        <w:t xml:space="preserve">Figure 2.</w:t>
      </w:r>
      <w:r>
        <w:t xml:space="preserve"> </w:t>
      </w:r>
      <w:r>
        <w:t xml:space="preserve">H1N1 (left) and H3N2 (right) vaccine efficacies and 95% confidence intervals across groups and seasons. See supplement for numerical values.</w:t>
      </w:r>
    </w:p>
    <w:p>
      <w:pPr>
        <w:pStyle w:val="BodyText"/>
      </w:pPr>
      <w:r>
        <w:rPr>
          <w:b/>
          <w:bCs/>
        </w:rPr>
        <w:t xml:space="preserve">Figure 3.</w:t>
      </w:r>
      <w:r>
        <w:t xml:space="preserve"> </w:t>
      </w:r>
      <w:r>
        <w:t xml:space="preserve">Differences in vaccine efficacy and 95% confidence intervals in A) OASD vs. YASD groups, B) OAHD vs. YASD groups and C) OAHD vs. OASD groups. Each season shows H1N1 (blue circles) and H3N2 (red triangles) strain estimates. X-axis labels indicate, year (top), H1N1 strain (middle), and H3N2 strain (bottom). See supplement for numerical values.</w:t>
      </w:r>
    </w:p>
    <w:p>
      <w:r>
        <w:br w:type="page"/>
      </w:r>
    </w:p>
    <w:p>
      <w:pPr>
        <w:pStyle w:val="BodyText"/>
      </w:pPr>
      <w:r>
        <w:rPr>
          <w:b/>
          <w:bCs/>
        </w:rPr>
        <w:t xml:space="preserve">Table 1.</w:t>
      </w:r>
      <w:r>
        <w:t xml:space="preserve"> </w:t>
      </w:r>
      <w:r>
        <w:t xml:space="preserve">Data overview showing vaccine strains for each season (influenza A only), sample size and age ranges for the three populations we analyzed. YASD = younger adults given standard-dose vaccines; OAHD = older adults given high-dose vaccine; OASD = older adults given standard-dose vaccine.</w:t>
      </w:r>
    </w:p>
    <w:tbl>
      <w:tblPr>
        <w:tblStyle w:val="Table"/>
        <w:tblW w:type="pct" w:w="5000"/>
        <w:tblLayout w:type="fixed"/>
        <w:tblLook w:firstRow="0" w:lastRow="0" w:firstColumn="0" w:lastColumn="0" w:noHBand="0" w:noVBand="0" w:val="0000"/>
      </w:tblPr>
      <w:tblGrid>
        <w:gridCol w:w="7920"/>
      </w:tblGrid>
      <w:tr>
        <w:tc>
          <w:tcPr/>
          <w:bookmarkStart w:id="122" w:name="tbl-one"/>
          <w:p>
            <w:pPr>
              <w:jc w:val="center"/>
            </w:pPr>
            <w:pPr>
              <w:jc w:val="start"/>
              <w:spacing w:before="200"/>
              <w:pStyle w:val="ImageCaption"/>
            </w:pPr>
            <w:r>
              <w:t xml:space="preserve">Table 1</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157"/>
              <w:gridCol w:w="1080"/>
              <w:gridCol w:w="3615"/>
              <w:gridCol w:w="1080"/>
              <w:gridCol w:w="1475"/>
            </w:tblGrid>
            <w:tr>
              <w:trPr>
                <w:trHeight w:val="615"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Season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Group</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Strains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22"/>
                      <w:szCs w:val="22"/>
                      <w:color w:val="000000"/>
                    </w:rPr>
                    <w:t xml:space="preserve">1</w:t>
                  </w:r>
                </w:p>
              </w:tc>
            </w:tr>
            <w:tr>
              <w:trPr>
                <w:trHeight w:val="734" w:hRule="auto"/>
              </w:trPr>
              body 1
              <w:tc>
                <w:tcPr>
                  <w:vMerge w:val="restart"/>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YASD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H1N1-California-2009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H3N2-Texas-2012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 (32, 58)</w:t>
                  </w:r>
                </w:p>
              </w:tc>
            </w:tr>
            <w:tr>
              <w:trPr>
                <w:trHeight w:val="734" w:hRule="auto"/>
              </w:trPr>
              body 2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OAHD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H1N1-California-2009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H3N2-Texas-2012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70 (68, 74)</w:t>
                  </w:r>
                </w:p>
              </w:tc>
            </w:tr>
            <w:tr>
              <w:trPr>
                <w:trHeight w:val="734" w:hRule="auto"/>
              </w:trPr>
              body 3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OASD</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H1N1-California-2009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H3N2-Texas-2012</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70 (67, 73)</w:t>
                  </w:r>
                </w:p>
              </w:tc>
            </w:tr>
            <w:tr>
              <w:trPr>
                <w:trHeight w:val="734" w:hRule="auto"/>
              </w:trPr>
              body 4
              <w:tc>
                <w:tcPr>
                  <w:vMerge w:val="restart"/>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YASD</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H1N1-California-2009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H3N2-Texas-2012</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184</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 (35, 59)</w:t>
                  </w:r>
                </w:p>
              </w:tc>
            </w:tr>
            <w:tr>
              <w:trPr>
                <w:trHeight w:val="734" w:hRule="auto"/>
              </w:trPr>
              body 5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OAHD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H1N1-California-2009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H3N2-Texas-2012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71 (68, 75)</w:t>
                  </w:r>
                </w:p>
              </w:tc>
            </w:tr>
            <w:tr>
              <w:trPr>
                <w:trHeight w:val="734" w:hRule="auto"/>
              </w:trPr>
              body 6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OASD</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H1N1-California-2009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H3N2-Texas-2012</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69 (67, 74)</w:t>
                  </w:r>
                </w:p>
              </w:tc>
            </w:tr>
            <w:tr>
              <w:trPr>
                <w:trHeight w:val="736" w:hRule="auto"/>
              </w:trPr>
              body 7
              <w:tc>
                <w:tcPr>
                  <w:vMerge w:val="restart"/>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YASD</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H1N1-California-2009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H3N2-Switzerland-2013</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169</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49 (33, 59)</w:t>
                  </w:r>
                </w:p>
              </w:tc>
            </w:tr>
            <w:tr>
              <w:trPr>
                <w:trHeight w:val="736" w:hRule="auto"/>
              </w:trPr>
              body 8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OAHD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H1N1-California-2009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H3N2-Switzerland-2013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70 (68, 76)</w:t>
                  </w:r>
                </w:p>
              </w:tc>
            </w:tr>
            <w:tr>
              <w:trPr>
                <w:trHeight w:val="736" w:hRule="auto"/>
              </w:trPr>
              body 9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OASD</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H1N1-California-2009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H3N2-Switzerland-2013</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67 (65, 74)</w:t>
                  </w:r>
                </w:p>
              </w:tc>
            </w:tr>
            <w:tr>
              <w:trPr>
                <w:trHeight w:val="778" w:hRule="auto"/>
              </w:trPr>
              body10
              <w:tc>
                <w:tcPr>
                  <w:vMerge w:val="restart"/>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YASD</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H1N1-California-2009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H3N2-Hong Kong-2014</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294</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 (26, 57)</w:t>
                  </w:r>
                </w:p>
              </w:tc>
            </w:tr>
            <w:tr>
              <w:trPr>
                <w:trHeight w:val="778" w:hRule="auto"/>
              </w:trPr>
              body11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OAHD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H1N1-California-2009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H3N2-Hong Kong-2014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70 (68, 75)</w:t>
                  </w:r>
                </w:p>
              </w:tc>
            </w:tr>
            <w:tr>
              <w:trPr>
                <w:trHeight w:val="778" w:hRule="auto"/>
              </w:trPr>
              body12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OASD</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H1N1-California-2009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H3N2-Hong Kong-2014</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68 (66, 73)</w:t>
                  </w:r>
                </w:p>
              </w:tc>
            </w:tr>
            <w:tr>
              <w:trPr>
                <w:trHeight w:val="820" w:hRule="auto"/>
              </w:trPr>
              body13
              <w:tc>
                <w:tcPr>
                  <w:vMerge w:val="restart"/>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2017</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YASD</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H1N1-Michigan-2015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H3N2-Hong Kong-2014</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161</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 (24, 45)</w:t>
                  </w:r>
                </w:p>
              </w:tc>
            </w:tr>
            <w:tr>
              <w:trPr>
                <w:trHeight w:val="820" w:hRule="auto"/>
              </w:trPr>
              body14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OAHD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H1N1-Michigan-2015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H3N2-Hong Kong-2014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69 (68, 74)</w:t>
                  </w:r>
                </w:p>
              </w:tc>
            </w:tr>
            <w:tr>
              <w:trPr>
                <w:trHeight w:val="820" w:hRule="auto"/>
              </w:trPr>
              body15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OASD</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H1N1-Michigan-2015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H3N2-Hong Kong-2014</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67 (66, 70)</w:t>
                  </w:r>
                </w:p>
              </w:tc>
            </w:tr>
            <w:tr>
              <w:trPr>
                <w:trHeight w:val="822" w:hRule="auto"/>
              </w:trPr>
              body16
              <w:tc>
                <w:tcPr>
                  <w:vMerge w:val="restart"/>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2018</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YASD</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H1N1-Michigan-2015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H3N2-Singapore-2016</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81</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 (25, 48)</w:t>
                  </w:r>
                </w:p>
              </w:tc>
            </w:tr>
            <w:tr>
              <w:trPr>
                <w:trHeight w:val="822" w:hRule="auto"/>
              </w:trPr>
              body17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OAHD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H1N1-Michigan-2015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H3N2-Singapore-2016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70 (69, 73)</w:t>
                  </w:r>
                </w:p>
              </w:tc>
            </w:tr>
            <w:tr>
              <w:trPr>
                <w:trHeight w:val="822" w:hRule="auto"/>
              </w:trPr>
              body18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OASD</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H1N1-Michigan-2015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H3N2-Singapore-2016</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68 (66, 70)</w:t>
                  </w:r>
                </w:p>
              </w:tc>
            </w:tr>
            <w:tr>
              <w:trPr>
                <w:trHeight w:val="732" w:hRule="auto"/>
              </w:trPr>
              body19
              <w:tc>
                <w:tcPr>
                  <w:vMerge w:val="restart"/>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2019</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YASD</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H1N1-Brisbane-2018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H3N2-Kansas-2017</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272</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 (29, 53)</w:t>
                  </w:r>
                </w:p>
              </w:tc>
            </w:tr>
            <w:tr>
              <w:trPr>
                <w:trHeight w:val="732" w:hRule="auto"/>
              </w:trPr>
              body20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OAHD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H1N1-Brisbane-2018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H3N2-Kansas-2017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70 (67, 72)</w:t>
                  </w:r>
                </w:p>
              </w:tc>
            </w:tr>
            <w:tr>
              <w:trPr>
                <w:trHeight w:val="732" w:hRule="auto"/>
              </w:trPr>
              body21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OASD</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H1N1-Brisbane-2018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H3N2-Kansas-2017</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69 (67, 72)</w:t>
                  </w:r>
                </w:p>
              </w:tc>
            </w:tr>
            <w:tr>
              <w:trPr>
                <w:trHeight w:val="822" w:hRule="auto"/>
              </w:trPr>
              body22
              <w:tc>
                <w:tcPr>
                  <w:vMerge w:val="restart"/>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YASD</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H1N1-Guangdong Maonan-2019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H3N2-Hong Kong-2019</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187</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44 (30, 54)</w:t>
                  </w:r>
                </w:p>
              </w:tc>
            </w:tr>
            <w:tr>
              <w:trPr>
                <w:trHeight w:val="822" w:hRule="auto"/>
              </w:trPr>
              body23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OAHD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H1N1-Guangdong Maonan-2019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H3N2-Hong Kong-2019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70 (68, 73)</w:t>
                  </w:r>
                </w:p>
              </w:tc>
            </w:tr>
            <w:tr>
              <w:trPr>
                <w:trHeight w:val="822" w:hRule="auto"/>
              </w:trPr>
              body24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OASD</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H1N1-Guangdong Maonan-2019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H3N2-Hong Kong-2019</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69 (67, 70)</w:t>
                  </w:r>
                </w:p>
              </w:tc>
            </w:tr>
            <w:tr>
              <w:trPr>
                <w:trHeight w:val="732" w:hRule="auto"/>
              </w:trPr>
              body25
              <w:tc>
                <w:tcPr>
                  <w:vMerge w:val="restart"/>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2021</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YASD</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H1N1-Victoria-2019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H3N2-Tasmania-2020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167</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44 (30, 52)</w:t>
                  </w:r>
                </w:p>
              </w:tc>
            </w:tr>
            <w:tr>
              <w:trPr>
                <w:trHeight w:val="732" w:hRule="auto"/>
              </w:trPr>
              body26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OAHD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H1N1-Victoria-2019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H3N2-Tasmania-2020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71 (68, 74)</w:t>
                  </w:r>
                </w:p>
              </w:tc>
            </w:tr>
            <w:tr>
              <w:trPr>
                <w:trHeight w:val="732" w:hRule="auto"/>
              </w:trPr>
              body27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OASD</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H1N1-Victoria-2019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H3N2-Tasmania-2020</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68 (66, 70)</w:t>
                  </w:r>
                </w:p>
              </w:tc>
            </w:tr>
            <w:tr>
              <w:trPr>
                <w:trHeight w:val="360" w:hRule="auto"/>
              </w:trPr>
              footer 1
              <w:tc>
                <w:tcPr>
                  <w:gridSpan w:val="5"/>
                  <w:tcBorders>
                    <w:bottom w:val="none" w:sz="0" w:space="0" w:color="FFFFFF"/>
                    <w:top w:val="single" w:sz="8"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22"/>
                      <w:szCs w:val="22"/>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Median (IQR)</w:t>
                  </w:r>
                </w:p>
              </w:tc>
            </w:tr>
          </w:tbl>
          <w:bookmarkEnd w:id="122"/>
        </w:tc>
      </w:tr>
    </w:tbl>
    <w:bookmarkEnd w:id="123"/>
    <w:sectPr w:rsidR="00FC64EF" w:rsidSect="007554B5">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0"/>
    <w:multiLevelType w:val="multilevel"/>
    <w:tmpl w:val="663432EC"/>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
    <w:nsid w:val="00A99411"/>
    <w:multiLevelType w:val="multilevel"/>
    <w:tmpl w:val="9192FC06"/>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16cid:durableId="1259172787" w:numId="1">
    <w:abstractNumId w:val="0"/>
  </w:num>
  <w:num w16cid:durableId="354162634"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64EF"/>
    <w:rsid w:val="0014646C"/>
    <w:rsid w:val="003863AF"/>
    <w:rsid w:val="007554B5"/>
    <w:rsid w:val="00FC64EF"/>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uiPriority w:val="9"/>
    <w:unhideWhenUsed/>
    <w:qFormat/>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b/>
      <w:color w:val="003B4F"/>
      <w:sz w:val="22"/>
      <w:shd w:color="auto" w:fill="F1F3F5" w:val="clear"/>
    </w:rPr>
  </w:style>
  <w:style w:customStyle="1" w:styleId="DataTypeTok" w:type="character">
    <w:name w:val="DataTypeTok"/>
    <w:basedOn w:val="VerbatimChar"/>
    <w:rPr>
      <w:rFonts w:ascii="Consolas" w:hAnsi="Consolas"/>
      <w:color w:val="AD0000"/>
      <w:sz w:val="22"/>
      <w:shd w:color="auto" w:fill="F1F3F5" w:val="clear"/>
    </w:rPr>
  </w:style>
  <w:style w:customStyle="1" w:styleId="DecValTok" w:type="character">
    <w:name w:val="DecValTok"/>
    <w:basedOn w:val="VerbatimChar"/>
    <w:rPr>
      <w:rFonts w:ascii="Consolas" w:hAnsi="Consolas"/>
      <w:color w:val="AD0000"/>
      <w:sz w:val="22"/>
      <w:shd w:color="auto" w:fill="F1F3F5" w:val="clear"/>
    </w:rPr>
  </w:style>
  <w:style w:customStyle="1" w:styleId="BaseNTok" w:type="character">
    <w:name w:val="BaseNTok"/>
    <w:basedOn w:val="VerbatimChar"/>
    <w:rPr>
      <w:rFonts w:ascii="Consolas" w:hAnsi="Consolas"/>
      <w:color w:val="AD0000"/>
      <w:sz w:val="22"/>
      <w:shd w:color="auto" w:fill="F1F3F5" w:val="clear"/>
    </w:rPr>
  </w:style>
  <w:style w:customStyle="1" w:styleId="FloatTok" w:type="character">
    <w:name w:val="FloatTok"/>
    <w:basedOn w:val="VerbatimChar"/>
    <w:rPr>
      <w:rFonts w:ascii="Consolas" w:hAnsi="Consolas"/>
      <w:color w:val="AD0000"/>
      <w:sz w:val="22"/>
      <w:shd w:color="auto" w:fill="F1F3F5" w:val="clear"/>
    </w:rPr>
  </w:style>
  <w:style w:customStyle="1" w:styleId="ConstantTok" w:type="character">
    <w:name w:val="ConstantTok"/>
    <w:basedOn w:val="VerbatimChar"/>
    <w:rPr>
      <w:rFonts w:ascii="Consolas" w:hAnsi="Consolas"/>
      <w:color w:val="8F5902"/>
      <w:sz w:val="22"/>
      <w:shd w:color="auto" w:fill="F1F3F5" w:val="clear"/>
    </w:rPr>
  </w:style>
  <w:style w:customStyle="1" w:styleId="CharTok" w:type="character">
    <w:name w:val="CharTok"/>
    <w:basedOn w:val="VerbatimChar"/>
    <w:rPr>
      <w:rFonts w:ascii="Consolas" w:hAnsi="Consolas"/>
      <w:color w:val="20794D"/>
      <w:sz w:val="22"/>
      <w:shd w:color="auto" w:fill="F1F3F5" w:val="clear"/>
    </w:rPr>
  </w:style>
  <w:style w:customStyle="1" w:styleId="SpecialCharTok" w:type="character">
    <w:name w:val="SpecialCharTok"/>
    <w:basedOn w:val="VerbatimChar"/>
    <w:rPr>
      <w:rFonts w:ascii="Consolas" w:hAnsi="Consolas"/>
      <w:color w:val="5E5E5E"/>
      <w:sz w:val="22"/>
      <w:shd w:color="auto" w:fill="F1F3F5" w:val="clear"/>
    </w:rPr>
  </w:style>
  <w:style w:customStyle="1" w:styleId="StringTok" w:type="character">
    <w:name w:val="StringTok"/>
    <w:basedOn w:val="VerbatimChar"/>
    <w:rPr>
      <w:rFonts w:ascii="Consolas" w:hAnsi="Consolas"/>
      <w:color w:val="20794D"/>
      <w:sz w:val="22"/>
      <w:shd w:color="auto" w:fill="F1F3F5" w:val="clear"/>
    </w:rPr>
  </w:style>
  <w:style w:customStyle="1" w:styleId="VerbatimStringTok" w:type="character">
    <w:name w:val="VerbatimStringTok"/>
    <w:basedOn w:val="VerbatimChar"/>
    <w:rPr>
      <w:rFonts w:ascii="Consolas" w:hAnsi="Consolas"/>
      <w:color w:val="20794D"/>
      <w:sz w:val="22"/>
      <w:shd w:color="auto" w:fill="F1F3F5" w:val="clear"/>
    </w:rPr>
  </w:style>
  <w:style w:customStyle="1" w:styleId="SpecialStringTok" w:type="character">
    <w:name w:val="SpecialStringTok"/>
    <w:basedOn w:val="VerbatimChar"/>
    <w:rPr>
      <w:rFonts w:ascii="Consolas" w:hAnsi="Consolas"/>
      <w:color w:val="20794D"/>
      <w:sz w:val="22"/>
      <w:shd w:color="auto" w:fill="F1F3F5" w:val="clear"/>
    </w:rPr>
  </w:style>
  <w:style w:customStyle="1" w:styleId="ImportTok" w:type="character">
    <w:name w:val="ImportTok"/>
    <w:basedOn w:val="VerbatimChar"/>
    <w:rPr>
      <w:rFonts w:ascii="Consolas" w:hAnsi="Consolas"/>
      <w:color w:val="00769E"/>
      <w:sz w:val="22"/>
      <w:shd w:color="auto" w:fill="F1F3F5" w:val="clear"/>
    </w:rPr>
  </w:style>
  <w:style w:customStyle="1" w:styleId="CommentTok" w:type="character">
    <w:name w:val="CommentTok"/>
    <w:basedOn w:val="VerbatimChar"/>
    <w:rPr>
      <w:rFonts w:ascii="Consolas" w:hAnsi="Consolas"/>
      <w:color w:val="5E5E5E"/>
      <w:sz w:val="22"/>
      <w:shd w:color="auto" w:fill="F1F3F5" w:val="clear"/>
    </w:rPr>
  </w:style>
  <w:style w:customStyle="1" w:styleId="DocumentationTok" w:type="character">
    <w:name w:val="DocumentationTok"/>
    <w:basedOn w:val="VerbatimChar"/>
    <w:rPr>
      <w:rFonts w:ascii="Consolas" w:hAnsi="Consolas"/>
      <w:i/>
      <w:color w:val="5E5E5E"/>
      <w:sz w:val="22"/>
      <w:shd w:color="auto" w:fill="F1F3F5" w:val="clear"/>
    </w:rPr>
  </w:style>
  <w:style w:customStyle="1" w:styleId="AnnotationTok" w:type="character">
    <w:name w:val="AnnotationTok"/>
    <w:basedOn w:val="VerbatimChar"/>
    <w:rPr>
      <w:rFonts w:ascii="Consolas" w:hAnsi="Consolas"/>
      <w:color w:val="5E5E5E"/>
      <w:sz w:val="22"/>
      <w:shd w:color="auto" w:fill="F1F3F5" w:val="clear"/>
    </w:rPr>
  </w:style>
  <w:style w:customStyle="1" w:styleId="CommentVarTok" w:type="character">
    <w:name w:val="CommentVarTok"/>
    <w:basedOn w:val="VerbatimChar"/>
    <w:rPr>
      <w:rFonts w:ascii="Consolas" w:hAnsi="Consolas"/>
      <w:i/>
      <w:color w:val="5E5E5E"/>
      <w:sz w:val="22"/>
      <w:shd w:color="auto" w:fill="F1F3F5" w:val="clear"/>
    </w:rPr>
  </w:style>
  <w:style w:customStyle="1" w:styleId="OtherTok" w:type="character">
    <w:name w:val="OtherTok"/>
    <w:basedOn w:val="VerbatimChar"/>
    <w:rPr>
      <w:rFonts w:ascii="Consolas" w:hAnsi="Consolas"/>
      <w:color w:val="003B4F"/>
      <w:sz w:val="22"/>
      <w:shd w:color="auto" w:fill="F1F3F5" w:val="clear"/>
    </w:rPr>
  </w:style>
  <w:style w:customStyle="1" w:styleId="FunctionTok" w:type="character">
    <w:name w:val="FunctionTok"/>
    <w:basedOn w:val="VerbatimChar"/>
    <w:rPr>
      <w:rFonts w:ascii="Consolas" w:hAnsi="Consolas"/>
      <w:color w:val="4758AB"/>
      <w:sz w:val="22"/>
      <w:shd w:color="auto" w:fill="F1F3F5" w:val="clear"/>
    </w:rPr>
  </w:style>
  <w:style w:customStyle="1" w:styleId="VariableTok" w:type="character">
    <w:name w:val="VariableTok"/>
    <w:basedOn w:val="VerbatimChar"/>
    <w:rPr>
      <w:rFonts w:ascii="Consolas" w:hAnsi="Consolas"/>
      <w:color w:val="111111"/>
      <w:sz w:val="22"/>
      <w:shd w:color="auto" w:fill="F1F3F5" w:val="clear"/>
    </w:rPr>
  </w:style>
  <w:style w:customStyle="1" w:styleId="ControlFlowTok" w:type="character">
    <w:name w:val="ControlFlowTok"/>
    <w:basedOn w:val="VerbatimChar"/>
    <w:rPr>
      <w:rFonts w:ascii="Consolas" w:hAnsi="Consolas"/>
      <w:b/>
      <w:color w:val="003B4F"/>
      <w:sz w:val="22"/>
      <w:shd w:color="auto" w:fill="F1F3F5" w:val="clear"/>
    </w:rPr>
  </w:style>
  <w:style w:customStyle="1" w:styleId="OperatorTok" w:type="character">
    <w:name w:val="OperatorTok"/>
    <w:basedOn w:val="VerbatimChar"/>
    <w:rPr>
      <w:rFonts w:ascii="Consolas" w:hAnsi="Consolas"/>
      <w:color w:val="5E5E5E"/>
      <w:sz w:val="22"/>
      <w:shd w:color="auto" w:fill="F1F3F5" w:val="clear"/>
    </w:rPr>
  </w:style>
  <w:style w:customStyle="1" w:styleId="BuiltInTok" w:type="character">
    <w:name w:val="BuiltInTok"/>
    <w:basedOn w:val="VerbatimChar"/>
    <w:rPr>
      <w:rFonts w:ascii="Consolas" w:hAnsi="Consolas"/>
      <w:color w:val="003B4F"/>
      <w:sz w:val="22"/>
      <w:shd w:color="auto" w:fill="F1F3F5" w:val="clear"/>
    </w:rPr>
  </w:style>
  <w:style w:customStyle="1" w:styleId="ExtensionTok" w:type="character">
    <w:name w:val="ExtensionTok"/>
    <w:basedOn w:val="VerbatimChar"/>
    <w:rPr>
      <w:rFonts w:ascii="Consolas" w:hAnsi="Consolas"/>
      <w:color w:val="003B4F"/>
      <w:sz w:val="22"/>
      <w:shd w:color="auto" w:fill="F1F3F5" w:val="clear"/>
    </w:rPr>
  </w:style>
  <w:style w:customStyle="1" w:styleId="PreprocessorTok" w:type="character">
    <w:name w:val="PreprocessorTok"/>
    <w:basedOn w:val="VerbatimChar"/>
    <w:rPr>
      <w:rFonts w:ascii="Consolas" w:hAnsi="Consolas"/>
      <w:color w:val="AD0000"/>
      <w:sz w:val="22"/>
      <w:shd w:color="auto" w:fill="F1F3F5" w:val="clear"/>
    </w:rPr>
  </w:style>
  <w:style w:customStyle="1" w:styleId="AttributeTok" w:type="character">
    <w:name w:val="AttributeTok"/>
    <w:basedOn w:val="VerbatimChar"/>
    <w:rPr>
      <w:rFonts w:ascii="Consolas" w:hAnsi="Consolas"/>
      <w:color w:val="657422"/>
      <w:sz w:val="22"/>
      <w:shd w:color="auto" w:fill="F1F3F5" w:val="clear"/>
    </w:rPr>
  </w:style>
  <w:style w:customStyle="1" w:styleId="RegionMarkerTok" w:type="character">
    <w:name w:val="RegionMarkerTok"/>
    <w:basedOn w:val="VerbatimChar"/>
    <w:rPr>
      <w:rFonts w:ascii="Consolas" w:hAnsi="Consolas"/>
      <w:color w:val="003B4F"/>
      <w:sz w:val="22"/>
      <w:shd w:color="auto" w:fill="F1F3F5" w:val="clear"/>
    </w:rPr>
  </w:style>
  <w:style w:customStyle="1" w:styleId="InformationTok" w:type="character">
    <w:name w:val="InformationTok"/>
    <w:basedOn w:val="VerbatimChar"/>
    <w:rPr>
      <w:rFonts w:ascii="Consolas" w:hAnsi="Consolas"/>
      <w:color w:val="5E5E5E"/>
      <w:sz w:val="22"/>
      <w:shd w:color="auto" w:fill="F1F3F5" w:val="clear"/>
    </w:rPr>
  </w:style>
  <w:style w:customStyle="1" w:styleId="WarningTok" w:type="character">
    <w:name w:val="WarningTok"/>
    <w:basedOn w:val="VerbatimChar"/>
    <w:rPr>
      <w:rFonts w:ascii="Consolas" w:hAnsi="Consolas"/>
      <w:i/>
      <w:color w:val="5E5E5E"/>
      <w:sz w:val="22"/>
      <w:shd w:color="auto" w:fill="F1F3F5" w:val="clear"/>
    </w:rPr>
  </w:style>
  <w:style w:customStyle="1" w:styleId="AlertTok" w:type="character">
    <w:name w:val="AlertTok"/>
    <w:basedOn w:val="VerbatimChar"/>
    <w:rPr>
      <w:rFonts w:ascii="Consolas" w:hAnsi="Consolas"/>
      <w:color w:val="AD0000"/>
      <w:sz w:val="22"/>
      <w:shd w:color="auto" w:fill="F1F3F5" w:val="clear"/>
    </w:rPr>
  </w:style>
  <w:style w:customStyle="1" w:styleId="ErrorTok" w:type="character">
    <w:name w:val="ErrorTok"/>
    <w:basedOn w:val="VerbatimChar"/>
    <w:rPr>
      <w:rFonts w:ascii="Consolas" w:hAnsi="Consolas"/>
      <w:color w:val="AD0000"/>
      <w:sz w:val="22"/>
      <w:shd w:color="auto" w:fill="F1F3F5" w:val="clear"/>
    </w:rPr>
  </w:style>
  <w:style w:customStyle="1" w:styleId="NormalTok" w:type="character">
    <w:name w:val="NormalTok"/>
    <w:basedOn w:val="VerbatimChar"/>
    <w:rPr>
      <w:rFonts w:ascii="Consolas" w:hAnsi="Consolas"/>
      <w:color w:val="003B4F"/>
      <w:sz w:val="22"/>
      <w:shd w:color="auto" w:fill="F1F3F5" w:val="clear"/>
    </w:rPr>
  </w:style>
  <w:style w:styleId="LineNumber" w:type="character">
    <w:name w:val="line number"/>
    <w:basedOn w:val="DefaultParagraphFont"/>
    <w:rsid w:val="007554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hyperlink" Id="rId101" Target="http://statwww.epfl.ch/davison/BMA/" TargetMode="External" /><Relationship Type="http://schemas.openxmlformats.org/officeDocument/2006/relationships/hyperlink" Id="rId118" Target="http://www.tandfonline.com/doi/full/10.1586/erv.13.35" TargetMode="External" /><Relationship Type="http://schemas.openxmlformats.org/officeDocument/2006/relationships/hyperlink" Id="rId107" Target="https://CRAN.R-project.org/package=renv" TargetMode="External" /><Relationship Type="http://schemas.openxmlformats.org/officeDocument/2006/relationships/hyperlink" Id="rId99" Target="https://datathief.org/" TargetMode="External" /><Relationship Type="http://schemas.openxmlformats.org/officeDocument/2006/relationships/hyperlink" Id="rId78" Target="https://doi.org/10.1002/sim.2282" TargetMode="External" /><Relationship Type="http://schemas.openxmlformats.org/officeDocument/2006/relationships/hyperlink" Id="rId53" Target="https://doi.org/10.1016/j.vaccine.2017.03.092" TargetMode="External" /><Relationship Type="http://schemas.openxmlformats.org/officeDocument/2006/relationships/hyperlink" Id="rId57" Target="https://doi.org/10.1016/j.vaccine.2020.09.004" TargetMode="External" /><Relationship Type="http://schemas.openxmlformats.org/officeDocument/2006/relationships/hyperlink" Id="rId43" Target="https://doi.org/10.1056/NEJMoa1315727" TargetMode="External" /><Relationship Type="http://schemas.openxmlformats.org/officeDocument/2006/relationships/hyperlink" Id="rId41" Target="https://doi.org/10.1093/cid/ciad322" TargetMode="External" /><Relationship Type="http://schemas.openxmlformats.org/officeDocument/2006/relationships/hyperlink" Id="rId110" Target="https://doi.org/10.1093/cid/ciy097" TargetMode="External" /><Relationship Type="http://schemas.openxmlformats.org/officeDocument/2006/relationships/hyperlink" Id="rId87" Target="https://doi.org/10.1093/cid/ciy759" TargetMode="External" /><Relationship Type="http://schemas.openxmlformats.org/officeDocument/2006/relationships/hyperlink" Id="rId72" Target="https://doi.org/10.1093/infdis/jir661" TargetMode="External" /><Relationship Type="http://schemas.openxmlformats.org/officeDocument/2006/relationships/hyperlink" Id="rId80" Target="https://doi.org/10.1093/infdis/jit372" TargetMode="External" /><Relationship Type="http://schemas.openxmlformats.org/officeDocument/2006/relationships/hyperlink" Id="rId61" Target="https://doi.org/10.1097/EDE.0000000000001473" TargetMode="External" /><Relationship Type="http://schemas.openxmlformats.org/officeDocument/2006/relationships/hyperlink" Id="rId76" Target="https://doi.org/10.1111/irv.12706" TargetMode="External" /><Relationship Type="http://schemas.openxmlformats.org/officeDocument/2006/relationships/hyperlink" Id="rId114" Target="https://doi.org/10.1126/scitranslmed.abd3601" TargetMode="External" /><Relationship Type="http://schemas.openxmlformats.org/officeDocument/2006/relationships/hyperlink" Id="rId83" Target="https://doi.org/10.1186/1471-2288-10-18" TargetMode="External" /><Relationship Type="http://schemas.openxmlformats.org/officeDocument/2006/relationships/hyperlink" Id="rId105" Target="https://doi.org/10.21105/joss.01686" TargetMode="External" /><Relationship Type="http://schemas.openxmlformats.org/officeDocument/2006/relationships/hyperlink" Id="rId112" Target="https://doi.org/10.2807/1560-7917.ES.2020.25.1.1900245" TargetMode="External" /><Relationship Type="http://schemas.openxmlformats.org/officeDocument/2006/relationships/hyperlink" Id="rId74" Target="https://doi.org/10.4161/hv.22908" TargetMode="External" /><Relationship Type="http://schemas.openxmlformats.org/officeDocument/2006/relationships/hyperlink" Id="rId89" Target="https://doi.org/10.4161/hv.6.10.12636" TargetMode="External" /><Relationship Type="http://schemas.openxmlformats.org/officeDocument/2006/relationships/hyperlink" Id="rId97" Target="https://insight.jci.org/articles/view/132155" TargetMode="External" /><Relationship Type="http://schemas.openxmlformats.org/officeDocument/2006/relationships/hyperlink" Id="rId45" Target="https://journals.asm.org/doi/10.1128/CVI.00604-15" TargetMode="External" /><Relationship Type="http://schemas.openxmlformats.org/officeDocument/2006/relationships/hyperlink" Id="rId51" Target="https://linkinghub.elsevier.com/retrieve/pii/S0264410X18313197" TargetMode="External" /><Relationship Type="http://schemas.openxmlformats.org/officeDocument/2006/relationships/hyperlink" Id="rId49" Target="https://linkinghub.elsevier.com/retrieve/pii/S0264410X20306381" TargetMode="External" /><Relationship Type="http://schemas.openxmlformats.org/officeDocument/2006/relationships/hyperlink" Id="rId39" Target="https://linkinghub.elsevier.com/retrieve/pii/S0264410X20314900" TargetMode="External" /><Relationship Type="http://schemas.openxmlformats.org/officeDocument/2006/relationships/hyperlink" Id="rId47" Target="https://linkinghub.elsevier.com/retrieve/pii/S1473309914710874" TargetMode="External" /><Relationship Type="http://schemas.openxmlformats.org/officeDocument/2006/relationships/hyperlink" Id="rId70" Target="https://www.cambridge.org/core/journals/epidemiology-and-infection/article/role-of-serum-haemagglutinationinhibiting-antibody-in-protection-against-challenge-infection-with-influenza-a2-and-b-viruses/BE4AB655EE41499C5C25349AEDD22C20" TargetMode="External" /><Relationship Type="http://schemas.openxmlformats.org/officeDocument/2006/relationships/hyperlink" Id="rId55" Target="https://www.cdc.gov/flu/prevent/qa_fluzone.htm" TargetMode="External" /><Relationship Type="http://schemas.openxmlformats.org/officeDocument/2006/relationships/hyperlink" Id="rId63" Target="https://www.cdc.gov/flu/vaccines-work/effectiveness-studies.htm" TargetMode="External" /><Relationship Type="http://schemas.openxmlformats.org/officeDocument/2006/relationships/hyperlink" Id="rId65" Target="https://www.fda.gov/regulatory-information/search-fda-guidance-documents/clinical-data-needed-support-licensure-pandemic-influenza-vaccines" TargetMode="External" /><Relationship Type="http://schemas.openxmlformats.org/officeDocument/2006/relationships/hyperlink" Id="rId103" Target="https://www.mdpi.com/1999-4915/14/11/2446" TargetMode="External" /><Relationship Type="http://schemas.openxmlformats.org/officeDocument/2006/relationships/hyperlink" Id="rId85" Target="https://www.nature.com/articles/s41541-021-00377-6" TargetMode="External" /><Relationship Type="http://schemas.openxmlformats.org/officeDocument/2006/relationships/hyperlink" Id="rId91" Target="https://www.nature.com/articles/s41564-024-01732-8" TargetMode="External" /><Relationship Type="http://schemas.openxmlformats.org/officeDocument/2006/relationships/hyperlink" Id="rId116" Target="https://www.nature.com/articles/s41590-023-01590-2" TargetMode="External" /><Relationship Type="http://schemas.openxmlformats.org/officeDocument/2006/relationships/hyperlink" Id="rId59" Target="https://www.ncbi.nlm.nih.gov/pmc/articles/PMC10276206/" TargetMode="External" /><Relationship Type="http://schemas.openxmlformats.org/officeDocument/2006/relationships/hyperlink" Id="rId68" Target="https://www.ncbi.nlm.nih.gov/pmc/articles/PMC4947948/" TargetMode="External" /><Relationship Type="http://schemas.openxmlformats.org/officeDocument/2006/relationships/hyperlink" Id="rId95" Target="https://www.ncbi.nlm.nih.gov/pmc/articles/PMC7965973/" TargetMode="External" /><Relationship Type="http://schemas.openxmlformats.org/officeDocument/2006/relationships/hyperlink" Id="rId93" Target="https://www.ncbi.nlm.nih.gov/pmc/articles/PMC9073386/" TargetMode="External" /><Relationship Type="http://schemas.openxmlformats.org/officeDocument/2006/relationships/hyperlink" Id="rId37" Target="https://www.sciencedirect.com/science/article/pii/S0952791514000569" TargetMode="External" /></Relationships>
</file>

<file path=word/_rels/footnotes.xml.rels><?xml version="1.0" encoding="UTF-8"?><Relationships xmlns="http://schemas.openxmlformats.org/package/2006/relationships"><Relationship Type="http://schemas.openxmlformats.org/officeDocument/2006/relationships/hyperlink" Id="rId101" Target="http://statwww.epfl.ch/davison/BMA/" TargetMode="External" /><Relationship Type="http://schemas.openxmlformats.org/officeDocument/2006/relationships/hyperlink" Id="rId118" Target="http://www.tandfonline.com/doi/full/10.1586/erv.13.35" TargetMode="External" /><Relationship Type="http://schemas.openxmlformats.org/officeDocument/2006/relationships/hyperlink" Id="rId107" Target="https://CRAN.R-project.org/package=renv" TargetMode="External" /><Relationship Type="http://schemas.openxmlformats.org/officeDocument/2006/relationships/hyperlink" Id="rId99" Target="https://datathief.org/" TargetMode="External" /><Relationship Type="http://schemas.openxmlformats.org/officeDocument/2006/relationships/hyperlink" Id="rId78" Target="https://doi.org/10.1002/sim.2282" TargetMode="External" /><Relationship Type="http://schemas.openxmlformats.org/officeDocument/2006/relationships/hyperlink" Id="rId53" Target="https://doi.org/10.1016/j.vaccine.2017.03.092" TargetMode="External" /><Relationship Type="http://schemas.openxmlformats.org/officeDocument/2006/relationships/hyperlink" Id="rId57" Target="https://doi.org/10.1016/j.vaccine.2020.09.004" TargetMode="External" /><Relationship Type="http://schemas.openxmlformats.org/officeDocument/2006/relationships/hyperlink" Id="rId43" Target="https://doi.org/10.1056/NEJMoa1315727" TargetMode="External" /><Relationship Type="http://schemas.openxmlformats.org/officeDocument/2006/relationships/hyperlink" Id="rId41" Target="https://doi.org/10.1093/cid/ciad322" TargetMode="External" /><Relationship Type="http://schemas.openxmlformats.org/officeDocument/2006/relationships/hyperlink" Id="rId110" Target="https://doi.org/10.1093/cid/ciy097" TargetMode="External" /><Relationship Type="http://schemas.openxmlformats.org/officeDocument/2006/relationships/hyperlink" Id="rId87" Target="https://doi.org/10.1093/cid/ciy759" TargetMode="External" /><Relationship Type="http://schemas.openxmlformats.org/officeDocument/2006/relationships/hyperlink" Id="rId72" Target="https://doi.org/10.1093/infdis/jir661" TargetMode="External" /><Relationship Type="http://schemas.openxmlformats.org/officeDocument/2006/relationships/hyperlink" Id="rId80" Target="https://doi.org/10.1093/infdis/jit372" TargetMode="External" /><Relationship Type="http://schemas.openxmlformats.org/officeDocument/2006/relationships/hyperlink" Id="rId61" Target="https://doi.org/10.1097/EDE.0000000000001473" TargetMode="External" /><Relationship Type="http://schemas.openxmlformats.org/officeDocument/2006/relationships/hyperlink" Id="rId76" Target="https://doi.org/10.1111/irv.12706" TargetMode="External" /><Relationship Type="http://schemas.openxmlformats.org/officeDocument/2006/relationships/hyperlink" Id="rId114" Target="https://doi.org/10.1126/scitranslmed.abd3601" TargetMode="External" /><Relationship Type="http://schemas.openxmlformats.org/officeDocument/2006/relationships/hyperlink" Id="rId83" Target="https://doi.org/10.1186/1471-2288-10-18" TargetMode="External" /><Relationship Type="http://schemas.openxmlformats.org/officeDocument/2006/relationships/hyperlink" Id="rId105" Target="https://doi.org/10.21105/joss.01686" TargetMode="External" /><Relationship Type="http://schemas.openxmlformats.org/officeDocument/2006/relationships/hyperlink" Id="rId112" Target="https://doi.org/10.2807/1560-7917.ES.2020.25.1.1900245" TargetMode="External" /><Relationship Type="http://schemas.openxmlformats.org/officeDocument/2006/relationships/hyperlink" Id="rId74" Target="https://doi.org/10.4161/hv.22908" TargetMode="External" /><Relationship Type="http://schemas.openxmlformats.org/officeDocument/2006/relationships/hyperlink" Id="rId89" Target="https://doi.org/10.4161/hv.6.10.12636" TargetMode="External" /><Relationship Type="http://schemas.openxmlformats.org/officeDocument/2006/relationships/hyperlink" Id="rId97" Target="https://insight.jci.org/articles/view/132155" TargetMode="External" /><Relationship Type="http://schemas.openxmlformats.org/officeDocument/2006/relationships/hyperlink" Id="rId45" Target="https://journals.asm.org/doi/10.1128/CVI.00604-15" TargetMode="External" /><Relationship Type="http://schemas.openxmlformats.org/officeDocument/2006/relationships/hyperlink" Id="rId51" Target="https://linkinghub.elsevier.com/retrieve/pii/S0264410X18313197" TargetMode="External" /><Relationship Type="http://schemas.openxmlformats.org/officeDocument/2006/relationships/hyperlink" Id="rId49" Target="https://linkinghub.elsevier.com/retrieve/pii/S0264410X20306381" TargetMode="External" /><Relationship Type="http://schemas.openxmlformats.org/officeDocument/2006/relationships/hyperlink" Id="rId39" Target="https://linkinghub.elsevier.com/retrieve/pii/S0264410X20314900" TargetMode="External" /><Relationship Type="http://schemas.openxmlformats.org/officeDocument/2006/relationships/hyperlink" Id="rId47" Target="https://linkinghub.elsevier.com/retrieve/pii/S1473309914710874" TargetMode="External" /><Relationship Type="http://schemas.openxmlformats.org/officeDocument/2006/relationships/hyperlink" Id="rId70" Target="https://www.cambridge.org/core/journals/epidemiology-and-infection/article/role-of-serum-haemagglutinationinhibiting-antibody-in-protection-against-challenge-infection-with-influenza-a2-and-b-viruses/BE4AB655EE41499C5C25349AEDD22C20" TargetMode="External" /><Relationship Type="http://schemas.openxmlformats.org/officeDocument/2006/relationships/hyperlink" Id="rId55" Target="https://www.cdc.gov/flu/prevent/qa_fluzone.htm" TargetMode="External" /><Relationship Type="http://schemas.openxmlformats.org/officeDocument/2006/relationships/hyperlink" Id="rId63" Target="https://www.cdc.gov/flu/vaccines-work/effectiveness-studies.htm" TargetMode="External" /><Relationship Type="http://schemas.openxmlformats.org/officeDocument/2006/relationships/hyperlink" Id="rId65" Target="https://www.fda.gov/regulatory-information/search-fda-guidance-documents/clinical-data-needed-support-licensure-pandemic-influenza-vaccines" TargetMode="External" /><Relationship Type="http://schemas.openxmlformats.org/officeDocument/2006/relationships/hyperlink" Id="rId103" Target="https://www.mdpi.com/1999-4915/14/11/2446" TargetMode="External" /><Relationship Type="http://schemas.openxmlformats.org/officeDocument/2006/relationships/hyperlink" Id="rId85" Target="https://www.nature.com/articles/s41541-021-00377-6" TargetMode="External" /><Relationship Type="http://schemas.openxmlformats.org/officeDocument/2006/relationships/hyperlink" Id="rId91" Target="https://www.nature.com/articles/s41564-024-01732-8" TargetMode="External" /><Relationship Type="http://schemas.openxmlformats.org/officeDocument/2006/relationships/hyperlink" Id="rId116" Target="https://www.nature.com/articles/s41590-023-01590-2" TargetMode="External" /><Relationship Type="http://schemas.openxmlformats.org/officeDocument/2006/relationships/hyperlink" Id="rId59" Target="https://www.ncbi.nlm.nih.gov/pmc/articles/PMC10276206/" TargetMode="External" /><Relationship Type="http://schemas.openxmlformats.org/officeDocument/2006/relationships/hyperlink" Id="rId68" Target="https://www.ncbi.nlm.nih.gov/pmc/articles/PMC4947948/" TargetMode="External" /><Relationship Type="http://schemas.openxmlformats.org/officeDocument/2006/relationships/hyperlink" Id="rId95" Target="https://www.ncbi.nlm.nih.gov/pmc/articles/PMC7965973/" TargetMode="External" /><Relationship Type="http://schemas.openxmlformats.org/officeDocument/2006/relationships/hyperlink" Id="rId93" Target="https://www.ncbi.nlm.nih.gov/pmc/articles/PMC9073386/" TargetMode="External" /><Relationship Type="http://schemas.openxmlformats.org/officeDocument/2006/relationships/hyperlink" Id="rId37" Target="https://www.sciencedirect.com/science/article/pii/S095279151400056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template.dotx</Template>
  <TotalTime>8</TotalTime>
  <Pages>29</Pages>
  <Words>5007</Words>
  <Characters>28544</Characters>
  <Application>Microsoft Office Word</Application>
  <DocSecurity>0</DocSecurity>
  <Lines>237</Lines>
  <Paragraphs>66</Paragraphs>
  <ScaleCrop>false</ScaleCrop>
  <Company/>
  <LinksUpToDate>false</LinksUpToDate>
  <CharactersWithSpaces>33485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Estimating standard-dose and high-dose Fluzone vaccine efficacies for influenza A based on HAI titers</dc:title>
  <dc:creator/>
  <cp:keywords/>
  <dcterms:created xsi:type="dcterms:W3CDTF">2024-11-28T03:11:49Z</dcterms:created>
  <dcterms:modified xsi:type="dcterms:W3CDTF">2024-11-28T03:11:49Z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sources.bib</vt:lpwstr>
  </property>
  <property fmtid="{D5CDD505-2E9C-101B-9397-08002B2CF9AE}" pid="4" name="csl">
    <vt:lpwstr>journal-of-infectious-diseases.csl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subtitle">
    <vt:lpwstr>Estimating SD and HD VE using HAI titers</vt:lpwstr>
  </property>
  <property fmtid="{D5CDD505-2E9C-101B-9397-08002B2CF9AE}" pid="10" name="toc-title">
    <vt:lpwstr>Table of contents</vt:lpwstr>
  </property>
</Properties>
</file>