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200"/>
        <w:jc w:val="center"/>
        <w:rPr>
          <w:color w:val="auto"/>
        </w:rPr>
      </w:pPr>
      <w:r>
        <w:rPr>
          <w:rFonts w:eastAsia="Calibri" w:cs="Calibri"/>
          <w:b/>
          <w:bCs/>
          <w:color w:val="auto"/>
          <w:sz w:val="24"/>
          <w:szCs w:val="24"/>
        </w:rPr>
        <w:t>GOBIERNO DEL ESTADO DE CHIHUAHUA</w:t>
      </w:r>
    </w:p>
    <w:p>
      <w:pPr>
        <w:pStyle w:val="Normal"/>
        <w:spacing w:before="40" w:after="40"/>
        <w:jc w:val="center"/>
        <w:rPr>
          <w:color w:val="auto"/>
        </w:rPr>
      </w:pPr>
      <w:r>
        <w:rPr>
          <w:rFonts w:eastAsia="Calibri" w:cs="Calibri"/>
          <w:color w:val="auto"/>
          <w:sz w:val="20"/>
          <w:szCs w:val="20"/>
          <w:lang w:val="en-US"/>
        </w:rPr>
        <w:t>Secretaría de Innovación y Desarrollo Económico  •  INADET</w:t>
      </w:r>
    </w:p>
    <w:p>
      <w:pPr>
        <w:pStyle w:val="Normal"/>
        <w:spacing w:before="280" w:after="100"/>
        <w:jc w:val="center"/>
        <w:rPr>
          <w:color w:val="auto"/>
        </w:rPr>
      </w:pPr>
      <w:r>
        <w:rPr>
          <w:rFonts w:eastAsia="Calibri" w:cs="Calibri"/>
          <w:b/>
          <w:bCs/>
          <w:color w:val="auto"/>
          <w:sz w:val="32"/>
          <w:szCs w:val="32"/>
        </w:rPr>
        <w:t>PROGRAMA DE DESARROLLO DE TALENTOS CHIHUAHUENSES EN TAIWÁN</w:t>
      </w:r>
    </w:p>
    <w:p>
      <w:pPr>
        <w:pStyle w:val="Normal"/>
        <w:spacing w:before="60" w:after="60"/>
        <w:jc w:val="center"/>
        <w:rPr>
          <w:color w:val="auto"/>
        </w:rPr>
      </w:pPr>
      <w:r>
        <w:rPr>
          <w:rFonts w:eastAsia="Calibri" w:cs="Calibri"/>
          <w:color w:val="auto"/>
          <w:sz w:val="26"/>
          <w:szCs w:val="26"/>
          <w:lang w:val="en-US"/>
        </w:rPr>
        <w:t>Segunda Generación  •  2026-2027</w:t>
      </w:r>
    </w:p>
    <w:p>
      <w:pPr>
        <w:pStyle w:val="Normal"/>
        <w:spacing w:before="40" w:after="200"/>
        <w:jc w:val="center"/>
        <w:rPr>
          <w:color w:val="auto"/>
        </w:rPr>
      </w:pPr>
      <w:r>
        <w:rPr>
          <w:rFonts w:eastAsia="Calibri" w:cs="Calibri"/>
          <w:i/>
          <w:iCs/>
          <w:color w:val="auto"/>
          <w:sz w:val="22"/>
          <w:szCs w:val="22"/>
          <w:lang w:val="en-US"/>
        </w:rPr>
        <w:t>Proyecto Ejecutivo de Formación Especializada: IA, Automatización y Semiconductores</w:t>
      </w:r>
    </w:p>
    <w:tbl>
      <w:tblPr>
        <w:tblW w:w="9000" w:type="dxa"/>
        <w:jc w:val="start"/>
        <w:tblInd w:w="0" w:type="dxa"/>
        <w:tblLayout w:type="fixed"/>
        <w:tblCellMar>
          <w:top w:w="100" w:type="dxa"/>
          <w:start w:w="160" w:type="dxa"/>
          <w:bottom w:w="100" w:type="dxa"/>
          <w:end w:w="160" w:type="dxa"/>
        </w:tblCellMar>
      </w:tblPr>
      <w:tblGrid>
        <w:gridCol w:w="3200"/>
        <w:gridCol w:w="5800"/>
      </w:tblGrid>
      <w:tr>
        <w:trPr/>
        <w:tc>
          <w:tcPr>
            <w:tcW w:w="3200"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Dato Clave</w:t>
            </w:r>
          </w:p>
        </w:tc>
        <w:tc>
          <w:tcPr>
            <w:tcW w:w="5800"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lang w:val="en-US"/>
              </w:rPr>
              <w:t>Descripción</w:t>
            </w:r>
          </w:p>
        </w:tc>
      </w:tr>
      <w:tr>
        <w:trPr/>
        <w:tc>
          <w:tcPr>
            <w:tcW w:w="320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b/>
                <w:bCs/>
                <w:color w:val="auto"/>
                <w:sz w:val="19"/>
                <w:szCs w:val="19"/>
              </w:rPr>
              <w:t>Nombre del Proyecto</w:t>
            </w:r>
          </w:p>
        </w:tc>
        <w:tc>
          <w:tcPr>
            <w:tcW w:w="580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lang w:val="en-US"/>
              </w:rPr>
              <w:t>Desarrollo de Talentos Chihuahuenses en Taiwán – 2ª Gen</w:t>
            </w:r>
          </w:p>
        </w:tc>
      </w:tr>
      <w:tr>
        <w:trPr/>
        <w:tc>
          <w:tcPr>
            <w:tcW w:w="3200"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b/>
                <w:bCs/>
                <w:color w:val="auto"/>
                <w:sz w:val="19"/>
                <w:szCs w:val="19"/>
                <w:lang w:val="en-US"/>
              </w:rPr>
              <w:t>Inversión Total</w:t>
            </w:r>
          </w:p>
        </w:tc>
        <w:tc>
          <w:tcPr>
            <w:tcW w:w="5800"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rPr>
              <w:t>$11,500,000.00 MXN</w:t>
            </w:r>
          </w:p>
        </w:tc>
      </w:tr>
      <w:tr>
        <w:trPr/>
        <w:tc>
          <w:tcPr>
            <w:tcW w:w="320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b/>
                <w:bCs/>
                <w:color w:val="auto"/>
                <w:sz w:val="19"/>
                <w:szCs w:val="19"/>
                <w:lang w:val="en-US"/>
              </w:rPr>
              <w:t>Aportación SIDE</w:t>
            </w:r>
          </w:p>
        </w:tc>
        <w:tc>
          <w:tcPr>
            <w:tcW w:w="580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rPr>
              <w:t>$11,500,000.00 (100%)</w:t>
            </w:r>
          </w:p>
        </w:tc>
      </w:tr>
      <w:tr>
        <w:trPr/>
        <w:tc>
          <w:tcPr>
            <w:tcW w:w="3200"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b/>
                <w:bCs/>
                <w:color w:val="auto"/>
                <w:sz w:val="19"/>
                <w:szCs w:val="19"/>
                <w:lang w:val="en-US"/>
              </w:rPr>
              <w:t>Beneficiarios</w:t>
            </w:r>
          </w:p>
        </w:tc>
        <w:tc>
          <w:tcPr>
            <w:tcW w:w="5800"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lang w:val="en-US"/>
              </w:rPr>
              <w:t>15 Estudiantes de Ingeniería / Recién Egresados</w:t>
            </w:r>
          </w:p>
        </w:tc>
      </w:tr>
      <w:tr>
        <w:trPr/>
        <w:tc>
          <w:tcPr>
            <w:tcW w:w="320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b/>
                <w:bCs/>
                <w:color w:val="auto"/>
                <w:sz w:val="19"/>
                <w:szCs w:val="19"/>
                <w:lang w:val="en-US"/>
              </w:rPr>
              <w:t>Duración</w:t>
            </w:r>
          </w:p>
        </w:tc>
        <w:tc>
          <w:tcPr>
            <w:tcW w:w="580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lang w:val="en-US"/>
              </w:rPr>
              <w:t>20 Semanas (18 en STUST + 2 en ITRI)</w:t>
            </w:r>
          </w:p>
        </w:tc>
      </w:tr>
      <w:tr>
        <w:trPr/>
        <w:tc>
          <w:tcPr>
            <w:tcW w:w="3200"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b/>
                <w:bCs/>
                <w:color w:val="auto"/>
                <w:sz w:val="19"/>
                <w:szCs w:val="19"/>
                <w:lang w:val="en-US"/>
              </w:rPr>
              <w:t>Ubicación</w:t>
            </w:r>
          </w:p>
        </w:tc>
        <w:tc>
          <w:tcPr>
            <w:tcW w:w="5800"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lang w:val="en-US"/>
              </w:rPr>
              <w:t>Tainan y Hsinchu, República de China (Taiwán)</w:t>
            </w:r>
          </w:p>
        </w:tc>
      </w:tr>
      <w:tr>
        <w:trPr/>
        <w:tc>
          <w:tcPr>
            <w:tcW w:w="320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b/>
                <w:bCs/>
                <w:color w:val="auto"/>
                <w:sz w:val="19"/>
                <w:szCs w:val="19"/>
                <w:lang w:val="en-US"/>
              </w:rPr>
              <w:t>Ejes Técnicos</w:t>
            </w:r>
          </w:p>
        </w:tc>
        <w:tc>
          <w:tcPr>
            <w:tcW w:w="580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lang w:val="en-US"/>
              </w:rPr>
              <w:t>IA, Automatización, Semiconductores y Electromovilidad</w:t>
            </w:r>
          </w:p>
        </w:tc>
      </w:tr>
    </w:tbl>
    <w:p>
      <w:pPr>
        <w:pStyle w:val="Normal"/>
        <w:spacing w:before="0" w:after="60"/>
        <w:rPr>
          <w:color w:val="auto"/>
        </w:rPr>
      </w:pPr>
      <w:r>
        <w:rPr>
          <w:color w:val="auto"/>
        </w:rPr>
      </w:r>
    </w:p>
    <w:p>
      <w:pPr>
        <w:pStyle w:val="Normal"/>
        <w:shd w:val="clear" w:color="auto" w:fill="D6E4F5"/>
        <w:spacing w:before="160" w:after="80"/>
        <w:ind w:start="400" w:end="400"/>
        <w:jc w:val="center"/>
        <w:rPr>
          <w:color w:val="auto"/>
        </w:rPr>
      </w:pPr>
      <w:r>
        <w:rPr>
          <w:rFonts w:eastAsia="Calibri" w:cs="Calibri"/>
          <w:b/>
          <w:bCs/>
          <w:color w:val="auto"/>
          <w:sz w:val="20"/>
          <w:szCs w:val="20"/>
          <w:lang w:val="en-US"/>
        </w:rPr>
        <w:t xml:space="preserve">VALOR AGREGADO: </w:t>
      </w:r>
      <w:r>
        <w:rPr>
          <w:rFonts w:eastAsia="Calibri" w:cs="Calibri"/>
          <w:color w:val="auto"/>
          <w:sz w:val="20"/>
          <w:szCs w:val="20"/>
          <w:lang w:val="en-US"/>
        </w:rPr>
        <w:t xml:space="preserve">Este programa es una </w:t>
      </w:r>
      <w:r>
        <w:rPr>
          <w:rFonts w:eastAsia="Calibri" w:cs="Calibri"/>
          <w:b/>
          <w:bCs/>
          <w:color w:val="auto"/>
          <w:sz w:val="20"/>
          <w:szCs w:val="20"/>
          <w:lang w:val="en-US"/>
        </w:rPr>
        <w:t>iniciativa estratégica de transferencia tecnológica</w:t>
      </w:r>
      <w:r>
        <w:rPr>
          <w:rFonts w:eastAsia="Calibri" w:cs="Calibri"/>
          <w:color w:val="auto"/>
          <w:sz w:val="20"/>
          <w:szCs w:val="20"/>
          <w:lang w:val="en-US"/>
        </w:rPr>
        <w:t>. Los becarios actuarán como “semillas tecnológicas” que, al regresar, transferirán conocimientos críticos a la industria local, fortaleciendo el ecosistema de semiconductores de Chihuahua ante el Nearshoring.</w:t>
      </w:r>
    </w:p>
    <w:p>
      <w:pPr>
        <w:pStyle w:val="Normal"/>
        <w:spacing w:before="0" w:after="60"/>
        <w:rPr>
          <w:color w:val="auto"/>
        </w:rPr>
      </w:pPr>
      <w:r>
        <w:rPr>
          <w:color w:val="auto"/>
        </w:rPr>
      </w:r>
    </w:p>
    <w:p>
      <w:pPr>
        <w:pStyle w:val="Normal"/>
        <w:spacing w:before="80" w:after="80"/>
        <w:jc w:val="center"/>
        <w:rPr>
          <w:color w:val="auto"/>
        </w:rPr>
      </w:pPr>
      <w:r>
        <w:rPr>
          <w:rFonts w:eastAsia="Calibri" w:cs="Calibri"/>
          <w:b/>
          <w:bCs/>
          <w:color w:val="auto"/>
          <w:sz w:val="20"/>
          <w:szCs w:val="20"/>
        </w:rPr>
        <w:t>CHIHUAHUA, CHIH. – 2026</w:t>
      </w:r>
    </w:p>
    <w:p>
      <w:pPr>
        <w:pStyle w:val="Normal"/>
        <w:spacing w:before="0" w:after="60"/>
        <w:rPr>
          <w:color w:val="auto"/>
        </w:rPr>
      </w:pPr>
      <w:r>
        <w:rPr>
          <w:color w:val="auto"/>
        </w:rPr>
      </w:r>
    </w:p>
    <w:p>
      <w:pPr>
        <w:pStyle w:val="Normal"/>
        <w:spacing w:before="200" w:after="140"/>
        <w:jc w:val="center"/>
        <w:rPr>
          <w:color w:val="auto"/>
        </w:rPr>
      </w:pPr>
      <w:r>
        <w:rPr>
          <w:rFonts w:eastAsia="Calibri" w:cs="Calibri"/>
          <w:b/>
          <w:bCs/>
          <w:color w:val="auto"/>
          <w:sz w:val="24"/>
          <w:szCs w:val="24"/>
        </w:rPr>
        <w:t>CONVENIO DE COLABORACIÓN No. CCOL-___/2026-SIDE/DGV</w:t>
      </w:r>
    </w:p>
    <w:p>
      <w:pPr>
        <w:pStyle w:val="Normal"/>
        <w:spacing w:lineRule="auto" w:line="281" w:before="80" w:after="80"/>
        <w:jc w:val="both"/>
        <w:rPr>
          <w:color w:val="auto"/>
        </w:rPr>
      </w:pPr>
      <w:r>
        <w:rPr>
          <w:rFonts w:eastAsia="Calibri" w:cs="Calibri"/>
          <w:color w:val="auto"/>
          <w:sz w:val="20"/>
          <w:szCs w:val="20"/>
        </w:rPr>
        <w:t>QUE FORMALIZAN, POR UNA PARTE, EL PODER EJECUTIVO DEL GOBIERNO DEL ESTADO DE CHIHUAHUA, REPRESENTADO EN ESTE ACTO POR LAS SECRETARÍAS DE HACIENDA Y DE INNOVACIÓN Y DESARROLLO ECONÓMICO, POR CONDUCTO DE SUS TITULARES, MTRO. JOSÉ DE JESÚS GRANILLO VÁZQUEZ Y EL MTRO. ULISES ALEJANDRO FERNÁNDEZ GAMBOA, RESPECTIVAMENTE, ESTE ÚLTIMO ASISTIDO POR EL LIC. JAIME LUCIANO FERNÁNDEZ CHÁVEZ, DIRECTOR GENERAL DE VINCULACIÓN DE LA SECRETARÍA DE INNOVACIÓN Y DESARROLLO ECONÓMICO, COMO RESPONSABLE DE LA SUPERVISIÓN Y VIGILANCIA DEL CUMPLIMIENTO DEL PRESENTE CONVENIO, A QUIENES EN LO SUCESIVO SE LES DENOMINARÁ "EL PODER EJECUTIVO"; Y POR LA OTRA PARTE, EL ORGANISMO PÚBLICO DESCENTRALIZADO DENOMINADO INSTITUTO DE APOYO AL DESARROLLO TECNOLÓGICO DEL ESTADO DE CHIHUAHUA, REPRESENTADO EN ESTE ACTO POR EL ING. SERGIO MANCINAS PEÑA, EN SU CARÁCTER DE DIRECTOR GENERAL, A QUIEN EN LO SUCESIVO SE LE DENOMINARÁ "EL INADET"; Y ACTUANDO CONJUNTAMENTE SE LES DENOMINARÁ COMO "LAS PARTES", MISMAS QUE SE SUJETAN AL TENOR DE LOS ANTECEDENTES, DECLARACIONES Y CLÁUSULAS SIGUIENTES:</w:t>
      </w:r>
    </w:p>
    <w:p>
      <w:pPr>
        <w:pStyle w:val="Heading1"/>
        <w:shd w:val="clear" w:fill="1A3A6B"/>
        <w:spacing w:before="360" w:after="160"/>
        <w:ind w:start="240" w:end="240"/>
        <w:rPr>
          <w:color w:val="auto"/>
        </w:rPr>
      </w:pPr>
      <w:r>
        <w:rPr>
          <w:rFonts w:eastAsia="Calibri" w:cs="Calibri" w:ascii="Calibri" w:hAnsi="Calibri"/>
          <w:b/>
          <w:bCs/>
          <w:color w:val="auto"/>
          <w:sz w:val="28"/>
          <w:szCs w:val="28"/>
        </w:rPr>
        <w:t>ANTECEDENTES</w:t>
      </w:r>
    </w:p>
    <w:p>
      <w:pPr>
        <w:pStyle w:val="Normal"/>
        <w:spacing w:lineRule="auto" w:line="281" w:before="80" w:after="80"/>
        <w:jc w:val="both"/>
        <w:rPr>
          <w:color w:val="auto"/>
        </w:rPr>
      </w:pPr>
      <w:r>
        <w:rPr>
          <w:rFonts w:eastAsia="Calibri" w:cs="Calibri"/>
          <w:color w:val="auto"/>
          <w:sz w:val="20"/>
          <w:szCs w:val="20"/>
          <w:lang w:val="en-US"/>
        </w:rPr>
        <w:t>El Plan Estatal de Desarrollo 2022-2027 es el documento rector que establece las prioridades de la administración estatal con el objetivo de mejorar las condiciones del estado y encauzarlo hacia el desarrollo pleno y la prosperidad de sus habitantes, definiendo prioridades, objetivos, estrategias, indicadores y metas en los ámbitos político, social, económico, cultural y ambiental.</w:t>
      </w:r>
    </w:p>
    <w:p>
      <w:pPr>
        <w:pStyle w:val="Normal"/>
        <w:spacing w:lineRule="auto" w:line="281" w:before="80" w:after="80"/>
        <w:jc w:val="both"/>
        <w:rPr>
          <w:color w:val="auto"/>
        </w:rPr>
      </w:pPr>
      <w:r>
        <w:rPr>
          <w:rFonts w:eastAsia="Calibri" w:cs="Calibri"/>
          <w:color w:val="auto"/>
          <w:sz w:val="20"/>
          <w:szCs w:val="20"/>
          <w:lang w:val="en-US"/>
        </w:rPr>
        <w:t>Posicionar a Chihuahua como uno de los destinos de inversión más atractivos a nivel internacional requiere de la incorporación de tecnologías y procesos avanzados en la producción industrial, así como la formación de talento humano especializado alineado con las necesidades de las empresas de alta tecnología con presencia en la entidad.</w:t>
      </w:r>
    </w:p>
    <w:p>
      <w:pPr>
        <w:pStyle w:val="Normal"/>
        <w:spacing w:lineRule="auto" w:line="281" w:before="80" w:after="80"/>
        <w:jc w:val="both"/>
        <w:rPr>
          <w:color w:val="auto"/>
        </w:rPr>
      </w:pPr>
      <w:r>
        <w:rPr>
          <w:rFonts w:eastAsia="Calibri" w:cs="Calibri"/>
          <w:color w:val="auto"/>
          <w:sz w:val="20"/>
          <w:szCs w:val="20"/>
          <w:lang w:val="en-US"/>
        </w:rPr>
        <w:t>A razón de lo anterior, el Gobierno del Estado de Chihuahua implementa el Programa Presupuestario 1U005B1 "Apoyo para el Fomento a la Innovación, Competitividad y Fortalecimiento Empresarial", al cual se vincula el presente Convenio, mismo que no cuenta con Reglas de Operación, cuya modalidad seleccionada es:</w:t>
      </w:r>
    </w:p>
    <w:p>
      <w:pPr>
        <w:pStyle w:val="Normal"/>
        <w:shd w:val="clear" w:color="auto" w:fill="F2F4F7"/>
        <w:spacing w:lineRule="auto" w:line="281" w:before="80" w:after="80"/>
        <w:ind w:start="720" w:end="720"/>
        <w:jc w:val="both"/>
        <w:rPr>
          <w:color w:val="auto"/>
        </w:rPr>
      </w:pPr>
      <w:r>
        <w:rPr>
          <w:rFonts w:eastAsia="Calibri" w:cs="Calibri"/>
          <w:i/>
          <w:iCs/>
          <w:color w:val="auto"/>
          <w:sz w:val="20"/>
          <w:szCs w:val="20"/>
          <w:lang w:val="en-US"/>
        </w:rPr>
        <w:t>"U" Otros Subsidios: Para otorgar subsidios no sujetos a reglas de operación; en su caso, se otorgan mediante convenio.</w:t>
      </w:r>
    </w:p>
    <w:p>
      <w:pPr>
        <w:pStyle w:val="Normal"/>
        <w:spacing w:lineRule="auto" w:line="281" w:before="80" w:after="80"/>
        <w:jc w:val="both"/>
        <w:rPr>
          <w:color w:val="auto"/>
        </w:rPr>
      </w:pPr>
      <w:r>
        <w:rPr>
          <w:rFonts w:eastAsia="Calibri" w:cs="Calibri"/>
          <w:color w:val="auto"/>
          <w:sz w:val="20"/>
          <w:szCs w:val="20"/>
          <w:lang w:val="en-US"/>
        </w:rPr>
        <w:t>Lo anterior de conformidad con lo dispuesto en el Acuerdo por el que se emite la clasificación programática (Tipología general) publicado en el Diario Oficial de la Federación el 08 de agosto del 2013.</w:t>
      </w:r>
    </w:p>
    <w:p>
      <w:pPr>
        <w:pStyle w:val="Normal"/>
        <w:spacing w:lineRule="auto" w:line="281" w:before="80" w:after="80"/>
        <w:jc w:val="both"/>
        <w:rPr>
          <w:color w:val="auto"/>
        </w:rPr>
      </w:pPr>
      <w:r>
        <w:rPr>
          <w:rFonts w:eastAsia="Calibri" w:cs="Calibri"/>
          <w:color w:val="auto"/>
          <w:sz w:val="20"/>
          <w:szCs w:val="20"/>
          <w:lang w:val="en-US"/>
        </w:rPr>
        <w:t>El Gobierno del Estado de Chihuahua, reconociendo la creciente presencia e inversión de empresas taiwanesas en la región, impulsó un Programa Estratégico de Desarrollo de Talento en colaboración con el Industrial Technology Research Institute (ITRI) de la República de China (Taiwán), con el objetivo de formar una fuerza laboral calificada alineada con las necesidades de las empresas taiwanesas que operan localmente.</w:t>
      </w:r>
    </w:p>
    <w:p>
      <w:pPr>
        <w:pStyle w:val="Normal"/>
        <w:spacing w:lineRule="auto" w:line="281" w:before="80" w:after="80"/>
        <w:jc w:val="both"/>
        <w:rPr>
          <w:color w:val="auto"/>
        </w:rPr>
      </w:pPr>
      <w:r>
        <w:rPr>
          <w:rFonts w:eastAsia="Calibri" w:cs="Calibri"/>
          <w:color w:val="auto"/>
          <w:sz w:val="20"/>
          <w:szCs w:val="20"/>
          <w:lang w:val="en-US"/>
        </w:rPr>
        <w:t>La primera generación del programa, conformada por 22 estudiantes chihuahuenses, realizó con éxito sus estudios en la República de China (Taiwán) de septiembre de 2025 a enero de 2026, obteniendo un desempeño general positivo y satisfactorio, lo que motivó la implementación de una segunda generación del programa.</w:t>
      </w:r>
    </w:p>
    <w:p>
      <w:pPr>
        <w:pStyle w:val="Normal"/>
        <w:spacing w:lineRule="auto" w:line="281" w:before="80" w:after="80"/>
        <w:jc w:val="both"/>
        <w:rPr>
          <w:color w:val="auto"/>
        </w:rPr>
      </w:pPr>
      <w:r>
        <w:rPr>
          <w:rFonts w:eastAsia="Calibri" w:cs="Calibri"/>
          <w:color w:val="auto"/>
          <w:sz w:val="20"/>
          <w:szCs w:val="20"/>
          <w:lang w:val="en-US"/>
        </w:rPr>
        <w:t>La celebración del presente convenio contribuirá al cumplimiento de los ejes, objetivos y estrategias planteadas por el Plan Estatal de Desarrollo 2022-2027 en el Eje 2: "Crecimiento Económico Innovador y Competitivo", específicamente en la línea de acción 3: "Ofertar programas para el desarrollo, retención y atracción de talento para la industria local".</w:t>
      </w:r>
    </w:p>
    <w:p>
      <w:pPr>
        <w:pStyle w:val="Heading1"/>
        <w:shd w:val="clear" w:fill="1A3A6B"/>
        <w:spacing w:before="360" w:after="160"/>
        <w:ind w:start="240" w:end="240"/>
        <w:rPr>
          <w:color w:val="auto"/>
        </w:rPr>
      </w:pPr>
      <w:r>
        <w:rPr>
          <w:rFonts w:eastAsia="Calibri" w:cs="Calibri" w:ascii="Calibri" w:hAnsi="Calibri"/>
          <w:b/>
          <w:bCs/>
          <w:color w:val="auto"/>
          <w:sz w:val="28"/>
          <w:szCs w:val="28"/>
        </w:rPr>
        <w:t>DECLARACIONES</w:t>
      </w:r>
    </w:p>
    <w:p>
      <w:pPr>
        <w:pStyle w:val="Heading2"/>
        <w:pBdr>
          <w:bottom w:val="single" w:sz="6" w:space="4" w:color="2E5FA3"/>
        </w:pBdr>
        <w:spacing w:before="280" w:after="100"/>
        <w:rPr>
          <w:color w:val="auto"/>
        </w:rPr>
      </w:pPr>
      <w:r>
        <w:rPr>
          <w:rFonts w:eastAsia="Calibri" w:cs="Calibri" w:ascii="Calibri" w:hAnsi="Calibri"/>
          <w:b/>
          <w:bCs/>
          <w:color w:val="auto"/>
          <w:sz w:val="24"/>
          <w:szCs w:val="24"/>
        </w:rPr>
        <w:t>I. DECLARA "EL PODER EJECUTIVO", A TRAVÉS DE SUS TITULARES, QUE:</w:t>
      </w:r>
    </w:p>
    <w:p>
      <w:pPr>
        <w:pStyle w:val="Normal"/>
        <w:spacing w:lineRule="auto" w:line="281" w:before="80" w:after="80"/>
        <w:jc w:val="both"/>
        <w:rPr>
          <w:color w:val="auto"/>
        </w:rPr>
      </w:pPr>
      <w:r>
        <w:rPr>
          <w:rFonts w:eastAsia="Calibri" w:cs="Calibri"/>
          <w:b w:val="false"/>
          <w:bCs w:val="false"/>
          <w:color w:val="auto"/>
          <w:sz w:val="20"/>
          <w:szCs w:val="20"/>
          <w:lang w:val="en-US"/>
        </w:rPr>
        <w:t>I.1.  El Estado de Chihuahua es una Entidad Federativa, parte integrante del Estado Mexicano, libre y soberano en cuanto a su régimen interior, en los términos de lo establecido por los artículos 40, 42 fracción I y 43 de la Constitución Política de los Estados Unidos Mexicanos y 1, 2 y 30 de la Constitución Política del Estado de Chihuahua.</w:t>
      </w:r>
    </w:p>
    <w:p>
      <w:pPr>
        <w:pStyle w:val="Normal"/>
        <w:spacing w:lineRule="auto" w:line="281" w:before="80" w:after="80"/>
        <w:jc w:val="both"/>
        <w:rPr>
          <w:color w:val="auto"/>
        </w:rPr>
      </w:pPr>
      <w:r>
        <w:rPr>
          <w:rFonts w:eastAsia="Calibri" w:cs="Calibri"/>
          <w:b w:val="false"/>
          <w:bCs w:val="false"/>
          <w:color w:val="auto"/>
          <w:sz w:val="20"/>
          <w:szCs w:val="20"/>
          <w:lang w:val="en-US"/>
        </w:rPr>
        <w:t>I.2.  De conformidad con lo dispuesto por los artículos 2 fracción I, 24 fracciones II y III, 26 y 28, de la Ley Orgánica del Poder Ejecutivo del Estado de Chihuahua, las Secretarías de Hacienda y de Innovación y Desarrollo Económico son dependencias centralizadas del Poder Ejecutivo del Estado.</w:t>
      </w:r>
    </w:p>
    <w:p>
      <w:pPr>
        <w:pStyle w:val="Normal"/>
        <w:spacing w:lineRule="auto" w:line="281" w:before="80" w:after="80"/>
        <w:jc w:val="both"/>
        <w:rPr>
          <w:color w:val="auto"/>
        </w:rPr>
      </w:pPr>
      <w:r>
        <w:rPr>
          <w:rFonts w:eastAsia="Calibri" w:cs="Calibri"/>
          <w:b w:val="false"/>
          <w:bCs w:val="false"/>
          <w:color w:val="auto"/>
          <w:sz w:val="20"/>
          <w:szCs w:val="20"/>
          <w:lang w:val="en-US"/>
        </w:rPr>
        <w:t xml:space="preserve">I.3.  El </w:t>
      </w:r>
      <w:r>
        <w:rPr>
          <w:rFonts w:eastAsia="Calibri" w:cs="Calibri"/>
          <w:b/>
          <w:bCs/>
          <w:color w:val="auto"/>
          <w:sz w:val="20"/>
          <w:szCs w:val="20"/>
          <w:lang w:val="en-US"/>
        </w:rPr>
        <w:t>MTRO. JOSÉ DE JESÚS GRANILLO VÁZQUEZ</w:t>
      </w:r>
      <w:r>
        <w:rPr>
          <w:rFonts w:eastAsia="Calibri" w:cs="Calibri"/>
          <w:b w:val="false"/>
          <w:bCs w:val="false"/>
          <w:color w:val="auto"/>
          <w:sz w:val="20"/>
          <w:szCs w:val="20"/>
          <w:lang w:val="en-US"/>
        </w:rPr>
        <w:t xml:space="preserve"> acredita su personalidad como Secretario de Hacienda mediante nombramiento expedido el día 08 de septiembre de 2021, contando con las facultades suficientes para suscribir el presente instrumento legal, de conformidad con lo dispuesto por el artículo 9 fracción VII del Reglamento de la Secretaría de Hacienda.</w:t>
      </w:r>
    </w:p>
    <w:p>
      <w:pPr>
        <w:pStyle w:val="Normal"/>
        <w:spacing w:lineRule="auto" w:line="281" w:before="80" w:after="80"/>
        <w:jc w:val="both"/>
        <w:rPr>
          <w:color w:val="auto"/>
        </w:rPr>
      </w:pPr>
      <w:r>
        <w:rPr>
          <w:rFonts w:eastAsia="Calibri" w:cs="Calibri"/>
          <w:b w:val="false"/>
          <w:bCs w:val="false"/>
          <w:color w:val="auto"/>
          <w:sz w:val="20"/>
          <w:szCs w:val="20"/>
          <w:lang w:val="en-US"/>
        </w:rPr>
        <w:t xml:space="preserve">I.4.  El </w:t>
      </w:r>
      <w:r>
        <w:rPr>
          <w:rFonts w:eastAsia="Calibri" w:cs="Calibri"/>
          <w:b/>
          <w:bCs/>
          <w:color w:val="auto"/>
          <w:sz w:val="20"/>
          <w:szCs w:val="20"/>
          <w:lang w:val="en-US"/>
        </w:rPr>
        <w:t>MTRO. ULISES ALEJANDRO FERNÁNDEZ GAMBOA</w:t>
      </w:r>
      <w:r>
        <w:rPr>
          <w:rFonts w:eastAsia="Calibri" w:cs="Calibri"/>
          <w:b w:val="false"/>
          <w:bCs w:val="false"/>
          <w:color w:val="auto"/>
          <w:sz w:val="20"/>
          <w:szCs w:val="20"/>
          <w:lang w:val="en-US"/>
        </w:rPr>
        <w:t xml:space="preserve"> acredita su personalidad como Secretario de Innovación y Desarrollo Económico, mediante nombramiento expedido el día 08 de febrero de 2024, contando con las facultades suficientes para suscribir el presente instrumento legal de conformidad con el artículo 10 fracción VI del Reglamento Interior de la Secretaría de Innovación y Desarrollo Económico.</w:t>
      </w:r>
    </w:p>
    <w:p>
      <w:pPr>
        <w:pStyle w:val="Normal"/>
        <w:spacing w:lineRule="auto" w:line="281" w:before="80" w:after="80"/>
        <w:jc w:val="both"/>
        <w:rPr>
          <w:color w:val="auto"/>
        </w:rPr>
      </w:pPr>
      <w:r>
        <w:rPr>
          <w:rFonts w:eastAsia="Calibri" w:cs="Calibri"/>
          <w:b w:val="false"/>
          <w:bCs w:val="false"/>
          <w:color w:val="auto"/>
          <w:sz w:val="20"/>
          <w:szCs w:val="20"/>
          <w:lang w:val="en-US"/>
        </w:rPr>
        <w:t xml:space="preserve">I.5.  El </w:t>
      </w:r>
      <w:r>
        <w:rPr>
          <w:rFonts w:eastAsia="Calibri" w:cs="Calibri"/>
          <w:b/>
          <w:bCs/>
          <w:color w:val="auto"/>
          <w:sz w:val="20"/>
          <w:szCs w:val="20"/>
          <w:lang w:val="en-US"/>
        </w:rPr>
        <w:t>LIC. JAIME LUCIANO FERNÁNDEZ CHÁVEZ</w:t>
      </w:r>
      <w:r>
        <w:rPr>
          <w:rFonts w:eastAsia="Calibri" w:cs="Calibri"/>
          <w:b w:val="false"/>
          <w:bCs w:val="false"/>
          <w:color w:val="auto"/>
          <w:sz w:val="20"/>
          <w:szCs w:val="20"/>
          <w:lang w:val="en-US"/>
        </w:rPr>
        <w:t xml:space="preserve"> acredita su personalidad como Director General de Vinculación de la Secretaría de Innovación y Desarrollo Económico, según nombramiento expedido el día 17 de enero de 2022, manifestando bajo protesta de decir verdad que el carácter con el que comparece no le ha sido limitado, revocado o suspendido por causa alguna.</w:t>
      </w:r>
    </w:p>
    <w:p>
      <w:pPr>
        <w:pStyle w:val="Normal"/>
        <w:spacing w:lineRule="auto" w:line="281" w:before="80" w:after="80"/>
        <w:jc w:val="both"/>
        <w:rPr>
          <w:color w:val="auto"/>
        </w:rPr>
      </w:pPr>
      <w:r>
        <w:rPr>
          <w:rFonts w:eastAsia="Calibri" w:cs="Calibri"/>
          <w:b w:val="false"/>
          <w:bCs w:val="false"/>
          <w:color w:val="auto"/>
          <w:sz w:val="20"/>
          <w:szCs w:val="20"/>
          <w:lang w:val="en-US"/>
        </w:rPr>
        <w:t>I.6.  Mediante oficio recibido en la Secretaría de Innovación y Desarrollo Económico, el Instituto de Apoyo al Desarrollo Tecnológico, a través de su Director General, solicitó recurso económico para implementar la segunda generación de la alianza estratégica denominada: "Programa de Desarrollo de Talentos Chihuahuenses en Taiwán".</w:t>
      </w:r>
    </w:p>
    <w:p>
      <w:pPr>
        <w:pStyle w:val="Normal"/>
        <w:spacing w:lineRule="auto" w:line="281" w:before="80" w:after="80"/>
        <w:jc w:val="both"/>
        <w:rPr>
          <w:color w:val="auto"/>
        </w:rPr>
      </w:pPr>
      <w:r>
        <w:rPr>
          <w:rFonts w:eastAsia="Calibri" w:cs="Calibri"/>
          <w:b w:val="false"/>
          <w:bCs w:val="false"/>
          <w:color w:val="auto"/>
          <w:sz w:val="20"/>
          <w:szCs w:val="20"/>
          <w:lang w:val="en-US"/>
        </w:rPr>
        <w:t xml:space="preserve">I.7.  Cuenta con los recursos suficientes para sufragar el presente convenio de conformidad con la Reserva para Subsidios correspondiente, por la cantidad de </w:t>
      </w:r>
      <w:r>
        <w:rPr>
          <w:rFonts w:eastAsia="Calibri" w:cs="Calibri"/>
          <w:b/>
          <w:bCs/>
          <w:color w:val="auto"/>
          <w:sz w:val="20"/>
          <w:szCs w:val="20"/>
          <w:lang w:val="en-US"/>
        </w:rPr>
        <w:t>$11,500,000.00 (Once Millones Quinientos Mil Pesos 00/100 M.N.)</w:t>
      </w:r>
      <w:r>
        <w:rPr>
          <w:rFonts w:eastAsia="Calibri" w:cs="Calibri"/>
          <w:b w:val="false"/>
          <w:bCs w:val="false"/>
          <w:color w:val="auto"/>
          <w:sz w:val="20"/>
          <w:szCs w:val="20"/>
          <w:lang w:val="en-US"/>
        </w:rPr>
        <w:t>, que representa el 100% del costo total del programa.</w:t>
      </w:r>
    </w:p>
    <w:p>
      <w:pPr>
        <w:pStyle w:val="Normal"/>
        <w:spacing w:lineRule="auto" w:line="281" w:before="80" w:after="80"/>
        <w:jc w:val="both"/>
        <w:rPr>
          <w:color w:val="auto"/>
        </w:rPr>
      </w:pPr>
      <w:r>
        <w:rPr>
          <w:rFonts w:eastAsia="Calibri" w:cs="Calibri"/>
          <w:b w:val="false"/>
          <w:bCs w:val="false"/>
          <w:color w:val="auto"/>
          <w:sz w:val="20"/>
          <w:szCs w:val="20"/>
          <w:lang w:val="en-US"/>
        </w:rPr>
        <w:t>I.8.  Para los efectos del presente convenio señala como domicilio legal el ubicado en la Ave. Don Quijote de la Mancha No. 1, C.P. 31136, en el Complejo Industrial Chihuahua, en la ciudad de Chihuahua, Chihuahua.</w:t>
      </w:r>
    </w:p>
    <w:p>
      <w:pPr>
        <w:pStyle w:val="Heading2"/>
        <w:pBdr>
          <w:bottom w:val="single" w:sz="6" w:space="4" w:color="2E5FA3"/>
        </w:pBdr>
        <w:spacing w:before="280" w:after="100"/>
        <w:rPr>
          <w:color w:val="auto"/>
        </w:rPr>
      </w:pPr>
      <w:r>
        <w:rPr>
          <w:rFonts w:eastAsia="Calibri" w:cs="Calibri" w:ascii="Calibri" w:hAnsi="Calibri"/>
          <w:b/>
          <w:bCs/>
          <w:color w:val="auto"/>
          <w:sz w:val="24"/>
          <w:szCs w:val="24"/>
        </w:rPr>
        <w:t>II. DECLARA "EL INADET", A TRAVÉS DEL DIRECTOR GENERAL, QUE:</w:t>
      </w:r>
    </w:p>
    <w:p>
      <w:pPr>
        <w:pStyle w:val="Normal"/>
        <w:spacing w:lineRule="auto" w:line="281" w:before="80" w:after="80"/>
        <w:jc w:val="both"/>
        <w:rPr>
          <w:color w:val="auto"/>
        </w:rPr>
      </w:pPr>
      <w:r>
        <w:rPr>
          <w:rFonts w:eastAsia="Calibri" w:cs="Calibri"/>
          <w:b w:val="false"/>
          <w:bCs w:val="false"/>
          <w:color w:val="auto"/>
          <w:sz w:val="20"/>
          <w:szCs w:val="20"/>
          <w:lang w:val="en-US"/>
        </w:rPr>
        <w:t>II.1.  Mediante Decreto número 187/99 II P.O., publicado en el Periódico Oficial del Estado de Chihuahua de fecha 30 de junio de 1999, se expide la Ley del Instituto de Entrenamiento en Alta Tecnología, creando como organismo público descentralizado con personalidad jurídica, patrimonio propio y con domicilio en la ciudad de Chihuahua, Chih., el Instituto de Entrenamiento en Alta Tecnología "INALTEC"; posteriormente mediante Decreto número 789/03 IX P.E., publicado en el Periódico Oficial del Estado de Chihuahua de fecha 22 de octubre de 2003, se modificó su denominación para quedar como Instituto de Apoyo al Desarrollo Tecnológico "INADET", sectorizado a la Secretaría de Innovación y Desarrollo Económico.</w:t>
      </w:r>
    </w:p>
    <w:p>
      <w:pPr>
        <w:pStyle w:val="Normal"/>
        <w:spacing w:lineRule="auto" w:line="281" w:before="80" w:after="80"/>
        <w:jc w:val="both"/>
        <w:rPr>
          <w:color w:val="auto"/>
        </w:rPr>
      </w:pPr>
      <w:r>
        <w:rPr>
          <w:rFonts w:eastAsia="Calibri" w:cs="Calibri"/>
          <w:b w:val="false"/>
          <w:bCs w:val="false"/>
          <w:color w:val="auto"/>
          <w:sz w:val="20"/>
          <w:szCs w:val="20"/>
          <w:lang w:val="en-US"/>
        </w:rPr>
        <w:t>II.2.  Tiene la Misión de "apoyar la formación y el desarrollo de las altas capacidades laborales y tecnológicas de la entidad, a través de servicios educativos flexibles y pertinentes, acorde a las necesidades de la región, con la finalidad de contribuir al desarrollo competitivo y vanguardista de la industria en el estado".</w:t>
      </w:r>
    </w:p>
    <w:p>
      <w:pPr>
        <w:pStyle w:val="Normal"/>
        <w:spacing w:lineRule="auto" w:line="281" w:before="80" w:after="80"/>
        <w:jc w:val="both"/>
        <w:rPr>
          <w:color w:val="auto"/>
        </w:rPr>
      </w:pPr>
      <w:r>
        <w:rPr>
          <w:rFonts w:eastAsia="Calibri" w:cs="Calibri"/>
          <w:b w:val="false"/>
          <w:bCs w:val="false"/>
          <w:color w:val="auto"/>
          <w:sz w:val="20"/>
          <w:szCs w:val="20"/>
          <w:lang w:val="en-US"/>
        </w:rPr>
        <w:t>II.3.  De conformidad con lo estipulado en el artículo 2° de la Ley del Instituto de Apoyo al Desarrollo Tecnológico, tiene por objeto, entre otros, impartir e impulsar el aprendizaje y la formación para el trabajo en la Entidad, propiciando la vinculación con el aparato productivo y las necesidades de desarrollo regional, estatal y nacional; proporcionar capacitación avanzada, entrenamiento y certificación en alta tecnología; celebrar convenios, contratos y acuerdos con los sectores productivos, así como con instituciones nacionales e internacionales de capacitación formal para el trabajo, conforme a la normatividad vigente aplicable.</w:t>
      </w:r>
    </w:p>
    <w:p>
      <w:pPr>
        <w:pStyle w:val="Normal"/>
        <w:spacing w:lineRule="auto" w:line="281" w:before="80" w:after="80"/>
        <w:jc w:val="both"/>
        <w:rPr>
          <w:color w:val="auto"/>
        </w:rPr>
      </w:pPr>
      <w:r>
        <w:rPr>
          <w:rFonts w:eastAsia="Calibri" w:cs="Calibri"/>
          <w:b w:val="false"/>
          <w:bCs w:val="false"/>
          <w:color w:val="auto"/>
          <w:sz w:val="20"/>
          <w:szCs w:val="20"/>
          <w:lang w:val="en-US"/>
        </w:rPr>
        <w:t>II.4.  Conforme al artículo 3° de la Ley en mención, se crearon como unidades del INADET los Centros de Entrenamiento en Alta Tecnología (CENALTEC), mismos que operan en Ciudad Juárez, Chihuahua, Cuauhtémoc y Parral.</w:t>
      </w:r>
    </w:p>
    <w:p>
      <w:pPr>
        <w:pStyle w:val="Normal"/>
        <w:spacing w:lineRule="auto" w:line="281" w:before="80" w:after="80"/>
        <w:jc w:val="both"/>
        <w:rPr>
          <w:color w:val="auto"/>
        </w:rPr>
      </w:pPr>
      <w:r>
        <w:rPr>
          <w:rFonts w:eastAsia="Calibri" w:cs="Calibri"/>
          <w:b w:val="false"/>
          <w:bCs w:val="false"/>
          <w:color w:val="auto"/>
          <w:sz w:val="20"/>
          <w:szCs w:val="20"/>
          <w:lang w:val="en-US"/>
        </w:rPr>
        <w:t>II.5.  Conforme al artículo 10° de la Ley en mención, fracciones I y XIV, es facultad del Director General, entre otras, administrar y representar legalmente al INADET, así como celebrar y otorgar toda clase de actos, contratos, convenios y documentos inherentes al objeto del Organismo.</w:t>
      </w:r>
    </w:p>
    <w:p>
      <w:pPr>
        <w:pStyle w:val="Normal"/>
        <w:spacing w:lineRule="auto" w:line="281" w:before="80" w:after="80"/>
        <w:jc w:val="both"/>
        <w:rPr>
          <w:color w:val="auto"/>
        </w:rPr>
      </w:pPr>
      <w:r>
        <w:rPr>
          <w:rFonts w:eastAsia="Calibri" w:cs="Calibri"/>
          <w:b w:val="false"/>
          <w:bCs w:val="false"/>
          <w:color w:val="auto"/>
          <w:sz w:val="20"/>
          <w:szCs w:val="20"/>
          <w:lang w:val="en-US"/>
        </w:rPr>
        <w:t xml:space="preserve">II.6.  El </w:t>
      </w:r>
      <w:r>
        <w:rPr>
          <w:rFonts w:eastAsia="Calibri" w:cs="Calibri"/>
          <w:b/>
          <w:bCs/>
          <w:color w:val="auto"/>
          <w:sz w:val="20"/>
          <w:szCs w:val="20"/>
          <w:lang w:val="en-US"/>
        </w:rPr>
        <w:t>ING. SERGIO MANCINAS PEÑA</w:t>
      </w:r>
      <w:r>
        <w:rPr>
          <w:rFonts w:eastAsia="Calibri" w:cs="Calibri"/>
          <w:b w:val="false"/>
          <w:bCs w:val="false"/>
          <w:color w:val="auto"/>
          <w:sz w:val="20"/>
          <w:szCs w:val="20"/>
          <w:lang w:val="en-US"/>
        </w:rPr>
        <w:t xml:space="preserve"> acredita su personalidad como Director General del INADET, de conformidad con el nombramiento expedido el día 13 de septiembre de 2021 por la C. Mtra. María Eugenia Campos Galván, Gobernadora Constitucional del Estado de Chihuahua, manifestando bajo protesta de decir verdad que el carácter con el que comparece no le ha sido limitado, revocado o suspendido por causa alguna.</w:t>
      </w:r>
    </w:p>
    <w:p>
      <w:pPr>
        <w:pStyle w:val="Normal"/>
        <w:spacing w:lineRule="auto" w:line="281" w:before="80" w:after="80"/>
        <w:jc w:val="both"/>
        <w:rPr>
          <w:color w:val="auto"/>
        </w:rPr>
      </w:pPr>
      <w:r>
        <w:rPr>
          <w:rFonts w:eastAsia="Calibri" w:cs="Calibri"/>
          <w:b w:val="false"/>
          <w:bCs w:val="false"/>
          <w:color w:val="auto"/>
          <w:sz w:val="20"/>
          <w:szCs w:val="20"/>
          <w:lang w:val="en-US"/>
        </w:rPr>
        <w:t xml:space="preserve">II.7.  Ha obtenido del Servicio de Administración Tributaria (SAT) el Registro Federal de Contribuyentes con clave </w:t>
      </w:r>
      <w:r>
        <w:rPr>
          <w:rFonts w:eastAsia="Calibri" w:cs="Calibri"/>
          <w:b/>
          <w:bCs/>
          <w:color w:val="auto"/>
          <w:sz w:val="20"/>
          <w:szCs w:val="20"/>
          <w:lang w:val="en-US"/>
        </w:rPr>
        <w:t>IAD-990630-MK7</w:t>
      </w:r>
      <w:r>
        <w:rPr>
          <w:rFonts w:eastAsia="Calibri" w:cs="Calibri"/>
          <w:b w:val="false"/>
          <w:bCs w:val="false"/>
          <w:color w:val="auto"/>
          <w:sz w:val="20"/>
          <w:szCs w:val="20"/>
          <w:lang w:val="en-US"/>
        </w:rPr>
        <w:t>.</w:t>
      </w:r>
    </w:p>
    <w:p>
      <w:pPr>
        <w:pStyle w:val="Normal"/>
        <w:spacing w:lineRule="auto" w:line="281" w:before="80" w:after="80"/>
        <w:jc w:val="both"/>
        <w:rPr>
          <w:color w:val="auto"/>
        </w:rPr>
      </w:pPr>
      <w:r>
        <w:rPr>
          <w:rFonts w:eastAsia="Calibri" w:cs="Calibri"/>
          <w:b w:val="false"/>
          <w:bCs w:val="false"/>
          <w:color w:val="auto"/>
          <w:sz w:val="20"/>
          <w:szCs w:val="20"/>
          <w:lang w:val="en-US"/>
        </w:rPr>
        <w:t>II.8.  Para todos los efectos a que haya lugar, señala como domicilio legal el ubicado en Avenida Central No. 8901, en el Parque Industrial Chihuahua Sur, C.P. 31385, en la Ciudad de Chihuahua, Chihuahua.</w:t>
      </w:r>
    </w:p>
    <w:p>
      <w:pPr>
        <w:pStyle w:val="Heading2"/>
        <w:pBdr>
          <w:bottom w:val="single" w:sz="6" w:space="4" w:color="2E5FA3"/>
        </w:pBdr>
        <w:spacing w:before="280" w:after="100"/>
        <w:rPr>
          <w:color w:val="auto"/>
        </w:rPr>
      </w:pPr>
      <w:r>
        <w:rPr>
          <w:rFonts w:eastAsia="Calibri" w:cs="Calibri" w:ascii="Calibri" w:hAnsi="Calibri"/>
          <w:b/>
          <w:bCs/>
          <w:color w:val="auto"/>
          <w:sz w:val="24"/>
          <w:szCs w:val="24"/>
        </w:rPr>
        <w:t>III. DECLARAN "LAS PARTES" QUE:</w:t>
      </w:r>
    </w:p>
    <w:p>
      <w:pPr>
        <w:pStyle w:val="Normal"/>
        <w:spacing w:lineRule="auto" w:line="281" w:before="80" w:after="80"/>
        <w:jc w:val="both"/>
        <w:rPr>
          <w:color w:val="auto"/>
        </w:rPr>
      </w:pPr>
      <w:r>
        <w:rPr>
          <w:rFonts w:eastAsia="Calibri" w:cs="Calibri"/>
          <w:b w:val="false"/>
          <w:bCs w:val="false"/>
          <w:color w:val="auto"/>
          <w:sz w:val="20"/>
          <w:szCs w:val="20"/>
          <w:lang w:val="en-US"/>
        </w:rPr>
        <w:t>III.1.  Se reconocen mutuamente la personalidad y la capacidad legal con la que se ostentan para todos los efectos legales a que haya lugar, y que están de acuerdo en celebrar el presente convenio, de conformidad con lo establecido por el artículo 9 de la Ley Orgánica del Poder Ejecutivo del Estado de Chihuahua.</w:t>
      </w:r>
    </w:p>
    <w:p>
      <w:pPr>
        <w:pStyle w:val="Heading1"/>
        <w:shd w:val="clear" w:fill="1A3A6B"/>
        <w:spacing w:before="360" w:after="160"/>
        <w:ind w:start="240" w:end="240"/>
        <w:rPr>
          <w:color w:val="auto"/>
        </w:rPr>
      </w:pPr>
      <w:r>
        <w:rPr>
          <w:rFonts w:eastAsia="Calibri" w:cs="Calibri" w:ascii="Calibri" w:hAnsi="Calibri"/>
          <w:b/>
          <w:bCs/>
          <w:color w:val="auto"/>
          <w:sz w:val="28"/>
          <w:szCs w:val="28"/>
        </w:rPr>
        <w:t>CLÁUSULAS</w:t>
      </w:r>
    </w:p>
    <w:p>
      <w:pPr>
        <w:pStyle w:val="Normal"/>
        <w:spacing w:before="280" w:after="100"/>
        <w:rPr>
          <w:color w:val="auto"/>
        </w:rPr>
      </w:pPr>
      <w:r>
        <w:rPr>
          <w:rFonts w:eastAsia="Calibri" w:cs="Calibri"/>
          <w:b/>
          <w:bCs/>
          <w:color w:val="auto"/>
          <w:sz w:val="22"/>
          <w:szCs w:val="22"/>
          <w:u w:val="single"/>
          <w:lang w:val="en-US"/>
        </w:rPr>
        <w:t>PRIMERA.- OBJETO.</w:t>
      </w:r>
    </w:p>
    <w:p>
      <w:pPr>
        <w:pStyle w:val="Normal"/>
        <w:spacing w:lineRule="auto" w:line="281" w:before="80" w:after="80"/>
        <w:jc w:val="both"/>
        <w:rPr>
          <w:color w:val="auto"/>
        </w:rPr>
      </w:pPr>
      <w:r>
        <w:rPr>
          <w:rFonts w:eastAsia="Calibri" w:cs="Calibri"/>
          <w:b w:val="false"/>
          <w:bCs w:val="false"/>
          <w:color w:val="auto"/>
          <w:sz w:val="20"/>
          <w:szCs w:val="20"/>
          <w:lang w:val="en-US"/>
        </w:rPr>
        <w:t xml:space="preserve">"EL PODER EJECUTIVO" y "EL INADET" convienen en participar conjuntamente: el primero mediante la aportación de recursos por la cantidad de </w:t>
      </w:r>
      <w:r>
        <w:rPr>
          <w:rFonts w:eastAsia="Calibri" w:cs="Calibri"/>
          <w:b/>
          <w:bCs/>
          <w:color w:val="auto"/>
          <w:sz w:val="20"/>
          <w:szCs w:val="20"/>
          <w:lang w:val="en-US"/>
        </w:rPr>
        <w:t>$11,500,000.00 (Once Millones Quinientos Mil Pesos 00/100 M.N.)</w:t>
      </w:r>
      <w:r>
        <w:rPr>
          <w:rFonts w:eastAsia="Calibri" w:cs="Calibri"/>
          <w:b w:val="false"/>
          <w:bCs w:val="false"/>
          <w:color w:val="auto"/>
          <w:sz w:val="20"/>
          <w:szCs w:val="20"/>
          <w:lang w:val="en-US"/>
        </w:rPr>
        <w:t xml:space="preserve">, y el segundo mediante la aplicación de los mismos al desarrollo del </w:t>
      </w:r>
      <w:r>
        <w:rPr>
          <w:rFonts w:eastAsia="Calibri" w:cs="Calibri"/>
          <w:b/>
          <w:bCs/>
          <w:color w:val="auto"/>
          <w:sz w:val="20"/>
          <w:szCs w:val="20"/>
          <w:lang w:val="en-US"/>
        </w:rPr>
        <w:t>"Programa de Desarrollo de Talentos Chihuahuenses en Taiwán – Segunda Generación"</w:t>
      </w:r>
      <w:r>
        <w:rPr>
          <w:rFonts w:eastAsia="Calibri" w:cs="Calibri"/>
          <w:b w:val="false"/>
          <w:bCs w:val="false"/>
          <w:color w:val="auto"/>
          <w:sz w:val="20"/>
          <w:szCs w:val="20"/>
          <w:lang w:val="en-US"/>
        </w:rPr>
        <w:t>, dirigido al apoyo de hasta 15 (quince) estudiantes chihuahuenses de tercer y cuarto nivel de licenciatura o ingeniería y hasta un año de egresados, con perfiles especializados en áreas estratégicas como semiconductores, vehículos eléctricos, automatización e inteligencia artificial, para que reciban capacitación y entrenamiento especializado en la República de China (Taiwán), de conformidad con las especificaciones y cronograma de actividades descritos en el Anexo 1.</w:t>
      </w:r>
    </w:p>
    <w:p>
      <w:pPr>
        <w:pStyle w:val="Normal"/>
        <w:spacing w:lineRule="auto" w:line="281" w:before="80" w:after="80"/>
        <w:jc w:val="both"/>
        <w:rPr>
          <w:color w:val="auto"/>
        </w:rPr>
      </w:pPr>
      <w:r>
        <w:rPr>
          <w:rFonts w:eastAsia="Calibri" w:cs="Calibri"/>
          <w:color w:val="auto"/>
          <w:sz w:val="20"/>
          <w:szCs w:val="20"/>
          <w:lang w:val="en-US"/>
        </w:rPr>
        <w:t>La aportación que realiza "EL PODER EJECUTIVO" para el desarrollo del objeto señalado representa el 100% (cien por ciento) del monto total del costo del citado programa.</w:t>
      </w:r>
    </w:p>
    <w:p>
      <w:pPr>
        <w:pStyle w:val="Normal"/>
        <w:spacing w:before="280" w:after="100"/>
        <w:rPr>
          <w:color w:val="auto"/>
        </w:rPr>
      </w:pPr>
      <w:r>
        <w:rPr>
          <w:rFonts w:eastAsia="Calibri" w:cs="Calibri"/>
          <w:b/>
          <w:bCs/>
          <w:color w:val="auto"/>
          <w:sz w:val="22"/>
          <w:szCs w:val="22"/>
          <w:u w:val="single"/>
          <w:lang w:val="en-US"/>
        </w:rPr>
        <w:t>SEGUNDA.- OBJETIVO, FIN O META DE LA COLABORACIÓN.</w:t>
      </w:r>
    </w:p>
    <w:p>
      <w:pPr>
        <w:pStyle w:val="Heading3"/>
        <w:spacing w:before="200" w:after="80"/>
        <w:rPr>
          <w:color w:val="auto"/>
        </w:rPr>
      </w:pPr>
      <w:r>
        <w:rPr>
          <w:rFonts w:eastAsia="Calibri" w:cs="Calibri" w:ascii="Calibri" w:hAnsi="Calibri"/>
          <w:b/>
          <w:bCs/>
          <w:color w:val="auto"/>
          <w:sz w:val="22"/>
          <w:szCs w:val="22"/>
          <w:lang w:val="en-US"/>
        </w:rPr>
        <w:t>Objetivo General</w:t>
      </w:r>
    </w:p>
    <w:p>
      <w:pPr>
        <w:pStyle w:val="Normal"/>
        <w:spacing w:lineRule="auto" w:line="281" w:before="80" w:after="80"/>
        <w:jc w:val="both"/>
        <w:rPr>
          <w:color w:val="auto"/>
        </w:rPr>
      </w:pPr>
      <w:r>
        <w:rPr>
          <w:rFonts w:eastAsia="Calibri" w:cs="Calibri"/>
          <w:color w:val="auto"/>
          <w:sz w:val="20"/>
          <w:szCs w:val="20"/>
          <w:lang w:val="en-US"/>
        </w:rPr>
        <w:t>Fortalecer la competitividad industrial de Chihuahua a través de la formación de hasta 15 (quince) estudiantes chihuahuenses en semiconductores, vehículos eléctricos, automatización e inteligencia artificial, mediante un programa de capacitación avanzada en la República de China (Taiwán), lo que permitirá reducir la brecha de habilidades técnicas especializadas, facilitar la incorporación de talento calificado en empresas de alta tecnología y contribuir a la modernización e innovación del sector industrial estatal.</w:t>
      </w:r>
    </w:p>
    <w:p>
      <w:pPr>
        <w:pStyle w:val="Heading3"/>
        <w:spacing w:before="200" w:after="80"/>
        <w:rPr>
          <w:color w:val="auto"/>
        </w:rPr>
      </w:pPr>
      <w:r>
        <w:rPr>
          <w:rFonts w:eastAsia="Calibri" w:cs="Calibri" w:ascii="Calibri" w:hAnsi="Calibri"/>
          <w:b/>
          <w:bCs/>
          <w:color w:val="auto"/>
          <w:sz w:val="22"/>
          <w:szCs w:val="22"/>
          <w:lang w:val="en-US"/>
        </w:rPr>
        <w:t>Metas Específicas</w:t>
      </w:r>
    </w:p>
    <w:p>
      <w:pPr>
        <w:pStyle w:val="ListParagraph"/>
        <w:numPr>
          <w:ilvl w:val="0"/>
          <w:numId w:val="3"/>
        </w:numPr>
        <w:spacing w:before="60" w:after="60"/>
        <w:rPr>
          <w:color w:val="auto"/>
        </w:rPr>
      </w:pPr>
      <w:r>
        <w:rPr>
          <w:rFonts w:eastAsia="Calibri" w:cs="Calibri"/>
          <w:color w:val="auto"/>
          <w:sz w:val="20"/>
          <w:szCs w:val="20"/>
          <w:lang w:val="en-US"/>
        </w:rPr>
        <w:t>Capacitación técnica avanzada: Formar a hasta 15 estudiantes chihuahuenses en tecnologías clave (semiconductores, vehículos eléctricos, automatización e inteligencia artificial) mediante un semestre de 20 semanas (18 en STUST y 2 en ITRI College).</w:t>
      </w:r>
    </w:p>
    <w:p>
      <w:pPr>
        <w:pStyle w:val="ListParagraph"/>
        <w:numPr>
          <w:ilvl w:val="0"/>
          <w:numId w:val="1"/>
        </w:numPr>
        <w:spacing w:before="60" w:after="60"/>
        <w:rPr>
          <w:color w:val="auto"/>
        </w:rPr>
      </w:pPr>
      <w:r>
        <w:rPr>
          <w:rFonts w:eastAsia="Calibri" w:cs="Calibri"/>
          <w:color w:val="auto"/>
          <w:sz w:val="20"/>
          <w:szCs w:val="20"/>
          <w:lang w:val="en-US"/>
        </w:rPr>
        <w:t>Desarrollo de talento multiplicador: Lograr que los participantes se conviertan en jóvenes semilla, transmitiendo el conocimiento adquirido a futuras generaciones de estudiantes y profesionales.</w:t>
      </w:r>
    </w:p>
    <w:p>
      <w:pPr>
        <w:pStyle w:val="ListParagraph"/>
        <w:numPr>
          <w:ilvl w:val="0"/>
          <w:numId w:val="1"/>
        </w:numPr>
        <w:spacing w:before="60" w:after="60"/>
        <w:rPr>
          <w:color w:val="auto"/>
        </w:rPr>
      </w:pPr>
      <w:r>
        <w:rPr>
          <w:rFonts w:eastAsia="Calibri" w:cs="Calibri"/>
          <w:color w:val="auto"/>
          <w:sz w:val="20"/>
          <w:szCs w:val="20"/>
          <w:lang w:val="en-US"/>
        </w:rPr>
        <w:t>Impacto en la innovación industrial: Contribuir al desarrollo de la industria local orientado a la adopción de nuevas tecnologías y mejoras en los procesos industriales.</w:t>
      </w:r>
    </w:p>
    <w:p>
      <w:pPr>
        <w:pStyle w:val="ListParagraph"/>
        <w:numPr>
          <w:ilvl w:val="0"/>
          <w:numId w:val="1"/>
        </w:numPr>
        <w:spacing w:before="60" w:after="60"/>
        <w:rPr>
          <w:color w:val="auto"/>
        </w:rPr>
      </w:pPr>
      <w:r>
        <w:rPr>
          <w:rFonts w:eastAsia="Calibri" w:cs="Calibri"/>
          <w:color w:val="auto"/>
          <w:sz w:val="20"/>
          <w:szCs w:val="20"/>
          <w:lang w:val="en-US"/>
        </w:rPr>
        <w:t>Contribución al desarrollo económico: Incrementar la empleabilidad y competitividad del talento local, facilitando la colocación de egresados en empresas de los sectores de semiconductores, electromovilidad, automatización e inteligencia artificial.</w:t>
      </w:r>
    </w:p>
    <w:p>
      <w:pPr>
        <w:pStyle w:val="ListParagraph"/>
        <w:numPr>
          <w:ilvl w:val="0"/>
          <w:numId w:val="1"/>
        </w:numPr>
        <w:spacing w:before="60" w:after="60"/>
        <w:rPr>
          <w:color w:val="auto"/>
        </w:rPr>
      </w:pPr>
      <w:r>
        <w:rPr>
          <w:rFonts w:eastAsia="Calibri" w:cs="Calibri"/>
          <w:color w:val="auto"/>
          <w:sz w:val="20"/>
          <w:szCs w:val="20"/>
          <w:lang w:val="en-US"/>
        </w:rPr>
        <w:t>Vínculos estratégicos: Establecer vínculos con empresas e instituciones taiwanesas, generando oportunidades de colaboración tecnológica, transferencia de conocimientos y atracción de inversiones.</w:t>
      </w:r>
    </w:p>
    <w:p>
      <w:pPr>
        <w:pStyle w:val="Heading3"/>
        <w:spacing w:before="200" w:after="80"/>
        <w:rPr>
          <w:color w:val="auto"/>
        </w:rPr>
      </w:pPr>
      <w:r>
        <w:rPr>
          <w:rFonts w:eastAsia="Calibri" w:cs="Calibri" w:ascii="Calibri" w:hAnsi="Calibri"/>
          <w:b/>
          <w:bCs/>
          <w:color w:val="auto"/>
          <w:sz w:val="22"/>
          <w:szCs w:val="22"/>
          <w:lang w:val="en-US"/>
        </w:rPr>
        <w:t>Perfil de los Becarios</w:t>
      </w:r>
    </w:p>
    <w:p>
      <w:pPr>
        <w:pStyle w:val="ListParagraph"/>
        <w:numPr>
          <w:ilvl w:val="0"/>
          <w:numId w:val="1"/>
        </w:numPr>
        <w:spacing w:before="60" w:after="60"/>
        <w:rPr>
          <w:color w:val="auto"/>
        </w:rPr>
      </w:pPr>
      <w:r>
        <w:rPr>
          <w:rFonts w:eastAsia="Calibri" w:cs="Calibri"/>
          <w:color w:val="auto"/>
          <w:sz w:val="20"/>
          <w:szCs w:val="20"/>
          <w:lang w:val="en-US"/>
        </w:rPr>
        <w:t>Ser estudiante de tercer o cuarto año de licenciatura o ingeniería, o egresado con no más de un año de haber concluido sus estudios, en áreas afines a semiconductores, vehículos eléctricos, automatización o inteligencia artificial.</w:t>
      </w:r>
    </w:p>
    <w:p>
      <w:pPr>
        <w:pStyle w:val="ListParagraph"/>
        <w:numPr>
          <w:ilvl w:val="0"/>
          <w:numId w:val="1"/>
        </w:numPr>
        <w:spacing w:before="60" w:after="60"/>
        <w:rPr>
          <w:color w:val="auto"/>
        </w:rPr>
      </w:pPr>
      <w:r>
        <w:rPr>
          <w:rFonts w:eastAsia="Calibri" w:cs="Calibri"/>
          <w:color w:val="auto"/>
          <w:sz w:val="20"/>
          <w:szCs w:val="20"/>
          <w:lang w:val="en-US"/>
        </w:rPr>
        <w:t>Contar con buen dominio del idioma inglés, dado que todos los cursos se impartirán en dicho idioma como condición indispensable para la calidad del entrenamiento.</w:t>
      </w:r>
    </w:p>
    <w:p>
      <w:pPr>
        <w:pStyle w:val="ListParagraph"/>
        <w:numPr>
          <w:ilvl w:val="0"/>
          <w:numId w:val="1"/>
        </w:numPr>
        <w:spacing w:before="60" w:after="60"/>
        <w:rPr>
          <w:color w:val="auto"/>
        </w:rPr>
      </w:pPr>
      <w:r>
        <w:rPr>
          <w:rFonts w:eastAsia="Calibri" w:cs="Calibri"/>
          <w:color w:val="auto"/>
          <w:sz w:val="20"/>
          <w:szCs w:val="20"/>
          <w:lang w:val="en-US"/>
        </w:rPr>
        <w:t>Tener conocimientos básicos de electrónica y formación en ingeniería como base técnica mínima requerida por ITRI y la universidad anfitriona.</w:t>
      </w:r>
    </w:p>
    <w:p>
      <w:pPr>
        <w:pStyle w:val="ListParagraph"/>
        <w:numPr>
          <w:ilvl w:val="0"/>
          <w:numId w:val="1"/>
        </w:numPr>
        <w:spacing w:before="60" w:after="60"/>
        <w:rPr>
          <w:color w:val="auto"/>
        </w:rPr>
      </w:pPr>
      <w:r>
        <w:rPr>
          <w:rFonts w:eastAsia="Calibri" w:cs="Calibri"/>
          <w:color w:val="auto"/>
          <w:sz w:val="20"/>
          <w:szCs w:val="20"/>
          <w:lang w:val="en-US"/>
        </w:rPr>
        <w:t>Comprometerse a cumplir con las leyes de la República de China (Taiwán), el Código de Conducta de STUST y las normas de ITRI durante todo el periodo de estudio.</w:t>
      </w:r>
    </w:p>
    <w:p>
      <w:pPr>
        <w:pStyle w:val="ListParagraph"/>
        <w:numPr>
          <w:ilvl w:val="0"/>
          <w:numId w:val="1"/>
        </w:numPr>
        <w:spacing w:before="60" w:after="60"/>
        <w:rPr>
          <w:color w:val="auto"/>
        </w:rPr>
      </w:pPr>
      <w:r>
        <w:rPr>
          <w:rFonts w:eastAsia="Calibri" w:cs="Calibri"/>
          <w:color w:val="auto"/>
          <w:sz w:val="20"/>
          <w:szCs w:val="20"/>
          <w:lang w:val="en-US"/>
        </w:rPr>
        <w:t>Participar en los programas de seguimiento y retroalimentación establecidos por INADET a su regreso a Chihuahua, contribuyendo como talento multiplicador en la industria local.</w:t>
      </w:r>
    </w:p>
    <w:p>
      <w:pPr>
        <w:pStyle w:val="Heading3"/>
        <w:spacing w:before="200" w:after="80"/>
        <w:rPr>
          <w:color w:val="auto"/>
        </w:rPr>
      </w:pPr>
      <w:r>
        <w:rPr>
          <w:rFonts w:eastAsia="Calibri" w:cs="Calibri" w:ascii="Calibri" w:hAnsi="Calibri"/>
          <w:b/>
          <w:bCs/>
          <w:color w:val="auto"/>
          <w:sz w:val="22"/>
          <w:szCs w:val="22"/>
          <w:lang w:val="en-US"/>
        </w:rPr>
        <w:t>Conceptos del Programa</w:t>
      </w:r>
    </w:p>
    <w:p>
      <w:pPr>
        <w:pStyle w:val="ListParagraph"/>
        <w:numPr>
          <w:ilvl w:val="0"/>
          <w:numId w:val="1"/>
        </w:numPr>
        <w:spacing w:before="60" w:after="60"/>
        <w:rPr>
          <w:color w:val="auto"/>
        </w:rPr>
      </w:pPr>
      <w:r>
        <w:rPr>
          <w:rFonts w:eastAsia="Calibri" w:cs="Calibri"/>
          <w:color w:val="auto"/>
          <w:sz w:val="20"/>
          <w:szCs w:val="20"/>
          <w:lang w:val="en-US"/>
        </w:rPr>
        <w:t>Currículo personalizado enfocado en la industria: ITRI proporciona un plan de estudios alineado con las prioridades del Gobierno de Chihuahua, enfocado en semiconductores, automatización manufacturera, vehículos eléctricos e inteligencia artificial.</w:t>
      </w:r>
    </w:p>
    <w:p>
      <w:pPr>
        <w:pStyle w:val="ListParagraph"/>
        <w:numPr>
          <w:ilvl w:val="0"/>
          <w:numId w:val="1"/>
        </w:numPr>
        <w:spacing w:before="60" w:after="60"/>
        <w:rPr>
          <w:color w:val="auto"/>
        </w:rPr>
      </w:pPr>
      <w:r>
        <w:rPr>
          <w:rFonts w:eastAsia="Calibri" w:cs="Calibri"/>
          <w:color w:val="auto"/>
          <w:sz w:val="20"/>
          <w:szCs w:val="20"/>
          <w:lang w:val="en-US"/>
        </w:rPr>
        <w:t>Integración técnica y cultural: El programa combina formación técnica con cursos de idioma mandarín e inmersión cultural para fortalecer la comunicación y adaptabilidad laboral.</w:t>
      </w:r>
    </w:p>
    <w:p>
      <w:pPr>
        <w:pStyle w:val="ListParagraph"/>
        <w:numPr>
          <w:ilvl w:val="0"/>
          <w:numId w:val="1"/>
        </w:numPr>
        <w:spacing w:before="60" w:after="60"/>
        <w:rPr>
          <w:color w:val="auto"/>
        </w:rPr>
      </w:pPr>
      <w:r>
        <w:rPr>
          <w:rFonts w:eastAsia="Calibri" w:cs="Calibri"/>
          <w:color w:val="auto"/>
          <w:sz w:val="20"/>
          <w:szCs w:val="20"/>
          <w:lang w:val="en-US"/>
        </w:rPr>
        <w:t>Asociación y retroalimentación continua: La colaboración constante entre el Gobierno de Chihuahua, empresas taiwanesas e ITRI asegura la alineación permanente del programa con las necesidades de la industria.</w:t>
      </w:r>
    </w:p>
    <w:p>
      <w:pPr>
        <w:pStyle w:val="Heading3"/>
        <w:spacing w:before="200" w:after="80"/>
        <w:rPr>
          <w:color w:val="auto"/>
        </w:rPr>
      </w:pPr>
      <w:r>
        <w:rPr>
          <w:rFonts w:eastAsia="Calibri" w:cs="Calibri" w:ascii="Calibri" w:hAnsi="Calibri"/>
          <w:b/>
          <w:bCs/>
          <w:color w:val="auto"/>
          <w:sz w:val="22"/>
          <w:szCs w:val="22"/>
          <w:lang w:val="en-US"/>
        </w:rPr>
        <w:t>Resultados Esperados</w:t>
      </w:r>
    </w:p>
    <w:p>
      <w:pPr>
        <w:pStyle w:val="ListParagraph"/>
        <w:numPr>
          <w:ilvl w:val="0"/>
          <w:numId w:val="1"/>
        </w:numPr>
        <w:spacing w:before="60" w:after="60"/>
        <w:rPr>
          <w:color w:val="auto"/>
        </w:rPr>
      </w:pPr>
      <w:r>
        <w:rPr>
          <w:rFonts w:eastAsia="Calibri" w:cs="Calibri"/>
          <w:color w:val="auto"/>
          <w:sz w:val="20"/>
          <w:szCs w:val="20"/>
          <w:lang w:val="en-US"/>
        </w:rPr>
        <w:t>Fuerza laboral calificada: Los egresados regresarán a México con habilidades avanzadas listas para aplicación inmediata en empresas del sector tecnológico con presencia en Chihuahua.</w:t>
      </w:r>
    </w:p>
    <w:p>
      <w:pPr>
        <w:pStyle w:val="ListParagraph"/>
        <w:numPr>
          <w:ilvl w:val="0"/>
          <w:numId w:val="1"/>
        </w:numPr>
        <w:spacing w:before="60" w:after="60"/>
        <w:rPr>
          <w:color w:val="auto"/>
        </w:rPr>
      </w:pPr>
      <w:r>
        <w:rPr>
          <w:rFonts w:eastAsia="Calibri" w:cs="Calibri"/>
          <w:color w:val="auto"/>
          <w:sz w:val="20"/>
          <w:szCs w:val="20"/>
          <w:lang w:val="en-US"/>
        </w:rPr>
        <w:t>Fortalecimiento de relaciones económicas: Se prevé un incremento en la cooperación bilateral y nuevas oportunidades de comercio e inversión entre México y la República de China (Taiwán).</w:t>
      </w:r>
    </w:p>
    <w:p>
      <w:pPr>
        <w:pStyle w:val="Normal"/>
        <w:spacing w:before="280" w:after="100"/>
        <w:rPr>
          <w:color w:val="auto"/>
        </w:rPr>
      </w:pPr>
      <w:r>
        <w:rPr>
          <w:rFonts w:eastAsia="Calibri" w:cs="Calibri"/>
          <w:b/>
          <w:bCs/>
          <w:color w:val="auto"/>
          <w:sz w:val="22"/>
          <w:szCs w:val="22"/>
          <w:u w:val="single"/>
          <w:lang w:val="en-US"/>
        </w:rPr>
        <w:t>TERCERA.- BENEFICIARIOS.</w:t>
      </w:r>
    </w:p>
    <w:p>
      <w:pPr>
        <w:pStyle w:val="Normal"/>
        <w:spacing w:lineRule="auto" w:line="281" w:before="80" w:after="80"/>
        <w:jc w:val="both"/>
        <w:rPr>
          <w:color w:val="auto"/>
        </w:rPr>
      </w:pPr>
      <w:r>
        <w:rPr>
          <w:rFonts w:eastAsia="Calibri" w:cs="Calibri"/>
          <w:color w:val="auto"/>
          <w:sz w:val="20"/>
          <w:szCs w:val="20"/>
          <w:lang w:val="en-US"/>
        </w:rPr>
        <w:t>Los beneficiarios directos de la realización del objeto del presente convenio serán hasta 15 (quince) estudiantes chihuahuenses de tercer y cuarto nivel de licenciatura o ingeniería y hasta un año de egresados, con perfiles especializados en áreas estratégicas como semiconductores, vehículos eléctricos, automatización e inteligencia artificial, del Estado de Chihuahua.</w:t>
      </w:r>
    </w:p>
    <w:p>
      <w:pPr>
        <w:pStyle w:val="Normal"/>
        <w:spacing w:before="280" w:after="100"/>
        <w:rPr>
          <w:color w:val="auto"/>
        </w:rPr>
      </w:pPr>
      <w:r>
        <w:rPr>
          <w:rFonts w:eastAsia="Calibri" w:cs="Calibri"/>
          <w:b/>
          <w:bCs/>
          <w:color w:val="auto"/>
          <w:sz w:val="22"/>
          <w:szCs w:val="22"/>
          <w:u w:val="single"/>
          <w:lang w:val="en-US"/>
        </w:rPr>
        <w:t>CUARTA.- COMPROMISOS DE "LAS PARTES".</w:t>
      </w:r>
    </w:p>
    <w:p>
      <w:pPr>
        <w:pStyle w:val="Normal"/>
        <w:spacing w:lineRule="auto" w:line="281" w:before="80" w:after="80"/>
        <w:jc w:val="both"/>
        <w:rPr>
          <w:color w:val="auto"/>
        </w:rPr>
      </w:pPr>
      <w:r>
        <w:rPr>
          <w:rFonts w:eastAsia="Calibri" w:cs="Calibri"/>
          <w:color w:val="auto"/>
          <w:sz w:val="20"/>
          <w:szCs w:val="20"/>
          <w:lang w:val="en-US"/>
        </w:rPr>
        <w:t>Para la realización del objeto de este convenio, "LAS PARTES" se comprometen a:</w:t>
      </w:r>
    </w:p>
    <w:p>
      <w:pPr>
        <w:pStyle w:val="Heading3"/>
        <w:spacing w:before="200" w:after="80"/>
        <w:rPr>
          <w:color w:val="auto"/>
        </w:rPr>
      </w:pPr>
      <w:r>
        <w:rPr>
          <w:rFonts w:eastAsia="Calibri" w:cs="Calibri" w:ascii="Calibri" w:hAnsi="Calibri"/>
          <w:b/>
          <w:bCs/>
          <w:color w:val="auto"/>
          <w:sz w:val="22"/>
          <w:szCs w:val="22"/>
          <w:lang w:val="en-US"/>
        </w:rPr>
        <w:t>A. "EL PODER EJECUTIVO", por conducto de la Secretaría de Innovación y Desarrollo Económico, se compromete a:</w:t>
      </w:r>
    </w:p>
    <w:p>
      <w:pPr>
        <w:pStyle w:val="ListParagraph"/>
        <w:numPr>
          <w:ilvl w:val="0"/>
          <w:numId w:val="1"/>
        </w:numPr>
        <w:spacing w:before="60" w:after="60"/>
        <w:rPr>
          <w:color w:val="auto"/>
        </w:rPr>
      </w:pPr>
      <w:r>
        <w:rPr>
          <w:rFonts w:eastAsia="Calibri" w:cs="Calibri"/>
          <w:color w:val="auto"/>
          <w:sz w:val="20"/>
          <w:szCs w:val="20"/>
          <w:lang w:val="en-US"/>
        </w:rPr>
        <w:t>Otorgar el recurso económico señalado en la Cláusula Primera del presente instrumento legal.</w:t>
      </w:r>
    </w:p>
    <w:p>
      <w:pPr>
        <w:pStyle w:val="ListParagraph"/>
        <w:numPr>
          <w:ilvl w:val="0"/>
          <w:numId w:val="1"/>
        </w:numPr>
        <w:spacing w:before="60" w:after="60"/>
        <w:rPr>
          <w:color w:val="auto"/>
        </w:rPr>
      </w:pPr>
      <w:r>
        <w:rPr>
          <w:rFonts w:eastAsia="Calibri" w:cs="Calibri"/>
          <w:color w:val="auto"/>
          <w:sz w:val="20"/>
          <w:szCs w:val="20"/>
          <w:lang w:val="en-US"/>
        </w:rPr>
        <w:t>Dar seguimiento puntual a la correcta ejecución del programa en tiempo y forma, así como estar atento a la entrega de resultados y entregables de comprobación. Para tal efecto se designa al Titular de la Dirección General de Vinculación de la Secretaría de Innovación y Desarrollo Económico como responsable de la supervisión y vigilancia del cumplimiento del presente convenio.</w:t>
      </w:r>
    </w:p>
    <w:p>
      <w:pPr>
        <w:pStyle w:val="Heading3"/>
        <w:spacing w:before="200" w:after="80"/>
        <w:rPr>
          <w:color w:val="auto"/>
        </w:rPr>
      </w:pPr>
      <w:r>
        <w:rPr>
          <w:rFonts w:eastAsia="Calibri" w:cs="Calibri" w:ascii="Calibri" w:hAnsi="Calibri"/>
          <w:b/>
          <w:bCs/>
          <w:color w:val="auto"/>
          <w:sz w:val="22"/>
          <w:szCs w:val="22"/>
          <w:lang w:val="en-US"/>
        </w:rPr>
        <w:t>B. "EL INADET" se compromete a:</w:t>
      </w:r>
    </w:p>
    <w:p>
      <w:pPr>
        <w:pStyle w:val="ListParagraph"/>
        <w:numPr>
          <w:ilvl w:val="0"/>
          <w:numId w:val="1"/>
        </w:numPr>
        <w:spacing w:before="60" w:after="60"/>
        <w:rPr>
          <w:color w:val="auto"/>
        </w:rPr>
      </w:pPr>
      <w:r>
        <w:rPr>
          <w:rFonts w:eastAsia="Calibri" w:cs="Calibri"/>
          <w:color w:val="auto"/>
          <w:sz w:val="20"/>
          <w:szCs w:val="20"/>
          <w:lang w:val="en-US"/>
        </w:rPr>
        <w:t>Ejercer los recursos otorgados con estricto apego a lo establecido en el Anexo 1 y en la normatividad aplicable.</w:t>
      </w:r>
    </w:p>
    <w:p>
      <w:pPr>
        <w:pStyle w:val="ListParagraph"/>
        <w:numPr>
          <w:ilvl w:val="0"/>
          <w:numId w:val="1"/>
        </w:numPr>
        <w:spacing w:before="60" w:after="60"/>
        <w:rPr>
          <w:color w:val="auto"/>
        </w:rPr>
      </w:pPr>
      <w:r>
        <w:rPr>
          <w:rFonts w:eastAsia="Calibri" w:cs="Calibri"/>
          <w:color w:val="auto"/>
          <w:sz w:val="20"/>
          <w:szCs w:val="20"/>
          <w:lang w:val="en-US"/>
        </w:rPr>
        <w:t>Cumplir en tiempo y forma la ejecución del objeto del presente convenio de conformidad con lo especificado en el Anexo 1.</w:t>
      </w:r>
    </w:p>
    <w:p>
      <w:pPr>
        <w:pStyle w:val="ListParagraph"/>
        <w:numPr>
          <w:ilvl w:val="0"/>
          <w:numId w:val="1"/>
        </w:numPr>
        <w:spacing w:before="60" w:after="60"/>
        <w:rPr>
          <w:color w:val="auto"/>
        </w:rPr>
      </w:pPr>
      <w:r>
        <w:rPr>
          <w:rFonts w:eastAsia="Calibri" w:cs="Calibri"/>
          <w:color w:val="auto"/>
          <w:sz w:val="20"/>
          <w:szCs w:val="20"/>
          <w:lang w:val="en-US"/>
        </w:rPr>
        <w:t>Generar los entregables correspondientes a la comprobación del destino de los recursos otorgados.</w:t>
      </w:r>
    </w:p>
    <w:p>
      <w:pPr>
        <w:pStyle w:val="ListParagraph"/>
        <w:numPr>
          <w:ilvl w:val="0"/>
          <w:numId w:val="1"/>
        </w:numPr>
        <w:spacing w:before="60" w:after="60"/>
        <w:rPr>
          <w:color w:val="auto"/>
        </w:rPr>
      </w:pPr>
      <w:r>
        <w:rPr>
          <w:rFonts w:eastAsia="Calibri" w:cs="Calibri"/>
          <w:color w:val="auto"/>
          <w:sz w:val="20"/>
          <w:szCs w:val="20"/>
          <w:lang w:val="en-US"/>
        </w:rPr>
        <w:t>Notificar por escrito a la Dirección General de Vinculación cualquier asunto no previsto que altere la ejecución de las acciones establecidas, a fin de dar una solución conjunta.</w:t>
      </w:r>
    </w:p>
    <w:p>
      <w:pPr>
        <w:pStyle w:val="Normal"/>
        <w:spacing w:before="280" w:after="100"/>
        <w:rPr>
          <w:color w:val="auto"/>
        </w:rPr>
      </w:pPr>
      <w:r>
        <w:rPr>
          <w:rFonts w:eastAsia="Calibri" w:cs="Calibri"/>
          <w:b/>
          <w:bCs/>
          <w:color w:val="auto"/>
          <w:sz w:val="22"/>
          <w:szCs w:val="22"/>
          <w:u w:val="single"/>
          <w:lang w:val="en-US"/>
        </w:rPr>
        <w:t>QUINTA.- CONDICIONES PARA LA ENTREGA DEL RECURSO.</w:t>
      </w:r>
    </w:p>
    <w:p>
      <w:pPr>
        <w:pStyle w:val="Normal"/>
        <w:spacing w:lineRule="auto" w:line="281" w:before="80" w:after="80"/>
        <w:jc w:val="both"/>
        <w:rPr>
          <w:color w:val="auto"/>
        </w:rPr>
      </w:pPr>
      <w:r>
        <w:rPr>
          <w:rFonts w:eastAsia="Calibri" w:cs="Calibri"/>
          <w:color w:val="auto"/>
          <w:sz w:val="20"/>
          <w:szCs w:val="20"/>
          <w:lang w:val="en-US"/>
        </w:rPr>
        <w:t>El recurso económico descrito en la Cláusula Primera se entregará en una o varias exhibiciones mediante transferencia electrónica, sujeta a la disponibilidad de recursos, efectuada por la Secretaría de Hacienda a nombre del "Instituto de Apoyo al Desarrollo Tecnológico", previa solicitud de la Secretaría de Innovación y Desarrollo Económico y previa entrega del(los) comprobante(s) fiscal(es) digital(es) que reúna(n) los requisitos fiscales previstos en el artículo 29-A del Código Fiscal de la Federación, presentados en la Dirección Administrativa de la Secretaría de Innovación y Desarrollo Económico, ubicada en Ave. Don Quijote de la Mancha No. 1, Complejo Industrial Chihuahua, en esta ciudad de Chihuahua, Chihuahua.</w:t>
      </w:r>
    </w:p>
    <w:p>
      <w:pPr>
        <w:pStyle w:val="Normal"/>
        <w:spacing w:lineRule="auto" w:line="281" w:before="80" w:after="80"/>
        <w:jc w:val="both"/>
        <w:rPr>
          <w:color w:val="auto"/>
        </w:rPr>
      </w:pPr>
      <w:r>
        <w:rPr>
          <w:rFonts w:eastAsia="Calibri" w:cs="Calibri"/>
          <w:color w:val="auto"/>
          <w:sz w:val="20"/>
          <w:szCs w:val="20"/>
          <w:lang w:val="en-US"/>
        </w:rPr>
        <w:t>El recurso económico otorgado deberá estar devengado al 31 de diciembre de 2026.</w:t>
      </w:r>
    </w:p>
    <w:p>
      <w:pPr>
        <w:pStyle w:val="Normal"/>
        <w:spacing w:before="280" w:after="100"/>
        <w:rPr>
          <w:color w:val="auto"/>
        </w:rPr>
      </w:pPr>
      <w:r>
        <w:rPr>
          <w:rFonts w:eastAsia="Calibri" w:cs="Calibri"/>
          <w:b/>
          <w:bCs/>
          <w:color w:val="auto"/>
          <w:sz w:val="22"/>
          <w:szCs w:val="22"/>
          <w:u w:val="single"/>
          <w:lang w:val="en-US"/>
        </w:rPr>
        <w:t>SEXTA.- COMPROBACIÓN DEL RECURSO OTORGADO. REQUISITOS FISCALES.</w:t>
      </w:r>
    </w:p>
    <w:p>
      <w:pPr>
        <w:pStyle w:val="Normal"/>
        <w:spacing w:lineRule="auto" w:line="281" w:before="80" w:after="80"/>
        <w:jc w:val="both"/>
        <w:rPr>
          <w:color w:val="auto"/>
        </w:rPr>
      </w:pPr>
      <w:r>
        <w:rPr>
          <w:rFonts w:eastAsia="Calibri" w:cs="Calibri"/>
          <w:color w:val="auto"/>
          <w:sz w:val="20"/>
          <w:szCs w:val="20"/>
          <w:lang w:val="en-US"/>
        </w:rPr>
        <w:t>"LAS PARTES" convienen en que el apoyo económico se otorga bajo la condición de destinarlo exclusivamente al cumplimiento del objeto contenido en la Cláusula Primera. Por lo tanto, "EL INADET" se obliga a exhibir a la Dirección General de Vinculación de la Secretaría de Innovación y Desarrollo Económico los siguientes documentos, dentro de los 30 (treinta) días hábiles posteriores al término del programa:</w:t>
      </w:r>
    </w:p>
    <w:p>
      <w:pPr>
        <w:pStyle w:val="ListParagraph"/>
        <w:numPr>
          <w:ilvl w:val="0"/>
          <w:numId w:val="1"/>
        </w:numPr>
        <w:spacing w:before="60" w:after="60"/>
        <w:rPr>
          <w:color w:val="auto"/>
        </w:rPr>
      </w:pPr>
      <w:r>
        <w:rPr>
          <w:rFonts w:eastAsia="Calibri" w:cs="Calibri"/>
          <w:color w:val="auto"/>
          <w:sz w:val="20"/>
          <w:szCs w:val="20"/>
          <w:lang w:val="en-US"/>
        </w:rPr>
        <w:t>El(los) comprobante(s) fiscal(es) digital(es) correspondiente(s), incluyendo un informe detallado con conceptos de gasto, o en su caso los comprobantes de pago en moneda extranjera que acrediten el ejercicio del apoyo en el extranjero.</w:t>
      </w:r>
    </w:p>
    <w:p>
      <w:pPr>
        <w:pStyle w:val="ListParagraph"/>
        <w:numPr>
          <w:ilvl w:val="0"/>
          <w:numId w:val="1"/>
        </w:numPr>
        <w:spacing w:before="60" w:after="60"/>
        <w:rPr>
          <w:color w:val="auto"/>
        </w:rPr>
      </w:pPr>
      <w:r>
        <w:rPr>
          <w:rFonts w:eastAsia="Calibri" w:cs="Calibri"/>
          <w:color w:val="auto"/>
          <w:sz w:val="20"/>
          <w:szCs w:val="20"/>
          <w:lang w:val="en-US"/>
        </w:rPr>
        <w:t>Un informe final por escrito con los resultados obtenidos que incluya: logros alcanzados, población beneficiada, metas cumplidas, derrama económica, memoria fotográfica, videos y documentación que evidencie las actividades realizadas.</w:t>
      </w:r>
    </w:p>
    <w:p>
      <w:pPr>
        <w:pStyle w:val="ListParagraph"/>
        <w:numPr>
          <w:ilvl w:val="0"/>
          <w:numId w:val="1"/>
        </w:numPr>
        <w:spacing w:before="60" w:after="60"/>
        <w:rPr>
          <w:color w:val="auto"/>
        </w:rPr>
      </w:pPr>
      <w:r>
        <w:rPr>
          <w:rFonts w:eastAsia="Calibri" w:cs="Calibri"/>
          <w:color w:val="auto"/>
          <w:sz w:val="20"/>
          <w:szCs w:val="20"/>
          <w:lang w:val="en-US"/>
        </w:rPr>
        <w:t>Lista de asistencia, registros académicos y/o reportes de evaluación de desempeño de los participantes.</w:t>
      </w:r>
    </w:p>
    <w:p>
      <w:pPr>
        <w:pStyle w:val="ListParagraph"/>
        <w:numPr>
          <w:ilvl w:val="0"/>
          <w:numId w:val="1"/>
        </w:numPr>
        <w:spacing w:before="60" w:after="60"/>
        <w:rPr>
          <w:color w:val="auto"/>
        </w:rPr>
      </w:pPr>
      <w:r>
        <w:rPr>
          <w:rFonts w:eastAsia="Calibri" w:cs="Calibri"/>
          <w:color w:val="auto"/>
          <w:sz w:val="20"/>
          <w:szCs w:val="20"/>
          <w:lang w:val="en-US"/>
        </w:rPr>
        <w:t>Informe técnico y memoria documental con la descripción de las prácticas, simulaciones realizadas y/o proyectos de investigación.</w:t>
      </w:r>
    </w:p>
    <w:p>
      <w:pPr>
        <w:pStyle w:val="ListParagraph"/>
        <w:numPr>
          <w:ilvl w:val="0"/>
          <w:numId w:val="1"/>
        </w:numPr>
        <w:spacing w:before="60" w:after="60"/>
        <w:rPr>
          <w:color w:val="auto"/>
        </w:rPr>
      </w:pPr>
      <w:r>
        <w:rPr>
          <w:rFonts w:eastAsia="Calibri" w:cs="Calibri"/>
          <w:color w:val="auto"/>
          <w:sz w:val="20"/>
          <w:szCs w:val="20"/>
          <w:lang w:val="en-US"/>
        </w:rPr>
        <w:t>Diplomas o certificados de conclusión emitidos por las instituciones formadoras en Taiwán, junto con el listado oficial de graduados.</w:t>
      </w:r>
    </w:p>
    <w:p>
      <w:pPr>
        <w:pStyle w:val="Normal"/>
        <w:spacing w:lineRule="auto" w:line="281" w:before="80" w:after="80"/>
        <w:jc w:val="both"/>
        <w:rPr>
          <w:color w:val="auto"/>
        </w:rPr>
      </w:pPr>
      <w:r>
        <w:rPr>
          <w:rFonts w:eastAsia="Calibri" w:cs="Calibri"/>
          <w:color w:val="auto"/>
          <w:sz w:val="20"/>
          <w:szCs w:val="20"/>
          <w:lang w:val="en-US"/>
        </w:rPr>
        <w:t>Cuando "EL INADET" no cumpla con la entrega total de los documentos referidos en tiempo y forma, "EL PODER EJECUTIVO" podrá exigir el reintegro de la suma total aportada, más sus respectivos intereses calculados a una tasa del 2% mensual del monto otorgado.</w:t>
      </w:r>
    </w:p>
    <w:p>
      <w:pPr>
        <w:pStyle w:val="Normal"/>
        <w:spacing w:before="280" w:after="100"/>
        <w:rPr>
          <w:color w:val="auto"/>
        </w:rPr>
      </w:pPr>
      <w:r>
        <w:rPr>
          <w:rFonts w:eastAsia="Calibri" w:cs="Calibri"/>
          <w:b/>
          <w:bCs/>
          <w:color w:val="auto"/>
          <w:sz w:val="22"/>
          <w:szCs w:val="22"/>
          <w:u w:val="single"/>
          <w:lang w:val="en-US"/>
        </w:rPr>
        <w:t>SÉPTIMA.- RESPONSABLE DE LA SUPERVISIÓN Y VIGILANCIA DEL CUMPLIMIENTO DEL PRESENTE CONVENIO.</w:t>
      </w:r>
    </w:p>
    <w:p>
      <w:pPr>
        <w:pStyle w:val="Normal"/>
        <w:spacing w:lineRule="auto" w:line="281" w:before="80" w:after="80"/>
        <w:jc w:val="both"/>
        <w:rPr>
          <w:color w:val="auto"/>
        </w:rPr>
      </w:pPr>
      <w:r>
        <w:rPr>
          <w:rFonts w:eastAsia="Calibri" w:cs="Calibri"/>
          <w:color w:val="auto"/>
          <w:sz w:val="20"/>
          <w:szCs w:val="20"/>
          <w:lang w:val="en-US"/>
        </w:rPr>
        <w:t>"EL PODER EJECUTIVO" a través de la Persona Titular de la Dirección General de Vinculación de la Secretaría de Innovación y Desarrollo Económico supervisará y vigilará el destino del recurso económico otorgado, solicitando por escrito a "EL INADET" los informes necesarios y la documentación comprobatoria del gasto.</w:t>
      </w:r>
    </w:p>
    <w:p>
      <w:pPr>
        <w:pStyle w:val="Normal"/>
        <w:spacing w:lineRule="auto" w:line="281" w:before="80" w:after="80"/>
        <w:jc w:val="both"/>
        <w:rPr>
          <w:color w:val="auto"/>
        </w:rPr>
      </w:pPr>
      <w:r>
        <w:rPr>
          <w:rFonts w:eastAsia="Calibri" w:cs="Calibri"/>
          <w:color w:val="auto"/>
          <w:sz w:val="20"/>
          <w:szCs w:val="20"/>
          <w:lang w:val="en-US"/>
        </w:rPr>
        <w:t>Asimismo, "EL INADET" acepta que en cualquier tiempo la Secretaría de Hacienda tiene la facultad de solicitar información respecto de la aplicación del recurso y realizará visitas de verificación, de conformidad con el artículo 57 de la Ley de Presupuesto de Egresos, Contabilidad Gubernamental y Gasto Público del Estado de Chihuahua.</w:t>
      </w:r>
    </w:p>
    <w:p>
      <w:pPr>
        <w:pStyle w:val="Normal"/>
        <w:spacing w:before="280" w:after="100"/>
        <w:rPr>
          <w:color w:val="auto"/>
        </w:rPr>
      </w:pPr>
      <w:r>
        <w:rPr>
          <w:rFonts w:eastAsia="Calibri" w:cs="Calibri"/>
          <w:b/>
          <w:bCs/>
          <w:color w:val="auto"/>
          <w:sz w:val="22"/>
          <w:szCs w:val="22"/>
          <w:u w:val="single"/>
          <w:lang w:val="en-US"/>
        </w:rPr>
        <w:t>OCTAVA.- RESPONSABILIDAD ADMINISTRATIVA.</w:t>
      </w:r>
    </w:p>
    <w:p>
      <w:pPr>
        <w:pStyle w:val="Normal"/>
        <w:spacing w:lineRule="auto" w:line="281" w:before="80" w:after="80"/>
        <w:jc w:val="both"/>
        <w:rPr>
          <w:color w:val="auto"/>
        </w:rPr>
      </w:pPr>
      <w:r>
        <w:rPr>
          <w:rFonts w:eastAsia="Calibri" w:cs="Calibri"/>
          <w:color w:val="auto"/>
          <w:sz w:val="20"/>
          <w:szCs w:val="20"/>
          <w:lang w:val="en-US"/>
        </w:rPr>
        <w:t>"LAS PARTES" convienen en que el recurso económico se otorga bajo la condición de destinarlo al cumplimiento del objeto de la Cláusula Primera. "EL INADET" se obliga a cumplir puntualmente lo pactado, absteniéndose de hacer uso indebido de los recursos recibidos, quedando sujeto en caso de incumplimiento a las disposiciones de la Ley General de Responsabilidades Administrativas y a las disposiciones penales que resulten aplicables.</w:t>
      </w:r>
    </w:p>
    <w:p>
      <w:pPr>
        <w:pStyle w:val="Normal"/>
        <w:spacing w:before="280" w:after="100"/>
        <w:rPr>
          <w:color w:val="auto"/>
        </w:rPr>
      </w:pPr>
      <w:r>
        <w:rPr>
          <w:rFonts w:eastAsia="Calibri" w:cs="Calibri"/>
          <w:b/>
          <w:bCs/>
          <w:color w:val="auto"/>
          <w:sz w:val="22"/>
          <w:szCs w:val="22"/>
          <w:u w:val="single"/>
          <w:lang w:val="en-US"/>
        </w:rPr>
        <w:t>NOVENA.- AUDITORÍA DEL RECURSO OTORGADO.</w:t>
      </w:r>
    </w:p>
    <w:p>
      <w:pPr>
        <w:pStyle w:val="Normal"/>
        <w:spacing w:lineRule="auto" w:line="281" w:before="80" w:after="80"/>
        <w:jc w:val="both"/>
        <w:rPr>
          <w:color w:val="auto"/>
        </w:rPr>
      </w:pPr>
      <w:r>
        <w:rPr>
          <w:rFonts w:eastAsia="Calibri" w:cs="Calibri"/>
          <w:color w:val="auto"/>
          <w:sz w:val="20"/>
          <w:szCs w:val="20"/>
          <w:lang w:val="en-US"/>
        </w:rPr>
        <w:t>"EL PODER EJECUTIVO" podrá, en caso de que "EL INADET" no acredite documentalmente el ejercicio del apoyo otorgado, solicitar la fiscalización a través de la Auditoría Superior, de conformidad con la Ley de Fiscalización Superior del Estado de Chihuahua, promoviendo en su caso las responsabilidades administrativas, penales o de cualquier otra índole que resulten.</w:t>
      </w:r>
    </w:p>
    <w:p>
      <w:pPr>
        <w:pStyle w:val="Normal"/>
        <w:spacing w:before="280" w:after="100"/>
        <w:rPr>
          <w:color w:val="auto"/>
        </w:rPr>
      </w:pPr>
      <w:r>
        <w:rPr>
          <w:rFonts w:eastAsia="Calibri" w:cs="Calibri"/>
          <w:b/>
          <w:bCs/>
          <w:color w:val="auto"/>
          <w:sz w:val="22"/>
          <w:szCs w:val="22"/>
          <w:u w:val="single"/>
          <w:lang w:val="en-US"/>
        </w:rPr>
        <w:t>DÉCIMA.- VIGENCIA.</w:t>
      </w:r>
    </w:p>
    <w:p>
      <w:pPr>
        <w:pStyle w:val="Normal"/>
        <w:spacing w:lineRule="auto" w:line="281" w:before="80" w:after="80"/>
        <w:jc w:val="both"/>
        <w:rPr>
          <w:color w:val="auto"/>
        </w:rPr>
      </w:pPr>
      <w:r>
        <w:rPr>
          <w:rFonts w:eastAsia="Calibri" w:cs="Calibri"/>
          <w:color w:val="auto"/>
          <w:sz w:val="20"/>
          <w:szCs w:val="20"/>
          <w:lang w:val="en-US"/>
        </w:rPr>
        <w:t>El presente instrumento legal tendrá vigencia contada a partir de la fecha de su firma y hasta el cabal cumplimiento del objeto y obligaciones de "LAS PARTES", estableciendo como fecha límite el día 15 del mes de junio del año 2027.</w:t>
      </w:r>
    </w:p>
    <w:p>
      <w:pPr>
        <w:pStyle w:val="Normal"/>
        <w:spacing w:before="280" w:after="100"/>
        <w:rPr>
          <w:color w:val="auto"/>
        </w:rPr>
      </w:pPr>
      <w:r>
        <w:rPr>
          <w:rFonts w:eastAsia="Calibri" w:cs="Calibri"/>
          <w:b/>
          <w:bCs/>
          <w:color w:val="auto"/>
          <w:sz w:val="22"/>
          <w:szCs w:val="22"/>
          <w:u w:val="single"/>
          <w:lang w:val="en-US"/>
        </w:rPr>
        <w:t>DÉCIMA PRIMERA.- TERMINACIÓN ANTICIPADA.</w:t>
      </w:r>
    </w:p>
    <w:p>
      <w:pPr>
        <w:pStyle w:val="Normal"/>
        <w:spacing w:lineRule="auto" w:line="281" w:before="80" w:after="80"/>
        <w:jc w:val="both"/>
        <w:rPr>
          <w:color w:val="auto"/>
        </w:rPr>
      </w:pPr>
      <w:r>
        <w:rPr>
          <w:rFonts w:eastAsia="Calibri" w:cs="Calibri"/>
          <w:color w:val="auto"/>
          <w:sz w:val="20"/>
          <w:szCs w:val="20"/>
          <w:lang w:val="en-US"/>
        </w:rPr>
        <w:t>"LAS PARTES" aceptan que en caso de incumplimiento a las obligaciones derivadas del presente instrumento, "EL PODER EJECUTIVO" tiene la facultad de terminarlo anticipadamente, bastando un acuerdo suscrito por los representantes de las Secretarías intervinientes, notificándose con una antelación de 15 días naturales, procediendo en los términos de las Cláusulas Octava y Novena del presente instrumento.</w:t>
      </w:r>
    </w:p>
    <w:p>
      <w:pPr>
        <w:pStyle w:val="Normal"/>
        <w:spacing w:before="280" w:after="100"/>
        <w:rPr>
          <w:color w:val="auto"/>
        </w:rPr>
      </w:pPr>
      <w:r>
        <w:rPr>
          <w:rFonts w:eastAsia="Calibri" w:cs="Calibri"/>
          <w:b/>
          <w:bCs/>
          <w:color w:val="auto"/>
          <w:sz w:val="22"/>
          <w:szCs w:val="22"/>
          <w:u w:val="single"/>
          <w:lang w:val="en-US"/>
        </w:rPr>
        <w:t>DÉCIMA SEGUNDA.- TRANSPARENCIA Y TRATAMIENTO DE DATOS PERSONALES.</w:t>
      </w:r>
    </w:p>
    <w:p>
      <w:pPr>
        <w:pStyle w:val="Normal"/>
        <w:spacing w:lineRule="auto" w:line="281" w:before="80" w:after="80"/>
        <w:jc w:val="both"/>
        <w:rPr>
          <w:color w:val="auto"/>
        </w:rPr>
      </w:pPr>
      <w:r>
        <w:rPr>
          <w:rFonts w:eastAsia="Calibri" w:cs="Calibri"/>
          <w:color w:val="auto"/>
          <w:sz w:val="20"/>
          <w:szCs w:val="20"/>
          <w:lang w:val="en-US"/>
        </w:rPr>
        <w:t>La información que se utilice o reproduzca con motivo de la ejecución del presente instrumento es considerada información pública, y sólo podrá ser reservada por excepción, conforme a la Ley de Transparencia y Acceso a la Información Pública del Estado de Chihuahua. En lo relativo al tratamiento de datos personales, "LAS PARTES" observarán las disposiciones aplicables conforme a la normatividad en la materia.</w:t>
      </w:r>
    </w:p>
    <w:p>
      <w:pPr>
        <w:pStyle w:val="Normal"/>
        <w:spacing w:before="280" w:after="100"/>
        <w:rPr>
          <w:color w:val="auto"/>
        </w:rPr>
      </w:pPr>
      <w:r>
        <w:rPr>
          <w:rFonts w:eastAsia="Calibri" w:cs="Calibri"/>
          <w:b/>
          <w:bCs/>
          <w:color w:val="auto"/>
          <w:sz w:val="22"/>
          <w:szCs w:val="22"/>
          <w:u w:val="single"/>
          <w:lang w:val="en-US"/>
        </w:rPr>
        <w:t>DÉCIMA TERCERA.- MODIFICACIONES.</w:t>
      </w:r>
    </w:p>
    <w:p>
      <w:pPr>
        <w:pStyle w:val="Normal"/>
        <w:spacing w:lineRule="auto" w:line="281" w:before="80" w:after="80"/>
        <w:jc w:val="both"/>
        <w:rPr>
          <w:color w:val="auto"/>
        </w:rPr>
      </w:pPr>
      <w:r>
        <w:rPr>
          <w:rFonts w:eastAsia="Calibri" w:cs="Calibri"/>
          <w:color w:val="auto"/>
          <w:sz w:val="20"/>
          <w:szCs w:val="20"/>
          <w:lang w:val="en-US"/>
        </w:rPr>
        <w:t>El presente convenio y los documentos que de este se deriven podrán ser modificados o adicionados, previamente a la fecha de vencimiento, siempre que lo acuerden "LAS PARTES" por escrito y sean firmadas por todos los intervinientes. Las modificaciones obligarán a los signatarios a partir de la fecha de su firma.</w:t>
      </w:r>
    </w:p>
    <w:p>
      <w:pPr>
        <w:pStyle w:val="Normal"/>
        <w:spacing w:before="280" w:after="100"/>
        <w:rPr>
          <w:color w:val="auto"/>
        </w:rPr>
      </w:pPr>
      <w:r>
        <w:rPr>
          <w:rFonts w:eastAsia="Calibri" w:cs="Calibri"/>
          <w:b/>
          <w:bCs/>
          <w:color w:val="auto"/>
          <w:sz w:val="22"/>
          <w:szCs w:val="22"/>
          <w:u w:val="single"/>
          <w:lang w:val="en-US"/>
        </w:rPr>
        <w:t>DÉCIMA CUARTA.- INTERPRETACIÓN.</w:t>
      </w:r>
    </w:p>
    <w:p>
      <w:pPr>
        <w:pStyle w:val="Normal"/>
        <w:spacing w:lineRule="auto" w:line="281" w:before="80" w:after="80"/>
        <w:jc w:val="both"/>
        <w:rPr>
          <w:color w:val="auto"/>
        </w:rPr>
      </w:pPr>
      <w:r>
        <w:rPr>
          <w:rFonts w:eastAsia="Calibri" w:cs="Calibri"/>
          <w:color w:val="auto"/>
          <w:sz w:val="20"/>
          <w:szCs w:val="20"/>
          <w:lang w:val="en-US"/>
        </w:rPr>
        <w:t>"LAS PARTES" convienen que este instrumento es producto de la buena fe, por lo que toda duda en la interpretación y/o cumplimiento será resuelta por las mismas. En caso de controversia, "LAS PARTES" se sujetan a la jurisdicción y competencia de los Tribunales de la ciudad de Chihuahua, Chihuahua, renunciando a cualquier otro fuero.</w:t>
      </w:r>
    </w:p>
    <w:p>
      <w:pPr>
        <w:pStyle w:val="Normal"/>
        <w:spacing w:lineRule="auto" w:line="281" w:before="80" w:after="80"/>
        <w:jc w:val="both"/>
        <w:rPr>
          <w:color w:val="auto"/>
        </w:rPr>
      </w:pPr>
      <w:r>
        <w:rPr>
          <w:rFonts w:eastAsia="Calibri" w:cs="Calibri"/>
          <w:color w:val="auto"/>
          <w:sz w:val="20"/>
          <w:szCs w:val="20"/>
        </w:rPr>
        <w:t>LEÍDO QUE FUE EL PRESENTE CONVENIO Y ENTERADAS LAS PARTES DE SU CONTENIDO Y FUERZA LEGAL, LO FIRMAN POR TRIPLICADO, DE CONFORMIDAD AL CALCE Y AL MARGEN DE CADA UNA DE SUS HOJAS, EN LA CIUDAD DE CHIHUAHUA, CHIH., EL DÍA ___ DEL MES DE _______ DEL AÑO 2026.</w:t>
      </w:r>
    </w:p>
    <w:p>
      <w:pPr>
        <w:pStyle w:val="Normal"/>
        <w:spacing w:before="0" w:after="60"/>
        <w:rPr>
          <w:color w:val="auto"/>
        </w:rPr>
      </w:pPr>
      <w:r>
        <w:rPr>
          <w:color w:val="auto"/>
        </w:rPr>
      </w:r>
    </w:p>
    <w:p>
      <w:pPr>
        <w:pStyle w:val="Normal"/>
        <w:spacing w:before="0" w:after="60"/>
        <w:rPr>
          <w:color w:val="auto"/>
        </w:rPr>
      </w:pPr>
      <w:r>
        <w:rPr>
          <w:color w:val="auto"/>
        </w:rPr>
      </w:r>
    </w:p>
    <w:tbl>
      <w:tblPr>
        <w:tblW w:w="9360" w:type="dxa"/>
        <w:jc w:val="start"/>
        <w:tblInd w:w="0" w:type="dxa"/>
        <w:tblLayout w:type="fixed"/>
        <w:tblCellMar>
          <w:top w:w="120" w:type="dxa"/>
          <w:start w:w="200" w:type="dxa"/>
          <w:bottom w:w="120" w:type="dxa"/>
          <w:end w:w="200" w:type="dxa"/>
        </w:tblCellMar>
      </w:tblPr>
      <w:tblGrid>
        <w:gridCol w:w="4680"/>
        <w:gridCol w:w="4680"/>
      </w:tblGrid>
      <w:tr>
        <w:trPr/>
        <w:tc>
          <w:tcPr>
            <w:tcW w:w="4680" w:type="dxa"/>
            <w:tcBorders/>
          </w:tcPr>
          <w:p>
            <w:pPr>
              <w:pStyle w:val="Normal"/>
              <w:spacing w:before="40" w:after="40"/>
              <w:jc w:val="center"/>
              <w:rPr>
                <w:color w:val="auto"/>
              </w:rPr>
            </w:pPr>
            <w:r>
              <w:rPr>
                <w:rFonts w:eastAsia="Calibri" w:cs="Calibri"/>
                <w:b/>
                <w:bCs/>
                <w:color w:val="auto"/>
                <w:sz w:val="19"/>
                <w:szCs w:val="19"/>
              </w:rPr>
              <w:t>POR "EL PODER EJECUTIVO"</w:t>
            </w:r>
          </w:p>
          <w:p>
            <w:pPr>
              <w:pStyle w:val="Normal"/>
              <w:spacing w:before="0" w:after="60"/>
              <w:rPr>
                <w:color w:val="auto"/>
              </w:rPr>
            </w:pPr>
            <w:r>
              <w:rPr>
                <w:color w:val="auto"/>
              </w:rPr>
            </w:r>
          </w:p>
          <w:p>
            <w:pPr>
              <w:pStyle w:val="Normal"/>
              <w:spacing w:before="0" w:after="60"/>
              <w:rPr>
                <w:color w:val="auto"/>
              </w:rPr>
            </w:pPr>
            <w:r>
              <w:rPr>
                <w:color w:val="auto"/>
              </w:rPr>
            </w:r>
          </w:p>
          <w:p>
            <w:pPr>
              <w:pStyle w:val="Normal"/>
              <w:spacing w:before="0" w:after="60"/>
              <w:rPr>
                <w:color w:val="auto"/>
              </w:rPr>
            </w:pPr>
            <w:r>
              <w:rPr>
                <w:color w:val="auto"/>
              </w:rPr>
            </w:r>
          </w:p>
          <w:p>
            <w:pPr>
              <w:pStyle w:val="Normal"/>
              <w:pBdr>
                <w:top w:val="single" w:sz="4" w:space="0" w:color="1C1C1C"/>
              </w:pBdr>
              <w:spacing w:before="40" w:after="0"/>
              <w:jc w:val="center"/>
              <w:rPr>
                <w:color w:val="auto"/>
              </w:rPr>
            </w:pPr>
            <w:r>
              <w:rPr>
                <w:rFonts w:eastAsia="Calibri" w:cs="Calibri"/>
                <w:b/>
                <w:bCs/>
                <w:color w:val="auto"/>
                <w:sz w:val="18"/>
                <w:szCs w:val="18"/>
              </w:rPr>
              <w:t>MTRO. JOSÉ DE JESÚS GRANILLO VÁZQUEZ</w:t>
            </w:r>
          </w:p>
          <w:p>
            <w:pPr>
              <w:pStyle w:val="Normal"/>
              <w:spacing w:before="20" w:after="120"/>
              <w:jc w:val="center"/>
              <w:rPr>
                <w:color w:val="auto"/>
              </w:rPr>
            </w:pPr>
            <w:r>
              <w:rPr>
                <w:rFonts w:eastAsia="Calibri" w:cs="Calibri"/>
                <w:color w:val="auto"/>
                <w:sz w:val="18"/>
                <w:szCs w:val="18"/>
              </w:rPr>
              <w:t>Secretario de Hacienda</w:t>
            </w:r>
          </w:p>
          <w:p>
            <w:pPr>
              <w:pStyle w:val="Normal"/>
              <w:spacing w:before="0" w:after="60"/>
              <w:rPr>
                <w:color w:val="auto"/>
              </w:rPr>
            </w:pPr>
            <w:r>
              <w:rPr>
                <w:color w:val="auto"/>
              </w:rPr>
            </w:r>
          </w:p>
          <w:p>
            <w:pPr>
              <w:pStyle w:val="Normal"/>
              <w:spacing w:before="0" w:after="60"/>
              <w:rPr>
                <w:color w:val="auto"/>
              </w:rPr>
            </w:pPr>
            <w:r>
              <w:rPr>
                <w:color w:val="auto"/>
              </w:rPr>
            </w:r>
          </w:p>
          <w:p>
            <w:pPr>
              <w:pStyle w:val="Normal"/>
              <w:spacing w:before="0" w:after="60"/>
              <w:rPr>
                <w:color w:val="auto"/>
              </w:rPr>
            </w:pPr>
            <w:r>
              <w:rPr>
                <w:color w:val="auto"/>
              </w:rPr>
            </w:r>
          </w:p>
          <w:p>
            <w:pPr>
              <w:pStyle w:val="Normal"/>
              <w:pBdr>
                <w:top w:val="single" w:sz="4" w:space="0" w:color="1C1C1C"/>
              </w:pBdr>
              <w:spacing w:before="40" w:after="0"/>
              <w:jc w:val="center"/>
              <w:rPr>
                <w:color w:val="auto"/>
              </w:rPr>
            </w:pPr>
            <w:r>
              <w:rPr>
                <w:rFonts w:eastAsia="Calibri" w:cs="Calibri"/>
                <w:b/>
                <w:bCs/>
                <w:color w:val="auto"/>
                <w:sz w:val="18"/>
                <w:szCs w:val="18"/>
              </w:rPr>
              <w:t>MTRO. ULISES ALEJANDRO FERNÁNDEZ GAMBOA</w:t>
            </w:r>
          </w:p>
          <w:p>
            <w:pPr>
              <w:pStyle w:val="Normal"/>
              <w:spacing w:before="20" w:after="0"/>
              <w:jc w:val="center"/>
              <w:rPr>
                <w:color w:val="auto"/>
              </w:rPr>
            </w:pPr>
            <w:r>
              <w:rPr>
                <w:rFonts w:eastAsia="Calibri" w:cs="Calibri"/>
                <w:color w:val="auto"/>
                <w:sz w:val="18"/>
                <w:szCs w:val="18"/>
              </w:rPr>
              <w:t>Secretario de Innovación y Desarrollo Económico</w:t>
            </w:r>
          </w:p>
        </w:tc>
        <w:tc>
          <w:tcPr>
            <w:tcW w:w="4680" w:type="dxa"/>
            <w:tcBorders/>
          </w:tcPr>
          <w:p>
            <w:pPr>
              <w:pStyle w:val="Normal"/>
              <w:spacing w:before="40" w:after="40"/>
              <w:jc w:val="center"/>
              <w:rPr>
                <w:color w:val="auto"/>
              </w:rPr>
            </w:pPr>
            <w:r>
              <w:rPr>
                <w:rFonts w:eastAsia="Calibri" w:cs="Calibri"/>
                <w:b/>
                <w:bCs/>
                <w:color w:val="auto"/>
                <w:sz w:val="19"/>
                <w:szCs w:val="19"/>
              </w:rPr>
              <w:t>POR "EL INADET"</w:t>
            </w:r>
          </w:p>
          <w:p>
            <w:pPr>
              <w:pStyle w:val="Normal"/>
              <w:spacing w:before="0" w:after="60"/>
              <w:rPr>
                <w:color w:val="auto"/>
              </w:rPr>
            </w:pPr>
            <w:r>
              <w:rPr>
                <w:color w:val="auto"/>
              </w:rPr>
            </w:r>
          </w:p>
          <w:p>
            <w:pPr>
              <w:pStyle w:val="Normal"/>
              <w:spacing w:before="0" w:after="60"/>
              <w:rPr>
                <w:color w:val="auto"/>
              </w:rPr>
            </w:pPr>
            <w:r>
              <w:rPr>
                <w:color w:val="auto"/>
              </w:rPr>
            </w:r>
          </w:p>
          <w:p>
            <w:pPr>
              <w:pStyle w:val="Normal"/>
              <w:spacing w:before="0" w:after="60"/>
              <w:rPr>
                <w:color w:val="auto"/>
              </w:rPr>
            </w:pPr>
            <w:r>
              <w:rPr>
                <w:color w:val="auto"/>
              </w:rPr>
            </w:r>
          </w:p>
          <w:p>
            <w:pPr>
              <w:pStyle w:val="Normal"/>
              <w:pBdr>
                <w:top w:val="single" w:sz="4" w:space="0" w:color="1C1C1C"/>
              </w:pBdr>
              <w:spacing w:before="40" w:after="0"/>
              <w:jc w:val="center"/>
              <w:rPr>
                <w:color w:val="auto"/>
              </w:rPr>
            </w:pPr>
            <w:r>
              <w:rPr>
                <w:rFonts w:eastAsia="Calibri" w:cs="Calibri"/>
                <w:b/>
                <w:bCs/>
                <w:color w:val="auto"/>
                <w:sz w:val="18"/>
                <w:szCs w:val="18"/>
              </w:rPr>
              <w:t>ING. SERGIO MANCINAS PEÑA</w:t>
            </w:r>
          </w:p>
          <w:p>
            <w:pPr>
              <w:pStyle w:val="Normal"/>
              <w:spacing w:before="20" w:after="120"/>
              <w:jc w:val="center"/>
              <w:rPr>
                <w:color w:val="auto"/>
              </w:rPr>
            </w:pPr>
            <w:r>
              <w:rPr>
                <w:rFonts w:eastAsia="Calibri" w:cs="Calibri"/>
                <w:color w:val="auto"/>
                <w:sz w:val="18"/>
                <w:szCs w:val="18"/>
              </w:rPr>
              <w:t>Director General del INADET</w:t>
            </w:r>
          </w:p>
          <w:p>
            <w:pPr>
              <w:pStyle w:val="Normal"/>
              <w:spacing w:before="0" w:after="60"/>
              <w:rPr>
                <w:color w:val="auto"/>
              </w:rPr>
            </w:pPr>
            <w:r>
              <w:rPr>
                <w:color w:val="auto"/>
              </w:rPr>
            </w:r>
          </w:p>
          <w:p>
            <w:pPr>
              <w:pStyle w:val="Normal"/>
              <w:spacing w:before="0" w:after="60"/>
              <w:rPr>
                <w:color w:val="auto"/>
              </w:rPr>
            </w:pPr>
            <w:r>
              <w:rPr>
                <w:color w:val="auto"/>
              </w:rPr>
            </w:r>
          </w:p>
          <w:p>
            <w:pPr>
              <w:pStyle w:val="Normal"/>
              <w:spacing w:before="0" w:after="60"/>
              <w:rPr>
                <w:color w:val="auto"/>
              </w:rPr>
            </w:pPr>
            <w:r>
              <w:rPr>
                <w:color w:val="auto"/>
              </w:rPr>
            </w:r>
          </w:p>
          <w:p>
            <w:pPr>
              <w:pStyle w:val="Normal"/>
              <w:pBdr>
                <w:top w:val="single" w:sz="4" w:space="0" w:color="1C1C1C"/>
              </w:pBdr>
              <w:spacing w:before="40" w:after="0"/>
              <w:jc w:val="center"/>
              <w:rPr>
                <w:color w:val="auto"/>
              </w:rPr>
            </w:pPr>
            <w:r>
              <w:rPr>
                <w:rFonts w:eastAsia="Calibri" w:cs="Calibri"/>
                <w:b/>
                <w:bCs/>
                <w:color w:val="auto"/>
                <w:sz w:val="18"/>
                <w:szCs w:val="18"/>
              </w:rPr>
              <w:t>LIC. JAIME LUCIANO FERNÁNDEZ CHÁVEZ</w:t>
            </w:r>
          </w:p>
          <w:p>
            <w:pPr>
              <w:pStyle w:val="Normal"/>
              <w:spacing w:before="20" w:after="0"/>
              <w:jc w:val="center"/>
              <w:rPr>
                <w:color w:val="auto"/>
              </w:rPr>
            </w:pPr>
            <w:r>
              <w:rPr>
                <w:rFonts w:eastAsia="Calibri" w:cs="Calibri"/>
                <w:color w:val="auto"/>
                <w:sz w:val="18"/>
                <w:szCs w:val="18"/>
              </w:rPr>
              <w:t>Director General de Vinculación – SIDE</w:t>
            </w:r>
          </w:p>
          <w:p>
            <w:pPr>
              <w:pStyle w:val="Normal"/>
              <w:spacing w:before="20" w:after="0"/>
              <w:jc w:val="center"/>
              <w:rPr>
                <w:color w:val="auto"/>
              </w:rPr>
            </w:pPr>
            <w:r>
              <w:rPr>
                <w:rFonts w:eastAsia="Calibri" w:cs="Calibri"/>
                <w:i/>
                <w:iCs/>
                <w:color w:val="auto"/>
                <w:sz w:val="17"/>
                <w:szCs w:val="17"/>
              </w:rPr>
              <w:t>Responsable de la Supervisión y Vigilancia</w:t>
            </w:r>
          </w:p>
        </w:tc>
      </w:tr>
    </w:tbl>
    <w:p>
      <w:pPr>
        <w:pStyle w:val="Normal"/>
        <w:spacing w:before="400" w:after="80"/>
        <w:jc w:val="center"/>
        <w:rPr>
          <w:color w:val="auto"/>
        </w:rPr>
      </w:pPr>
      <w:r>
        <w:rPr>
          <w:rFonts w:eastAsia="Calibri" w:cs="Calibri"/>
          <w:b/>
          <w:bCs/>
          <w:color w:val="auto"/>
          <w:sz w:val="28"/>
          <w:szCs w:val="28"/>
        </w:rPr>
        <w:t>ANEXO 1</w:t>
      </w:r>
    </w:p>
    <w:p>
      <w:pPr>
        <w:pStyle w:val="Normal"/>
        <w:spacing w:before="40" w:after="40"/>
        <w:jc w:val="center"/>
        <w:rPr>
          <w:color w:val="auto"/>
        </w:rPr>
      </w:pPr>
      <w:r>
        <w:rPr>
          <w:rFonts w:eastAsia="Calibri" w:cs="Calibri"/>
          <w:color w:val="auto"/>
          <w:sz w:val="18"/>
          <w:szCs w:val="18"/>
        </w:rPr>
        <w:t>CORRESPONDIENTE AL CONVENIO DE COLABORACIÓN No. CCOL-___/2026-SIDE/DGV</w:t>
      </w:r>
    </w:p>
    <w:p>
      <w:pPr>
        <w:pStyle w:val="Normal"/>
        <w:spacing w:before="60" w:after="160"/>
        <w:jc w:val="center"/>
        <w:rPr>
          <w:color w:val="auto"/>
        </w:rPr>
      </w:pPr>
      <w:r>
        <w:rPr>
          <w:rFonts w:eastAsia="Calibri" w:cs="Calibri"/>
          <w:b/>
          <w:bCs/>
          <w:i/>
          <w:iCs/>
          <w:color w:val="auto"/>
          <w:sz w:val="22"/>
          <w:szCs w:val="22"/>
          <w:lang w:val="en-US"/>
        </w:rPr>
        <w:t>"Programa de Desarrollo de Talentos Chihuahuenses en Taiwán – Segunda Generación"</w:t>
      </w:r>
    </w:p>
    <w:p>
      <w:pPr>
        <w:pStyle w:val="Heading2"/>
        <w:pBdr>
          <w:bottom w:val="single" w:sz="6" w:space="4" w:color="2E5FA3"/>
        </w:pBdr>
        <w:spacing w:before="280" w:after="100"/>
        <w:rPr>
          <w:color w:val="auto"/>
        </w:rPr>
      </w:pPr>
      <w:r>
        <w:rPr>
          <w:rFonts w:eastAsia="Calibri" w:cs="Calibri" w:ascii="Calibri" w:hAnsi="Calibri"/>
          <w:b/>
          <w:bCs/>
          <w:color w:val="auto"/>
          <w:sz w:val="24"/>
          <w:szCs w:val="24"/>
          <w:lang w:val="en-US"/>
        </w:rPr>
        <w:t>Objeto del Apoyo</w:t>
      </w:r>
    </w:p>
    <w:p>
      <w:pPr>
        <w:pStyle w:val="Normal"/>
        <w:spacing w:lineRule="auto" w:line="281" w:before="80" w:after="80"/>
        <w:jc w:val="both"/>
        <w:rPr>
          <w:color w:val="auto"/>
        </w:rPr>
      </w:pPr>
      <w:r>
        <w:rPr>
          <w:rFonts w:eastAsia="Calibri" w:cs="Calibri"/>
          <w:b w:val="false"/>
          <w:bCs w:val="false"/>
          <w:color w:val="auto"/>
          <w:sz w:val="20"/>
          <w:szCs w:val="20"/>
          <w:lang w:val="en-US"/>
        </w:rPr>
        <w:t xml:space="preserve">Apoyo económico por la cantidad de </w:t>
      </w:r>
      <w:r>
        <w:rPr>
          <w:rFonts w:eastAsia="Calibri" w:cs="Calibri"/>
          <w:b/>
          <w:bCs/>
          <w:color w:val="auto"/>
          <w:sz w:val="20"/>
          <w:szCs w:val="20"/>
          <w:lang w:val="en-US"/>
        </w:rPr>
        <w:t xml:space="preserve">$11,500,000.00 (Once Millones Quinientos Mil Pesos 00/100 M.N.) destinados a cubrir los gastos del "Programa de Desarrollo de Talentos Chihuahuenses en Taiwán – Segunda Generación", con el objetivo de brindar a hasta 15 estudiantes chihuahuenses capacitación especializada en semiconductores, vehículos eléctricos, automatización e inteligencia artificial en la República de China (Taiwán), a través del Industrial Technology Research Institute (ITRI) y la Southern Taiwan University of Science and Technology (STUST).</w:t>
      </w:r>
    </w:p>
    <w:p>
      <w:pPr>
        <w:pStyle w:val="Heading2"/>
        <w:pBdr>
          <w:bottom w:val="single" w:sz="6" w:space="4" w:color="2E5FA3"/>
        </w:pBdr>
        <w:spacing w:before="280" w:after="100"/>
        <w:rPr>
          <w:color w:val="auto"/>
        </w:rPr>
      </w:pPr>
      <w:r>
        <w:rPr>
          <w:rFonts w:eastAsia="Calibri" w:cs="Calibri" w:ascii="Calibri" w:hAnsi="Calibri"/>
          <w:b/>
          <w:bCs/>
          <w:color w:val="auto"/>
          <w:sz w:val="24"/>
          <w:szCs w:val="24"/>
          <w:lang w:val="en-US"/>
        </w:rPr>
        <w:t>Desglose Presupuestal</w:t>
      </w:r>
    </w:p>
    <w:tbl>
      <w:tblPr>
        <w:tblW w:w="9360" w:type="dxa"/>
        <w:jc w:val="start"/>
        <w:tblInd w:w="0" w:type="dxa"/>
        <w:tblLayout w:type="fixed"/>
        <w:tblCellMar>
          <w:top w:w="100" w:type="dxa"/>
          <w:start w:w="160" w:type="dxa"/>
          <w:bottom w:w="100" w:type="dxa"/>
          <w:end w:w="160" w:type="dxa"/>
        </w:tblCellMar>
      </w:tblPr>
      <w:tblGrid>
        <w:gridCol w:w="6360"/>
        <w:gridCol w:w="3000"/>
      </w:tblGrid>
      <w:tr>
        <w:trPr/>
        <w:tc>
          <w:tcPr>
            <w:tcW w:w="6360"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CONCEPTO</w:t>
            </w:r>
          </w:p>
        </w:tc>
        <w:tc>
          <w:tcPr>
            <w:tcW w:w="3000"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MONTO (MXN)</w:t>
            </w:r>
          </w:p>
        </w:tc>
      </w:tr>
      <w:tr>
        <w:trPr/>
        <w:tc>
          <w:tcPr>
            <w:tcW w:w="636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lang w:val="en-US"/>
              </w:rPr>
              <w:t>Comisión de Servicios a ITRI (Colegiaturas)</w:t>
            </w:r>
          </w:p>
        </w:tc>
        <w:tc>
          <w:tcPr>
            <w:tcW w:w="300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rPr>
              <w:t>$8,850,000.00</w:t>
            </w:r>
          </w:p>
        </w:tc>
      </w:tr>
      <w:tr>
        <w:trPr/>
        <w:tc>
          <w:tcPr>
            <w:tcW w:w="6360"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lang w:val="en-US"/>
              </w:rPr>
              <w:t>Traslados</w:t>
            </w:r>
          </w:p>
        </w:tc>
        <w:tc>
          <w:tcPr>
            <w:tcW w:w="3000"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rPr>
              <w:t>$1,500,000.00</w:t>
            </w:r>
          </w:p>
        </w:tc>
      </w:tr>
      <w:tr>
        <w:trPr/>
        <w:tc>
          <w:tcPr>
            <w:tcW w:w="636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lang w:val="en-US"/>
              </w:rPr>
              <w:t>Gastos de Manutención</w:t>
            </w:r>
          </w:p>
        </w:tc>
        <w:tc>
          <w:tcPr>
            <w:tcW w:w="300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rPr>
              <w:t>$950,000.00</w:t>
            </w:r>
          </w:p>
        </w:tc>
      </w:tr>
      <w:tr>
        <w:trPr/>
        <w:tc>
          <w:tcPr>
            <w:tcW w:w="6360"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lang w:val="en-US"/>
              </w:rPr>
              <w:t>Visado y Proceso de Gestión</w:t>
            </w:r>
          </w:p>
        </w:tc>
        <w:tc>
          <w:tcPr>
            <w:tcW w:w="3000"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rPr>
              <w:t>$200,000.00</w:t>
            </w:r>
          </w:p>
        </w:tc>
      </w:tr>
      <w:tr>
        <w:trPr/>
        <w:tc>
          <w:tcPr>
            <w:tcW w:w="6360" w:type="dxa"/>
            <w:tcBorders>
              <w:top w:val="single" w:sz="4" w:space="0" w:color="B0BEC5"/>
              <w:start w:val="single" w:sz="4" w:space="0" w:color="B0BEC5"/>
              <w:bottom w:val="single" w:sz="4" w:space="0" w:color="B0BEC5"/>
              <w:end w:val="single" w:sz="4" w:space="0" w:color="B0BEC5"/>
            </w:tcBorders>
            <w:shd w:color="auto" w:fill="D6E4F5" w:val="clear"/>
            <w:tcMar>
              <w:top w:w="80" w:type="dxa"/>
              <w:bottom w:w="80" w:type="dxa"/>
            </w:tcMar>
          </w:tcPr>
          <w:p>
            <w:pPr>
              <w:pStyle w:val="Normal"/>
              <w:rPr>
                <w:color w:val="auto"/>
              </w:rPr>
            </w:pPr>
            <w:r>
              <w:rPr>
                <w:rFonts w:eastAsia="Calibri" w:cs="Calibri"/>
                <w:b/>
                <w:bCs/>
                <w:color w:val="auto"/>
                <w:sz w:val="19"/>
                <w:szCs w:val="19"/>
                <w:lang w:val="es-ES"/>
              </w:rPr>
              <w:t>TOTAL GENERAL</w:t>
            </w:r>
          </w:p>
        </w:tc>
        <w:tc>
          <w:tcPr>
            <w:tcW w:w="3000" w:type="dxa"/>
            <w:tcBorders>
              <w:top w:val="single" w:sz="4" w:space="0" w:color="B0BEC5"/>
              <w:start w:val="single" w:sz="4" w:space="0" w:color="B0BEC5"/>
              <w:bottom w:val="single" w:sz="4" w:space="0" w:color="B0BEC5"/>
              <w:end w:val="single" w:sz="4" w:space="0" w:color="B0BEC5"/>
            </w:tcBorders>
            <w:shd w:color="auto" w:fill="D6E4F5" w:val="clear"/>
            <w:tcMar>
              <w:top w:w="80" w:type="dxa"/>
              <w:bottom w:w="80" w:type="dxa"/>
            </w:tcMar>
          </w:tcPr>
          <w:p>
            <w:pPr>
              <w:pStyle w:val="Normal"/>
              <w:rPr>
                <w:color w:val="auto"/>
              </w:rPr>
            </w:pPr>
            <w:r>
              <w:rPr>
                <w:rFonts w:eastAsia="Calibri" w:cs="Calibri"/>
                <w:b/>
                <w:bCs/>
                <w:color w:val="auto"/>
                <w:sz w:val="19"/>
                <w:szCs w:val="19"/>
              </w:rPr>
              <w:t>$11,500,000.00</w:t>
            </w:r>
          </w:p>
        </w:tc>
      </w:tr>
    </w:tbl>
    <w:p>
      <w:pPr>
        <w:pStyle w:val="Normal"/>
        <w:spacing w:before="0" w:after="60"/>
        <w:rPr>
          <w:color w:val="auto"/>
        </w:rPr>
      </w:pPr>
      <w:r>
        <w:rPr>
          <w:color w:val="auto"/>
        </w:rPr>
      </w:r>
    </w:p>
    <w:p>
      <w:pPr>
        <w:pStyle w:val="Heading2"/>
        <w:pBdr>
          <w:bottom w:val="single" w:sz="6" w:space="4" w:color="2E5FA3"/>
        </w:pBdr>
        <w:spacing w:before="280" w:after="100"/>
        <w:rPr>
          <w:color w:val="auto"/>
        </w:rPr>
      </w:pPr>
      <w:r>
        <w:rPr>
          <w:rFonts w:eastAsia="Calibri" w:cs="Calibri" w:ascii="Calibri" w:hAnsi="Calibri"/>
          <w:b/>
          <w:bCs/>
          <w:color w:val="auto"/>
          <w:sz w:val="24"/>
          <w:szCs w:val="24"/>
          <w:lang w:val="en-US"/>
        </w:rPr>
        <w:t>Fuentes de Financiamiento</w:t>
      </w:r>
    </w:p>
    <w:tbl>
      <w:tblPr>
        <w:tblW w:w="9360" w:type="dxa"/>
        <w:jc w:val="start"/>
        <w:tblInd w:w="0" w:type="dxa"/>
        <w:tblLayout w:type="fixed"/>
        <w:tblCellMar>
          <w:top w:w="100" w:type="dxa"/>
          <w:start w:w="160" w:type="dxa"/>
          <w:bottom w:w="100" w:type="dxa"/>
          <w:end w:w="160" w:type="dxa"/>
        </w:tblCellMar>
      </w:tblPr>
      <w:tblGrid>
        <w:gridCol w:w="4359"/>
        <w:gridCol w:w="2500"/>
        <w:gridCol w:w="2501"/>
      </w:tblGrid>
      <w:tr>
        <w:trPr/>
        <w:tc>
          <w:tcPr>
            <w:tcW w:w="4359" w:type="dxa"/>
            <w:tcBorders>
              <w:top w:val="single" w:sz="4" w:space="0" w:color="B0BEC5"/>
              <w:start w:val="single" w:sz="4" w:space="0" w:color="B0BEC5"/>
              <w:bottom w:val="single" w:sz="4" w:space="0" w:color="B0BEC5"/>
              <w:end w:val="single" w:sz="4" w:space="0" w:color="B0BEC5"/>
            </w:tcBorders>
            <w:shd w:fill="1A3A6B" w:val="clear"/>
            <w:vAlign w:val="center"/>
          </w:tcPr>
          <w:p>
            <w:pPr>
              <w:pStyle w:val="Normal"/>
              <w:jc w:val="center"/>
              <w:rPr>
                <w:color w:val="auto"/>
              </w:rPr>
            </w:pPr>
            <w:r>
              <w:rPr>
                <w:rFonts w:eastAsia="Calibri" w:cs="Calibri"/>
                <w:b/>
                <w:bCs/>
                <w:color w:val="auto"/>
                <w:sz w:val="18"/>
                <w:szCs w:val="18"/>
              </w:rPr>
              <w:t>FUENTE</w:t>
            </w:r>
          </w:p>
        </w:tc>
        <w:tc>
          <w:tcPr>
            <w:tcW w:w="2500" w:type="dxa"/>
            <w:tcBorders>
              <w:top w:val="single" w:sz="4" w:space="0" w:color="B0BEC5"/>
              <w:start w:val="single" w:sz="4" w:space="0" w:color="B0BEC5"/>
              <w:bottom w:val="single" w:sz="4" w:space="0" w:color="B0BEC5"/>
              <w:end w:val="single" w:sz="4" w:space="0" w:color="B0BEC5"/>
            </w:tcBorders>
            <w:shd w:fill="1A3A6B" w:val="clear"/>
            <w:vAlign w:val="center"/>
          </w:tcPr>
          <w:p>
            <w:pPr>
              <w:pStyle w:val="Normal"/>
              <w:jc w:val="center"/>
              <w:rPr>
                <w:color w:val="auto"/>
              </w:rPr>
            </w:pPr>
            <w:r>
              <w:rPr>
                <w:rFonts w:eastAsia="Calibri" w:cs="Calibri"/>
                <w:b/>
                <w:bCs/>
                <w:color w:val="auto"/>
                <w:sz w:val="18"/>
                <w:szCs w:val="18"/>
              </w:rPr>
              <w:t>PORCENTAJE</w:t>
            </w:r>
          </w:p>
        </w:tc>
        <w:tc>
          <w:tcPr>
            <w:tcW w:w="2501" w:type="dxa"/>
            <w:tcBorders>
              <w:top w:val="single" w:sz="4" w:space="0" w:color="B0BEC5"/>
              <w:start w:val="single" w:sz="4" w:space="0" w:color="B0BEC5"/>
              <w:bottom w:val="single" w:sz="4" w:space="0" w:color="B0BEC5"/>
              <w:end w:val="single" w:sz="4" w:space="0" w:color="B0BEC5"/>
            </w:tcBorders>
            <w:shd w:fill="1A3A6B" w:val="clear"/>
            <w:vAlign w:val="center"/>
          </w:tcPr>
          <w:p>
            <w:pPr>
              <w:pStyle w:val="Normal"/>
              <w:jc w:val="center"/>
              <w:rPr>
                <w:color w:val="auto"/>
              </w:rPr>
            </w:pPr>
            <w:r>
              <w:rPr>
                <w:rFonts w:eastAsia="Calibri" w:cs="Calibri"/>
                <w:b/>
                <w:bCs/>
                <w:color w:val="auto"/>
                <w:sz w:val="18"/>
                <w:szCs w:val="18"/>
              </w:rPr>
              <w:t>MONTO (MXN)</w:t>
            </w:r>
          </w:p>
        </w:tc>
      </w:tr>
      <w:tr>
        <w:trPr/>
        <w:tc>
          <w:tcPr>
            <w:tcW w:w="4359" w:type="dxa"/>
            <w:tcBorders>
              <w:top w:val="single" w:sz="4" w:space="0" w:color="B0BEC5"/>
              <w:start w:val="single" w:sz="4" w:space="0" w:color="B0BEC5"/>
              <w:bottom w:val="single" w:sz="4" w:space="0" w:color="B0BEC5"/>
              <w:end w:val="single" w:sz="4" w:space="0" w:color="B0BEC5"/>
            </w:tcBorders>
            <w:shd w:fill="FFFFFF" w:val="clear"/>
            <w:tcMar>
              <w:top w:w="80" w:type="dxa"/>
              <w:bottom w:w="80" w:type="dxa"/>
            </w:tcMar>
            <w:vAlign w:val="center"/>
          </w:tcPr>
          <w:p>
            <w:pPr>
              <w:pStyle w:val="Normal"/>
              <w:rPr>
                <w:color w:val="auto"/>
              </w:rPr>
            </w:pPr>
            <w:r>
              <w:rPr>
                <w:rFonts w:eastAsia="Calibri" w:cs="Calibri"/>
                <w:color w:val="auto"/>
                <w:sz w:val="19"/>
                <w:szCs w:val="19"/>
              </w:rPr>
              <w:t>Secretaría de Innovación y Desarrollo Económico (SIDE)</w:t>
            </w:r>
          </w:p>
        </w:tc>
        <w:tc>
          <w:tcPr>
            <w:tcW w:w="2500" w:type="dxa"/>
            <w:tcBorders>
              <w:top w:val="single" w:sz="4" w:space="0" w:color="B0BEC5"/>
              <w:start w:val="single" w:sz="4" w:space="0" w:color="B0BEC5"/>
              <w:bottom w:val="single" w:sz="4" w:space="0" w:color="B0BEC5"/>
              <w:end w:val="single" w:sz="4" w:space="0" w:color="B0BEC5"/>
            </w:tcBorders>
            <w:shd w:fill="FFFFFF" w:val="clear"/>
            <w:tcMar>
              <w:top w:w="80" w:type="dxa"/>
              <w:bottom w:w="80" w:type="dxa"/>
            </w:tcMar>
            <w:vAlign w:val="center"/>
          </w:tcPr>
          <w:p>
            <w:pPr>
              <w:pStyle w:val="Normal"/>
              <w:rPr>
                <w:color w:val="auto"/>
              </w:rPr>
            </w:pPr>
            <w:r>
              <w:rPr>
                <w:rFonts w:eastAsia="Calibri" w:cs="Calibri"/>
                <w:color w:val="auto"/>
                <w:sz w:val="19"/>
                <w:szCs w:val="19"/>
              </w:rPr>
              <w:t>100%</w:t>
            </w:r>
          </w:p>
        </w:tc>
        <w:tc>
          <w:tcPr>
            <w:tcW w:w="2501" w:type="dxa"/>
            <w:tcBorders>
              <w:top w:val="single" w:sz="4" w:space="0" w:color="B0BEC5"/>
              <w:start w:val="single" w:sz="4" w:space="0" w:color="B0BEC5"/>
              <w:bottom w:val="single" w:sz="4" w:space="0" w:color="B0BEC5"/>
              <w:end w:val="single" w:sz="4" w:space="0" w:color="B0BEC5"/>
            </w:tcBorders>
            <w:shd w:fill="FFFFFF" w:val="clear"/>
            <w:tcMar>
              <w:top w:w="80" w:type="dxa"/>
              <w:bottom w:w="80" w:type="dxa"/>
            </w:tcMar>
            <w:vAlign w:val="center"/>
          </w:tcPr>
          <w:p>
            <w:pPr>
              <w:pStyle w:val="Normal"/>
              <w:rPr>
                <w:color w:val="auto"/>
              </w:rPr>
            </w:pPr>
            <w:r>
              <w:rPr>
                <w:rFonts w:eastAsia="Calibri" w:cs="Calibri"/>
                <w:color w:val="auto"/>
                <w:sz w:val="19"/>
                <w:szCs w:val="19"/>
              </w:rPr>
              <w:t>$11,500,000.00</w:t>
            </w:r>
          </w:p>
        </w:tc>
      </w:tr>
      <w:tr>
        <w:trPr/>
        <w:tc>
          <w:tcPr>
            <w:tcW w:w="4359" w:type="dxa"/>
            <w:tcBorders>
              <w:top w:val="single" w:sz="4" w:space="0" w:color="B0BEC5"/>
              <w:start w:val="single" w:sz="4" w:space="0" w:color="B0BEC5"/>
              <w:bottom w:val="single" w:sz="4" w:space="0" w:color="B0BEC5"/>
              <w:end w:val="single" w:sz="4" w:space="0" w:color="B0BEC5"/>
            </w:tcBorders>
            <w:shd w:fill="D6E4F5" w:val="clear"/>
            <w:tcMar>
              <w:top w:w="80" w:type="dxa"/>
              <w:bottom w:w="80" w:type="dxa"/>
            </w:tcMar>
          </w:tcPr>
          <w:p>
            <w:pPr>
              <w:pStyle w:val="Normal"/>
              <w:rPr>
                <w:color w:val="auto"/>
              </w:rPr>
            </w:pPr>
            <w:r>
              <w:rPr>
                <w:rFonts w:eastAsia="Calibri" w:cs="Calibri"/>
                <w:b/>
                <w:bCs/>
                <w:color w:val="auto"/>
                <w:sz w:val="19"/>
                <w:szCs w:val="19"/>
              </w:rPr>
              <w:t>TOTAL</w:t>
            </w:r>
          </w:p>
        </w:tc>
        <w:tc>
          <w:tcPr>
            <w:tcW w:w="2500" w:type="dxa"/>
            <w:tcBorders>
              <w:top w:val="single" w:sz="4" w:space="0" w:color="B0BEC5"/>
              <w:start w:val="single" w:sz="4" w:space="0" w:color="B0BEC5"/>
              <w:bottom w:val="single" w:sz="4" w:space="0" w:color="B0BEC5"/>
              <w:end w:val="single" w:sz="4" w:space="0" w:color="B0BEC5"/>
            </w:tcBorders>
            <w:shd w:fill="D6E4F5" w:val="clear"/>
            <w:tcMar>
              <w:top w:w="80" w:type="dxa"/>
              <w:bottom w:w="80" w:type="dxa"/>
            </w:tcMar>
          </w:tcPr>
          <w:p>
            <w:pPr>
              <w:pStyle w:val="Normal"/>
              <w:rPr>
                <w:color w:val="auto"/>
              </w:rPr>
            </w:pPr>
            <w:r>
              <w:rPr>
                <w:rFonts w:eastAsia="Calibri" w:cs="Calibri"/>
                <w:b/>
                <w:bCs/>
                <w:color w:val="auto"/>
                <w:sz w:val="19"/>
                <w:szCs w:val="19"/>
              </w:rPr>
              <w:t>100%</w:t>
            </w:r>
          </w:p>
        </w:tc>
        <w:tc>
          <w:tcPr>
            <w:tcW w:w="2501" w:type="dxa"/>
            <w:tcBorders>
              <w:top w:val="single" w:sz="4" w:space="0" w:color="B0BEC5"/>
              <w:start w:val="single" w:sz="4" w:space="0" w:color="B0BEC5"/>
              <w:bottom w:val="single" w:sz="4" w:space="0" w:color="B0BEC5"/>
              <w:end w:val="single" w:sz="4" w:space="0" w:color="B0BEC5"/>
            </w:tcBorders>
            <w:shd w:fill="D6E4F5" w:val="clear"/>
            <w:tcMar>
              <w:top w:w="80" w:type="dxa"/>
              <w:bottom w:w="80" w:type="dxa"/>
            </w:tcMar>
          </w:tcPr>
          <w:p>
            <w:pPr>
              <w:pStyle w:val="Normal"/>
              <w:rPr>
                <w:color w:val="auto"/>
              </w:rPr>
            </w:pPr>
            <w:r>
              <w:rPr>
                <w:rFonts w:eastAsia="Calibri" w:cs="Calibri"/>
                <w:b/>
                <w:bCs/>
                <w:color w:val="auto"/>
                <w:sz w:val="19"/>
                <w:szCs w:val="19"/>
              </w:rPr>
              <w:t>$11,500,000.00</w:t>
            </w:r>
          </w:p>
        </w:tc>
      </w:tr>
    </w:tbl>
    <w:p>
      <w:pPr>
        <w:pStyle w:val="Normal"/>
        <w:spacing w:before="0" w:after="60"/>
        <w:rPr>
          <w:color w:val="auto"/>
        </w:rPr>
      </w:pPr>
      <w:r>
        <w:rPr>
          <w:color w:val="auto"/>
        </w:rPr>
      </w:r>
    </w:p>
    <w:p>
      <w:pPr>
        <w:pStyle w:val="Heading2"/>
        <w:pBdr>
          <w:bottom w:val="single" w:sz="6" w:space="4" w:color="2E5FA3"/>
        </w:pBdr>
        <w:spacing w:before="280" w:after="100"/>
        <w:rPr>
          <w:color w:val="auto"/>
        </w:rPr>
      </w:pPr>
      <w:r>
        <w:rPr>
          <w:rFonts w:eastAsia="Calibri" w:cs="Calibri" w:ascii="Calibri" w:hAnsi="Calibri"/>
          <w:b/>
          <w:bCs/>
          <w:color w:val="auto"/>
          <w:sz w:val="24"/>
          <w:szCs w:val="24"/>
        </w:rPr>
        <w:t>Datos del Beneficiario</w:t>
      </w:r>
    </w:p>
    <w:p>
      <w:pPr>
        <w:pStyle w:val="Normal"/>
        <w:spacing w:lineRule="auto" w:line="281" w:before="80" w:after="80"/>
        <w:jc w:val="both"/>
        <w:rPr>
          <w:color w:val="auto"/>
        </w:rPr>
      </w:pPr>
      <w:r>
        <w:rPr>
          <w:rFonts w:eastAsia="Calibri" w:cs="Calibri"/>
          <w:b w:val="false"/>
          <w:bCs w:val="false"/>
          <w:color w:val="auto"/>
          <w:sz w:val="20"/>
          <w:szCs w:val="20"/>
        </w:rPr>
        <w:t xml:space="preserve">Persona Moral: </w:t>
      </w:r>
      <w:r>
        <w:rPr>
          <w:rFonts w:eastAsia="Calibri" w:cs="Calibri"/>
          <w:b/>
          <w:bCs/>
          <w:color w:val="auto"/>
          <w:sz w:val="20"/>
          <w:szCs w:val="20"/>
        </w:rPr>
        <w:t>Instituto de Apoyo al Desarrollo Tecnológico (INADET)</w:t>
      </w:r>
    </w:p>
    <w:p>
      <w:pPr>
        <w:pStyle w:val="Normal"/>
        <w:spacing w:lineRule="auto" w:line="281" w:before="80" w:after="80"/>
        <w:jc w:val="both"/>
        <w:rPr>
          <w:color w:val="auto"/>
        </w:rPr>
      </w:pPr>
      <w:r>
        <w:rPr>
          <w:rFonts w:eastAsia="Calibri" w:cs="Calibri"/>
          <w:b w:val="false"/>
          <w:bCs w:val="false"/>
          <w:color w:val="auto"/>
          <w:sz w:val="20"/>
          <w:szCs w:val="20"/>
        </w:rPr>
        <w:t xml:space="preserve">RFC: </w:t>
      </w:r>
      <w:r>
        <w:rPr>
          <w:rFonts w:eastAsia="Calibri" w:cs="Calibri"/>
          <w:b/>
          <w:bCs/>
          <w:color w:val="auto"/>
          <w:sz w:val="20"/>
          <w:szCs w:val="20"/>
        </w:rPr>
        <w:t>IAD-990630-MK7</w:t>
      </w:r>
    </w:p>
    <w:p>
      <w:pPr>
        <w:pStyle w:val="Normal"/>
        <w:spacing w:lineRule="auto" w:line="281" w:before="80" w:after="80"/>
        <w:jc w:val="both"/>
        <w:rPr>
          <w:color w:val="auto"/>
        </w:rPr>
      </w:pPr>
      <w:r>
        <w:rPr>
          <w:rFonts w:eastAsia="Calibri" w:cs="Calibri"/>
          <w:color w:val="auto"/>
          <w:sz w:val="20"/>
          <w:szCs w:val="20"/>
        </w:rPr>
        <w:t>Periodo de uso del recurso: agosto de 2026 a febrero de 2027. El programa se desarrollará en la República de China (Taiwán).</w:t>
      </w:r>
    </w:p>
    <w:p>
      <w:pPr>
        <w:pStyle w:val="Heading2"/>
        <w:pBdr>
          <w:bottom w:val="single" w:sz="6" w:space="4" w:color="2E5FA3"/>
        </w:pBdr>
        <w:spacing w:before="280" w:after="100"/>
        <w:rPr>
          <w:color w:val="auto"/>
        </w:rPr>
      </w:pPr>
      <w:r>
        <w:rPr>
          <w:rFonts w:eastAsia="Calibri" w:cs="Calibri" w:ascii="Calibri" w:hAnsi="Calibri"/>
          <w:b/>
          <w:bCs/>
          <w:color w:val="auto"/>
          <w:sz w:val="24"/>
          <w:szCs w:val="24"/>
        </w:rPr>
        <w:t>Cronograma de Actividades</w:t>
      </w:r>
    </w:p>
    <w:tbl>
      <w:tblPr>
        <w:tblW w:w="9360" w:type="dxa"/>
        <w:jc w:val="start"/>
        <w:tblInd w:w="0" w:type="dxa"/>
        <w:tblLayout w:type="fixed"/>
        <w:tblCellMar>
          <w:top w:w="100" w:type="dxa"/>
          <w:start w:w="160" w:type="dxa"/>
          <w:bottom w:w="100" w:type="dxa"/>
          <w:end w:w="160" w:type="dxa"/>
        </w:tblCellMar>
      </w:tblPr>
      <w:tblGrid>
        <w:gridCol w:w="3100"/>
        <w:gridCol w:w="765"/>
        <w:gridCol w:w="766"/>
        <w:gridCol w:w="765"/>
        <w:gridCol w:w="765"/>
        <w:gridCol w:w="765"/>
        <w:gridCol w:w="766"/>
        <w:gridCol w:w="765"/>
        <w:gridCol w:w="765"/>
        <w:gridCol w:w="138"/>
      </w:tblGrid>
      <w:tr>
        <w:trPr/>
        <w:tc>
          <w:tcPr>
            <w:tcW w:w="3100"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ACTIVIDAD</w:t>
            </w:r>
          </w:p>
        </w:tc>
        <w:tc>
          <w:tcPr>
            <w:tcW w:w="765"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1</w:t>
            </w:r>
          </w:p>
        </w:tc>
        <w:tc>
          <w:tcPr>
            <w:tcW w:w="766"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2</w:t>
            </w:r>
          </w:p>
        </w:tc>
        <w:tc>
          <w:tcPr>
            <w:tcW w:w="765"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3</w:t>
            </w:r>
          </w:p>
        </w:tc>
        <w:tc>
          <w:tcPr>
            <w:tcW w:w="765"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4</w:t>
            </w:r>
          </w:p>
        </w:tc>
        <w:tc>
          <w:tcPr>
            <w:tcW w:w="765"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5</w:t>
            </w:r>
          </w:p>
        </w:tc>
        <w:tc>
          <w:tcPr>
            <w:tcW w:w="766"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6</w:t>
            </w:r>
          </w:p>
        </w:tc>
        <w:tc>
          <w:tcPr>
            <w:tcW w:w="765"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7</w:t>
            </w:r>
          </w:p>
        </w:tc>
        <w:tc>
          <w:tcPr>
            <w:tcW w:w="765"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8</w:t>
            </w:r>
          </w:p>
        </w:tc>
        <w:tc>
          <w:tcPr>
            <w:tcW w:w="138"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13+</w:t>
            </w:r>
          </w:p>
        </w:tc>
      </w:tr>
      <w:tr>
        <w:trPr/>
        <w:tc>
          <w:tcPr>
            <w:tcW w:w="310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rPr>
              <w:t>Firma e inicio del convenio</w:t>
            </w:r>
          </w:p>
        </w:tc>
        <w:tc>
          <w:tcPr>
            <w:tcW w:w="765" w:type="dxa"/>
            <w:tcBorders>
              <w:top w:val="single" w:sz="4" w:space="0" w:color="B0BEC5"/>
              <w:start w:val="single" w:sz="4" w:space="0" w:color="B0BEC5"/>
              <w:bottom w:val="single" w:sz="4" w:space="0" w:color="B0BEC5"/>
              <w:end w:val="single" w:sz="4" w:space="0" w:color="B0BEC5"/>
            </w:tcBorders>
            <w:shd w:color="auto" w:fill="2E5FA3" w:val="clear"/>
            <w:tcMar>
              <w:top w:w="40" w:type="dxa"/>
              <w:start w:w="40" w:type="dxa"/>
              <w:bottom w:w="40" w:type="dxa"/>
              <w:end w:w="40" w:type="dxa"/>
            </w:tcMar>
          </w:tcPr>
          <w:p>
            <w:pPr>
              <w:pStyle w:val="Normal"/>
              <w:jc w:val="center"/>
              <w:rPr>
                <w:color w:val="auto"/>
              </w:rPr>
            </w:pPr>
            <w:r>
              <w:rPr>
                <w:rFonts w:eastAsia="Calibri" w:cs="Calibri"/>
                <w:color w:val="auto"/>
                <w:sz w:val="18"/>
                <w:szCs w:val="18"/>
              </w:rPr>
              <w:t>●</w:t>
            </w:r>
          </w:p>
        </w:tc>
        <w:tc>
          <w:tcPr>
            <w:tcW w:w="766"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6"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138"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r>
      <w:tr>
        <w:trPr/>
        <w:tc>
          <w:tcPr>
            <w:tcW w:w="3100"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rPr>
              <w:t>Publicación y cierre de convocatoria</w:t>
            </w:r>
          </w:p>
        </w:tc>
        <w:tc>
          <w:tcPr>
            <w:tcW w:w="765" w:type="dxa"/>
            <w:tcBorders>
              <w:top w:val="single" w:sz="4" w:space="0" w:color="B0BEC5"/>
              <w:start w:val="single" w:sz="4" w:space="0" w:color="B0BEC5"/>
              <w:bottom w:val="single" w:sz="4" w:space="0" w:color="B0BEC5"/>
              <w:end w:val="single" w:sz="4" w:space="0" w:color="B0BEC5"/>
            </w:tcBorders>
            <w:shd w:color="auto" w:fill="2E5FA3" w:val="clear"/>
            <w:tcMar>
              <w:top w:w="40" w:type="dxa"/>
              <w:start w:w="40" w:type="dxa"/>
              <w:bottom w:w="40" w:type="dxa"/>
              <w:end w:w="40" w:type="dxa"/>
            </w:tcMar>
          </w:tcPr>
          <w:p>
            <w:pPr>
              <w:pStyle w:val="Normal"/>
              <w:jc w:val="center"/>
              <w:rPr>
                <w:color w:val="auto"/>
              </w:rPr>
            </w:pPr>
            <w:r>
              <w:rPr>
                <w:rFonts w:eastAsia="Calibri" w:cs="Calibri"/>
                <w:color w:val="auto"/>
                <w:sz w:val="18"/>
                <w:szCs w:val="18"/>
              </w:rPr>
              <w:t>●</w:t>
            </w:r>
          </w:p>
        </w:tc>
        <w:tc>
          <w:tcPr>
            <w:tcW w:w="766" w:type="dxa"/>
            <w:tcBorders>
              <w:top w:val="single" w:sz="4" w:space="0" w:color="B0BEC5"/>
              <w:start w:val="single" w:sz="4" w:space="0" w:color="B0BEC5"/>
              <w:bottom w:val="single" w:sz="4" w:space="0" w:color="B0BEC5"/>
              <w:end w:val="single" w:sz="4" w:space="0" w:color="B0BEC5"/>
            </w:tcBorders>
            <w:shd w:color="auto" w:fill="2E5FA3" w:val="clear"/>
            <w:tcMar>
              <w:top w:w="40" w:type="dxa"/>
              <w:start w:w="40" w:type="dxa"/>
              <w:bottom w:w="40" w:type="dxa"/>
              <w:end w:w="40" w:type="dxa"/>
            </w:tcMar>
          </w:tcPr>
          <w:p>
            <w:pPr>
              <w:pStyle w:val="Normal"/>
              <w:jc w:val="center"/>
              <w:rPr>
                <w:color w:val="auto"/>
              </w:rPr>
            </w:pPr>
            <w:r>
              <w:rPr>
                <w:rFonts w:eastAsia="Calibri" w:cs="Calibri"/>
                <w:color w:val="auto"/>
                <w:sz w:val="18"/>
                <w:szCs w:val="18"/>
              </w:rPr>
              <w:t>●</w:t>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6"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138"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r>
      <w:tr>
        <w:trPr/>
        <w:tc>
          <w:tcPr>
            <w:tcW w:w="310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rPr>
              <w:t>Selección de becarios</w:t>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6" w:type="dxa"/>
            <w:tcBorders>
              <w:top w:val="single" w:sz="4" w:space="0" w:color="B0BEC5"/>
              <w:start w:val="single" w:sz="4" w:space="0" w:color="B0BEC5"/>
              <w:bottom w:val="single" w:sz="4" w:space="0" w:color="B0BEC5"/>
              <w:end w:val="single" w:sz="4" w:space="0" w:color="B0BEC5"/>
            </w:tcBorders>
            <w:shd w:color="auto" w:fill="2E5FA3" w:val="clear"/>
            <w:tcMar>
              <w:top w:w="40" w:type="dxa"/>
              <w:start w:w="40" w:type="dxa"/>
              <w:bottom w:w="40" w:type="dxa"/>
              <w:end w:w="40" w:type="dxa"/>
            </w:tcMar>
          </w:tcPr>
          <w:p>
            <w:pPr>
              <w:pStyle w:val="Normal"/>
              <w:jc w:val="center"/>
              <w:rPr>
                <w:color w:val="auto"/>
              </w:rPr>
            </w:pPr>
            <w:r>
              <w:rPr>
                <w:rFonts w:eastAsia="Calibri" w:cs="Calibri"/>
                <w:color w:val="auto"/>
                <w:sz w:val="18"/>
                <w:szCs w:val="18"/>
              </w:rPr>
              <w:t>●</w:t>
            </w:r>
          </w:p>
        </w:tc>
        <w:tc>
          <w:tcPr>
            <w:tcW w:w="765" w:type="dxa"/>
            <w:tcBorders>
              <w:top w:val="single" w:sz="4" w:space="0" w:color="B0BEC5"/>
              <w:start w:val="single" w:sz="4" w:space="0" w:color="B0BEC5"/>
              <w:bottom w:val="single" w:sz="4" w:space="0" w:color="B0BEC5"/>
              <w:end w:val="single" w:sz="4" w:space="0" w:color="B0BEC5"/>
            </w:tcBorders>
            <w:shd w:color="auto" w:fill="2E5FA3" w:val="clear"/>
            <w:tcMar>
              <w:top w:w="40" w:type="dxa"/>
              <w:start w:w="40" w:type="dxa"/>
              <w:bottom w:w="40" w:type="dxa"/>
              <w:end w:w="40" w:type="dxa"/>
            </w:tcMar>
          </w:tcPr>
          <w:p>
            <w:pPr>
              <w:pStyle w:val="Normal"/>
              <w:jc w:val="center"/>
              <w:rPr>
                <w:color w:val="auto"/>
              </w:rPr>
            </w:pPr>
            <w:r>
              <w:rPr>
                <w:rFonts w:eastAsia="Calibri" w:cs="Calibri"/>
                <w:color w:val="auto"/>
                <w:sz w:val="18"/>
                <w:szCs w:val="18"/>
              </w:rPr>
              <w:t>●</w:t>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6"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138"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r>
      <w:tr>
        <w:trPr/>
        <w:tc>
          <w:tcPr>
            <w:tcW w:w="3100"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rPr>
              <w:t>Inicio del entrenamiento en Taiwán</w:t>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6"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2E5FA3" w:val="clear"/>
            <w:tcMar>
              <w:top w:w="40" w:type="dxa"/>
              <w:start w:w="40" w:type="dxa"/>
              <w:bottom w:w="40" w:type="dxa"/>
              <w:end w:w="40" w:type="dxa"/>
            </w:tcMar>
          </w:tcPr>
          <w:p>
            <w:pPr>
              <w:pStyle w:val="Normal"/>
              <w:jc w:val="center"/>
              <w:rPr>
                <w:color w:val="auto"/>
              </w:rPr>
            </w:pPr>
            <w:r>
              <w:rPr>
                <w:rFonts w:eastAsia="Calibri" w:cs="Calibri"/>
                <w:color w:val="auto"/>
                <w:sz w:val="18"/>
                <w:szCs w:val="18"/>
              </w:rPr>
              <w:t>●</w:t>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6"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138"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r>
      <w:tr>
        <w:trPr/>
        <w:tc>
          <w:tcPr>
            <w:tcW w:w="310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rPr>
              <w:t>Reuniones de seguimiento</w:t>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6"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2E5FA3" w:val="clear"/>
            <w:tcMar>
              <w:top w:w="40" w:type="dxa"/>
              <w:start w:w="40" w:type="dxa"/>
              <w:bottom w:w="40" w:type="dxa"/>
              <w:end w:w="40" w:type="dxa"/>
            </w:tcMar>
          </w:tcPr>
          <w:p>
            <w:pPr>
              <w:pStyle w:val="Normal"/>
              <w:jc w:val="center"/>
              <w:rPr>
                <w:color w:val="auto"/>
              </w:rPr>
            </w:pPr>
            <w:r>
              <w:rPr>
                <w:rFonts w:eastAsia="Calibri" w:cs="Calibri"/>
                <w:color w:val="auto"/>
                <w:sz w:val="18"/>
                <w:szCs w:val="18"/>
              </w:rPr>
              <w:t>●</w:t>
            </w:r>
          </w:p>
        </w:tc>
        <w:tc>
          <w:tcPr>
            <w:tcW w:w="766" w:type="dxa"/>
            <w:tcBorders>
              <w:top w:val="single" w:sz="4" w:space="0" w:color="B0BEC5"/>
              <w:start w:val="single" w:sz="4" w:space="0" w:color="B0BEC5"/>
              <w:bottom w:val="single" w:sz="4" w:space="0" w:color="B0BEC5"/>
              <w:end w:val="single" w:sz="4" w:space="0" w:color="B0BEC5"/>
            </w:tcBorders>
            <w:shd w:color="auto" w:fill="2E5FA3" w:val="clear"/>
            <w:tcMar>
              <w:top w:w="40" w:type="dxa"/>
              <w:start w:w="40" w:type="dxa"/>
              <w:bottom w:w="40" w:type="dxa"/>
              <w:end w:w="40" w:type="dxa"/>
            </w:tcMar>
          </w:tcPr>
          <w:p>
            <w:pPr>
              <w:pStyle w:val="Normal"/>
              <w:jc w:val="center"/>
              <w:rPr>
                <w:color w:val="auto"/>
              </w:rPr>
            </w:pPr>
            <w:r>
              <w:rPr>
                <w:rFonts w:eastAsia="Calibri" w:cs="Calibri"/>
                <w:color w:val="auto"/>
                <w:sz w:val="18"/>
                <w:szCs w:val="18"/>
              </w:rPr>
              <w:t>●</w:t>
            </w:r>
          </w:p>
        </w:tc>
        <w:tc>
          <w:tcPr>
            <w:tcW w:w="765" w:type="dxa"/>
            <w:tcBorders>
              <w:top w:val="single" w:sz="4" w:space="0" w:color="B0BEC5"/>
              <w:start w:val="single" w:sz="4" w:space="0" w:color="B0BEC5"/>
              <w:bottom w:val="single" w:sz="4" w:space="0" w:color="B0BEC5"/>
              <w:end w:val="single" w:sz="4" w:space="0" w:color="B0BEC5"/>
            </w:tcBorders>
            <w:shd w:color="auto" w:fill="2E5FA3" w:val="clear"/>
            <w:tcMar>
              <w:top w:w="40" w:type="dxa"/>
              <w:start w:w="40" w:type="dxa"/>
              <w:bottom w:w="40" w:type="dxa"/>
              <w:end w:w="40" w:type="dxa"/>
            </w:tcMar>
          </w:tcPr>
          <w:p>
            <w:pPr>
              <w:pStyle w:val="Normal"/>
              <w:jc w:val="center"/>
              <w:rPr>
                <w:color w:val="auto"/>
              </w:rPr>
            </w:pPr>
            <w:r>
              <w:rPr>
                <w:rFonts w:eastAsia="Calibri" w:cs="Calibri"/>
                <w:color w:val="auto"/>
                <w:sz w:val="18"/>
                <w:szCs w:val="18"/>
              </w:rPr>
              <w:t>●</w:t>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138"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r>
      <w:tr>
        <w:trPr/>
        <w:tc>
          <w:tcPr>
            <w:tcW w:w="3100"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rPr>
              <w:t>Fin del entrenamiento</w:t>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6"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6"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2E5FA3" w:val="clear"/>
            <w:tcMar>
              <w:top w:w="40" w:type="dxa"/>
              <w:start w:w="40" w:type="dxa"/>
              <w:bottom w:w="40" w:type="dxa"/>
              <w:end w:w="40" w:type="dxa"/>
            </w:tcMar>
          </w:tcPr>
          <w:p>
            <w:pPr>
              <w:pStyle w:val="Normal"/>
              <w:jc w:val="center"/>
              <w:rPr>
                <w:color w:val="auto"/>
              </w:rPr>
            </w:pPr>
            <w:r>
              <w:rPr>
                <w:rFonts w:eastAsia="Calibri" w:cs="Calibri"/>
                <w:color w:val="auto"/>
                <w:sz w:val="18"/>
                <w:szCs w:val="18"/>
              </w:rPr>
              <w:t>●</w:t>
            </w:r>
          </w:p>
        </w:tc>
        <w:tc>
          <w:tcPr>
            <w:tcW w:w="138"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r>
      <w:tr>
        <w:trPr/>
        <w:tc>
          <w:tcPr>
            <w:tcW w:w="310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rPr>
              <w:t>Evento de graduación</w:t>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6"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6"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2E5FA3" w:val="clear"/>
            <w:tcMar>
              <w:top w:w="40" w:type="dxa"/>
              <w:start w:w="40" w:type="dxa"/>
              <w:bottom w:w="40" w:type="dxa"/>
              <w:end w:w="40" w:type="dxa"/>
            </w:tcMar>
          </w:tcPr>
          <w:p>
            <w:pPr>
              <w:pStyle w:val="Normal"/>
              <w:jc w:val="center"/>
              <w:rPr>
                <w:color w:val="auto"/>
              </w:rPr>
            </w:pPr>
            <w:r>
              <w:rPr>
                <w:rFonts w:eastAsia="Calibri" w:cs="Calibri"/>
                <w:color w:val="auto"/>
                <w:sz w:val="18"/>
                <w:szCs w:val="18"/>
              </w:rPr>
              <w:t>●</w:t>
            </w:r>
          </w:p>
        </w:tc>
        <w:tc>
          <w:tcPr>
            <w:tcW w:w="138"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r>
      <w:tr>
        <w:trPr/>
        <w:tc>
          <w:tcPr>
            <w:tcW w:w="3100"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lang w:val="en-US"/>
              </w:rPr>
              <w:t>Entrega de informe final</w:t>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6"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6"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138" w:type="dxa"/>
            <w:tcBorders>
              <w:top w:val="single" w:sz="4" w:space="0" w:color="B0BEC5"/>
              <w:start w:val="single" w:sz="4" w:space="0" w:color="B0BEC5"/>
              <w:bottom w:val="single" w:sz="4" w:space="0" w:color="B0BEC5"/>
              <w:end w:val="single" w:sz="4" w:space="0" w:color="B0BEC5"/>
            </w:tcBorders>
            <w:shd w:color="auto" w:fill="2E5FA3" w:val="clear"/>
            <w:tcMar>
              <w:top w:w="40" w:type="dxa"/>
              <w:start w:w="40" w:type="dxa"/>
              <w:bottom w:w="40" w:type="dxa"/>
              <w:end w:w="40" w:type="dxa"/>
            </w:tcMar>
          </w:tcPr>
          <w:p>
            <w:pPr>
              <w:pStyle w:val="Normal"/>
              <w:jc w:val="center"/>
              <w:rPr>
                <w:color w:val="auto"/>
              </w:rPr>
            </w:pPr>
            <w:r>
              <w:rPr>
                <w:rFonts w:eastAsia="Calibri" w:cs="Calibri"/>
                <w:color w:val="auto"/>
                <w:sz w:val="18"/>
                <w:szCs w:val="18"/>
              </w:rPr>
              <w:t>●</w:t>
            </w:r>
          </w:p>
        </w:tc>
      </w:tr>
    </w:tbl>
    <w:p>
      <w:pPr>
        <w:pStyle w:val="Normal"/>
        <w:spacing w:before="0" w:after="60"/>
        <w:rPr>
          <w:color w:val="auto"/>
        </w:rPr>
      </w:pPr>
      <w:r>
        <w:rPr>
          <w:color w:val="auto"/>
        </w:rPr>
      </w:r>
    </w:p>
    <w:p>
      <w:pPr>
        <w:pStyle w:val="Heading2"/>
        <w:pBdr>
          <w:bottom w:val="single" w:sz="6" w:space="4" w:color="2E5FA3"/>
        </w:pBdr>
        <w:spacing w:before="280" w:after="100"/>
        <w:rPr>
          <w:color w:val="auto"/>
        </w:rPr>
      </w:pPr>
      <w:r>
        <w:rPr>
          <w:rFonts w:eastAsia="Calibri" w:cs="Calibri" w:ascii="Calibri" w:hAnsi="Calibri"/>
          <w:b/>
          <w:bCs/>
          <w:color w:val="auto"/>
          <w:sz w:val="24"/>
          <w:szCs w:val="24"/>
          <w:lang w:val="en-US"/>
        </w:rPr>
        <w:t>Desglose Técnico de Formación (20 Semanas)</w:t>
      </w:r>
    </w:p>
    <w:p>
      <w:pPr>
        <w:pStyle w:val="Heading3"/>
        <w:spacing w:before="200" w:after="80"/>
        <w:rPr>
          <w:color w:val="auto"/>
        </w:rPr>
      </w:pPr>
      <w:r>
        <w:rPr>
          <w:rFonts w:eastAsia="Calibri" w:cs="Calibri" w:ascii="Calibri" w:hAnsi="Calibri"/>
          <w:b/>
          <w:bCs/>
          <w:color w:val="auto"/>
          <w:sz w:val="22"/>
          <w:szCs w:val="22"/>
          <w:lang w:val="en-US"/>
        </w:rPr>
        <w:t>Módulo 1: Especialización en STUST (Semanas 1–18)</w:t>
      </w:r>
    </w:p>
    <w:p>
      <w:pPr>
        <w:pStyle w:val="ListParagraph"/>
        <w:numPr>
          <w:ilvl w:val="0"/>
          <w:numId w:val="1"/>
        </w:numPr>
        <w:spacing w:before="60" w:after="60"/>
        <w:rPr>
          <w:color w:val="auto"/>
        </w:rPr>
      </w:pPr>
      <w:r>
        <w:rPr>
          <w:rFonts w:eastAsia="Calibri" w:cs="Calibri"/>
          <w:color w:val="auto"/>
          <w:sz w:val="20"/>
          <w:szCs w:val="20"/>
          <w:lang w:val="en-US"/>
        </w:rPr>
        <w:t>Inteligencia Artificial Aplicada: Deep Learning, Visión Artificial para Manufactura y Análisis de Datos Industriales.</w:t>
      </w:r>
    </w:p>
    <w:p>
      <w:pPr>
        <w:pStyle w:val="ListParagraph"/>
        <w:numPr>
          <w:ilvl w:val="0"/>
          <w:numId w:val="1"/>
        </w:numPr>
        <w:spacing w:before="60" w:after="60"/>
        <w:rPr>
          <w:color w:val="auto"/>
        </w:rPr>
      </w:pPr>
      <w:r>
        <w:rPr>
          <w:rFonts w:eastAsia="Calibri" w:cs="Calibri"/>
          <w:color w:val="auto"/>
          <w:sz w:val="20"/>
          <w:szCs w:val="20"/>
          <w:lang w:val="en-US"/>
        </w:rPr>
        <w:t>Automatización Avanzada: Robótica Colaborativa, Controladores Lógicos Programables (PLC) de última generación y Sistemas SCADA.</w:t>
      </w:r>
    </w:p>
    <w:p>
      <w:pPr>
        <w:pStyle w:val="ListParagraph"/>
        <w:numPr>
          <w:ilvl w:val="0"/>
          <w:numId w:val="1"/>
        </w:numPr>
        <w:spacing w:before="60" w:after="60"/>
        <w:rPr>
          <w:color w:val="auto"/>
        </w:rPr>
      </w:pPr>
      <w:r>
        <w:rPr>
          <w:rFonts w:eastAsia="Calibri" w:cs="Calibri"/>
          <w:color w:val="auto"/>
          <w:sz w:val="20"/>
          <w:szCs w:val="20"/>
          <w:lang w:val="en-US"/>
        </w:rPr>
        <w:t>Electromovilidad: Diseño de sistemas para EV y gestión de baterías.</w:t>
      </w:r>
    </w:p>
    <w:p>
      <w:pPr>
        <w:pStyle w:val="Heading3"/>
        <w:spacing w:before="200" w:after="80"/>
        <w:rPr>
          <w:color w:val="auto"/>
        </w:rPr>
      </w:pPr>
      <w:r>
        <w:rPr>
          <w:rFonts w:eastAsia="Calibri" w:cs="Calibri" w:ascii="Calibri" w:hAnsi="Calibri"/>
          <w:b/>
          <w:bCs/>
          <w:color w:val="auto"/>
          <w:sz w:val="22"/>
          <w:szCs w:val="22"/>
          <w:lang w:val="en-US"/>
        </w:rPr>
        <w:t>Módulo 2: Inmersión en ITRI College (Semanas 19–20)</w:t>
      </w:r>
    </w:p>
    <w:p>
      <w:pPr>
        <w:pStyle w:val="ListParagraph"/>
        <w:numPr>
          <w:ilvl w:val="0"/>
          <w:numId w:val="1"/>
        </w:numPr>
        <w:spacing w:before="60" w:after="60"/>
        <w:rPr>
          <w:color w:val="auto"/>
        </w:rPr>
      </w:pPr>
      <w:r>
        <w:rPr>
          <w:rFonts w:eastAsia="Calibri" w:cs="Calibri"/>
          <w:color w:val="auto"/>
          <w:sz w:val="20"/>
          <w:szCs w:val="20"/>
          <w:lang w:val="en-US"/>
        </w:rPr>
        <w:t>Semiconductores: Procesos de empaquetado avanzado y pruebas (OSAT).</w:t>
      </w:r>
    </w:p>
    <w:p>
      <w:pPr>
        <w:pStyle w:val="ListParagraph"/>
        <w:numPr>
          <w:ilvl w:val="0"/>
          <w:numId w:val="1"/>
        </w:numPr>
        <w:spacing w:before="60" w:after="60"/>
        <w:rPr>
          <w:color w:val="auto"/>
        </w:rPr>
      </w:pPr>
      <w:r>
        <w:rPr>
          <w:rFonts w:eastAsia="Calibri" w:cs="Calibri"/>
          <w:color w:val="auto"/>
          <w:sz w:val="20"/>
          <w:szCs w:val="20"/>
          <w:lang w:val="en-US"/>
        </w:rPr>
        <w:t>Ecosistema de Taiwán: Visitas industriales a parques tecnológicos y vinculación con el ecosistema de Hsinchu.</w:t>
      </w:r>
    </w:p>
    <w:p>
      <w:pPr>
        <w:pStyle w:val="Heading3"/>
        <w:spacing w:before="200" w:after="80"/>
        <w:rPr>
          <w:color w:val="auto"/>
        </w:rPr>
      </w:pPr>
      <w:r>
        <w:rPr>
          <w:rFonts w:eastAsia="Calibri" w:cs="Calibri" w:ascii="Calibri" w:hAnsi="Calibri"/>
          <w:b/>
          <w:bCs/>
          <w:color w:val="auto"/>
          <w:sz w:val="22"/>
          <w:szCs w:val="22"/>
          <w:lang w:val="en-US"/>
        </w:rPr>
        <w:t>Módulo 3: Programa Multiplicador (Regreso a Chihuahua)</w:t>
      </w:r>
    </w:p>
    <w:p>
      <w:pPr>
        <w:pStyle w:val="ListParagraph"/>
        <w:numPr>
          <w:ilvl w:val="0"/>
          <w:numId w:val="1"/>
        </w:numPr>
        <w:spacing w:before="60" w:after="60"/>
        <w:rPr>
          <w:color w:val="auto"/>
        </w:rPr>
      </w:pPr>
      <w:r>
        <w:rPr>
          <w:rFonts w:eastAsia="Calibri" w:cs="Calibri"/>
          <w:color w:val="auto"/>
          <w:sz w:val="20"/>
          <w:szCs w:val="20"/>
          <w:lang w:val="en-US"/>
        </w:rPr>
        <w:t>Transferencia de Conocimiento: Diseño e impartición de talleres técnicos para estudiantes de CENALTEC y universidades locales.</w:t>
      </w:r>
    </w:p>
    <w:p>
      <w:pPr>
        <w:pStyle w:val="Heading2"/>
        <w:pBdr>
          <w:bottom w:val="single" w:sz="6" w:space="4" w:color="2E5FA3"/>
        </w:pBdr>
        <w:spacing w:before="280" w:after="100"/>
        <w:rPr>
          <w:color w:val="auto"/>
        </w:rPr>
      </w:pPr>
      <w:r>
        <w:rPr>
          <w:rFonts w:eastAsia="Calibri" w:cs="Calibri" w:ascii="Calibri" w:hAnsi="Calibri"/>
          <w:b/>
          <w:bCs/>
          <w:color w:val="auto"/>
          <w:sz w:val="24"/>
          <w:szCs w:val="24"/>
          <w:lang w:val="en-US"/>
        </w:rPr>
        <w:t>Arreglos Administrativos y Apoyo</w:t>
      </w:r>
    </w:p>
    <w:p>
      <w:pPr>
        <w:pStyle w:val="ListParagraph"/>
        <w:numPr>
          <w:ilvl w:val="0"/>
          <w:numId w:val="1"/>
        </w:numPr>
        <w:spacing w:before="60" w:after="60"/>
        <w:rPr>
          <w:color w:val="auto"/>
        </w:rPr>
      </w:pPr>
      <w:r>
        <w:rPr>
          <w:rFonts w:eastAsia="Calibri" w:cs="Calibri"/>
          <w:color w:val="auto"/>
          <w:sz w:val="20"/>
          <w:szCs w:val="20"/>
          <w:lang w:val="en-US"/>
        </w:rPr>
        <w:t>La universidad anfitriona (STUST) emitirá la admisión de los estudiantes seleccionados y proporcionará apoyo logístico, seguro estudiantil y alojamiento durante el programa.</w:t>
      </w:r>
    </w:p>
    <w:p>
      <w:pPr>
        <w:pStyle w:val="ListParagraph"/>
        <w:numPr>
          <w:ilvl w:val="0"/>
          <w:numId w:val="1"/>
        </w:numPr>
        <w:spacing w:before="60" w:after="60"/>
        <w:rPr>
          <w:color w:val="auto"/>
        </w:rPr>
      </w:pPr>
      <w:r>
        <w:rPr>
          <w:rFonts w:eastAsia="Calibri" w:cs="Calibri"/>
          <w:color w:val="auto"/>
          <w:sz w:val="20"/>
          <w:szCs w:val="20"/>
          <w:lang w:val="en-US"/>
        </w:rPr>
        <w:t>ITRI coordinará el proceso de visa ante la unidad diplomática de Taiwán en México y proporcionará transporte grupal aeropuerto–alojamiento a su llegada y salida de Taiwán.</w:t>
      </w:r>
    </w:p>
    <w:p>
      <w:pPr>
        <w:pStyle w:val="ListParagraph"/>
        <w:numPr>
          <w:ilvl w:val="0"/>
          <w:numId w:val="1"/>
        </w:numPr>
        <w:spacing w:before="60" w:after="60"/>
        <w:rPr>
          <w:color w:val="auto"/>
        </w:rPr>
      </w:pPr>
      <w:r>
        <w:rPr>
          <w:rFonts w:eastAsia="Calibri" w:cs="Calibri"/>
          <w:color w:val="auto"/>
          <w:sz w:val="20"/>
          <w:szCs w:val="20"/>
          <w:lang w:val="en-US"/>
        </w:rPr>
        <w:t>Los gastos personales y de alimentación no están incluidos en el programa y correrán por cuenta de cada participante.</w:t>
      </w:r>
    </w:p>
    <w:p>
      <w:pPr>
        <w:pStyle w:val="Heading2"/>
        <w:pBdr>
          <w:bottom w:val="single" w:sz="6" w:space="4" w:color="2E5FA3"/>
        </w:pBdr>
        <w:spacing w:before="280" w:after="100"/>
        <w:rPr>
          <w:color w:val="auto"/>
        </w:rPr>
      </w:pPr>
      <w:r>
        <w:rPr>
          <w:rFonts w:eastAsia="Calibri" w:cs="Calibri" w:ascii="Calibri" w:hAnsi="Calibri"/>
          <w:b/>
          <w:bCs/>
          <w:color w:val="auto"/>
          <w:sz w:val="24"/>
          <w:szCs w:val="24"/>
          <w:lang w:val="en-US"/>
        </w:rPr>
        <w:t>Metas Específicas (SMART)</w:t>
      </w:r>
    </w:p>
    <w:p>
      <w:pPr>
        <w:pStyle w:val="ListParagraph"/>
        <w:numPr>
          <w:ilvl w:val="0"/>
          <w:numId w:val="1"/>
        </w:numPr>
        <w:spacing w:before="60" w:after="60"/>
        <w:rPr>
          <w:color w:val="auto"/>
        </w:rPr>
      </w:pPr>
      <w:r>
        <w:rPr>
          <w:rFonts w:eastAsia="Calibri" w:cs="Calibri"/>
          <w:color w:val="auto"/>
          <w:sz w:val="20"/>
          <w:szCs w:val="20"/>
          <w:lang w:val="en-US"/>
        </w:rPr>
        <w:t>Capacitación técnica avanzada (Específica): Formar a 15 estudiantes en tecnologías clave mediante un programa de 20 semanas, con una tasa de aprobación del 100%.</w:t>
      </w:r>
    </w:p>
    <w:p>
      <w:pPr>
        <w:pStyle w:val="ListParagraph"/>
        <w:numPr>
          <w:ilvl w:val="0"/>
          <w:numId w:val="1"/>
        </w:numPr>
        <w:spacing w:before="60" w:after="60"/>
        <w:rPr>
          <w:color w:val="auto"/>
        </w:rPr>
      </w:pPr>
      <w:r>
        <w:rPr>
          <w:rFonts w:eastAsia="Calibri" w:cs="Calibri"/>
          <w:color w:val="auto"/>
          <w:sz w:val="20"/>
          <w:szCs w:val="20"/>
          <w:lang w:val="en-US"/>
        </w:rPr>
        <w:t>Desarrollo de talento multiplicador (Medible): Lograr que los 15 participantes entreguen un Plan de Trabajo "Train the Trainers" para transmitir el conocimiento adquirido a al menos 300 personas en Chihuahua.</w:t>
      </w:r>
    </w:p>
    <w:p>
      <w:pPr>
        <w:pStyle w:val="ListParagraph"/>
        <w:numPr>
          <w:ilvl w:val="0"/>
          <w:numId w:val="1"/>
        </w:numPr>
        <w:spacing w:before="60" w:after="60"/>
        <w:rPr>
          <w:color w:val="auto"/>
        </w:rPr>
      </w:pPr>
      <w:r>
        <w:rPr>
          <w:rFonts w:eastAsia="Calibri" w:cs="Calibri"/>
          <w:color w:val="auto"/>
          <w:sz w:val="20"/>
          <w:szCs w:val="20"/>
          <w:lang w:val="en-US"/>
        </w:rPr>
        <w:t>Impacto en la innovación industrial (Alcanzable): Facilitar la inserción laboral del 80% de los egresados en empresas de sectores de alta tecnología en un plazo no mayor a 6 meses tras su regreso.</w:t>
      </w:r>
    </w:p>
    <w:p>
      <w:pPr>
        <w:pStyle w:val="ListParagraph"/>
        <w:numPr>
          <w:ilvl w:val="0"/>
          <w:numId w:val="1"/>
        </w:numPr>
        <w:spacing w:before="60" w:after="60"/>
        <w:rPr>
          <w:color w:val="auto"/>
        </w:rPr>
      </w:pPr>
      <w:r>
        <w:rPr>
          <w:rFonts w:eastAsia="Calibri" w:cs="Calibri"/>
          <w:color w:val="auto"/>
          <w:sz w:val="20"/>
          <w:szCs w:val="20"/>
          <w:lang w:val="en-US"/>
        </w:rPr>
        <w:t>Vinculación Estratégica (Relevante): Establecer al menos 3 vínculos formales con instituciones taiwanesas para futura transferencia tecnológica y atracción de inversiones.</w:t>
      </w:r>
    </w:p>
    <w:p>
      <w:pPr>
        <w:pStyle w:val="ListParagraph"/>
        <w:numPr>
          <w:ilvl w:val="0"/>
          <w:numId w:val="1"/>
        </w:numPr>
        <w:spacing w:before="60" w:after="60"/>
        <w:rPr>
          <w:color w:val="auto"/>
        </w:rPr>
      </w:pPr>
      <w:r>
        <w:rPr>
          <w:rFonts w:eastAsia="Calibri" w:cs="Calibri"/>
          <w:color w:val="auto"/>
          <w:sz w:val="20"/>
          <w:szCs w:val="20"/>
          <w:lang w:val="en-US"/>
        </w:rPr>
        <w:t>Cumplimiento Temporal: Finalizar todas las etapas de formación y entrega de informes antes del 15 de junio de 2027.</w:t>
      </w:r>
    </w:p>
    <w:p>
      <w:pPr>
        <w:pStyle w:val="Heading2"/>
        <w:pBdr>
          <w:bottom w:val="single" w:sz="6" w:space="4" w:color="2E5FA3"/>
        </w:pBdr>
        <w:spacing w:before="280" w:after="100"/>
        <w:rPr>
          <w:color w:val="auto"/>
        </w:rPr>
      </w:pPr>
      <w:r>
        <w:rPr>
          <w:rFonts w:eastAsia="Calibri" w:cs="Calibri" w:ascii="Calibri" w:hAnsi="Calibri"/>
          <w:b/>
          <w:bCs/>
          <w:color w:val="auto"/>
          <w:sz w:val="24"/>
          <w:szCs w:val="24"/>
          <w:lang w:val="en-US"/>
        </w:rPr>
        <w:t>Indicadores de Desempeño</w:t>
      </w:r>
    </w:p>
    <w:tbl>
      <w:tblPr>
        <w:tblW w:w="9360" w:type="dxa"/>
        <w:jc w:val="start"/>
        <w:tblInd w:w="0" w:type="dxa"/>
        <w:tblLayout w:type="fixed"/>
        <w:tblCellMar>
          <w:top w:w="100" w:type="dxa"/>
          <w:start w:w="160" w:type="dxa"/>
          <w:bottom w:w="100" w:type="dxa"/>
          <w:end w:w="160" w:type="dxa"/>
        </w:tblCellMar>
      </w:tblPr>
      <w:tblGrid>
        <w:gridCol w:w="5359"/>
        <w:gridCol w:w="4001"/>
      </w:tblGrid>
      <w:tr>
        <w:trPr/>
        <w:tc>
          <w:tcPr>
            <w:tcW w:w="5359"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INDICADOR</w:t>
            </w:r>
          </w:p>
        </w:tc>
        <w:tc>
          <w:tcPr>
            <w:tcW w:w="4001"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META</w:t>
            </w:r>
          </w:p>
        </w:tc>
      </w:tr>
      <w:tr>
        <w:trPr/>
        <w:tc>
          <w:tcPr>
            <w:tcW w:w="5359"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lang w:val="en-US"/>
              </w:rPr>
              <w:t>Beneficiarios Directos</w:t>
            </w:r>
          </w:p>
        </w:tc>
        <w:tc>
          <w:tcPr>
            <w:tcW w:w="4001"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lang w:val="en-US"/>
              </w:rPr>
              <w:t>15 estudiantes de ingeniería/licenciatura</w:t>
            </w:r>
          </w:p>
        </w:tc>
      </w:tr>
      <w:tr>
        <w:trPr/>
        <w:tc>
          <w:tcPr>
            <w:tcW w:w="5359"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lang w:val="en-US"/>
              </w:rPr>
              <w:t>Beneficiarios Indirectos</w:t>
            </w:r>
          </w:p>
        </w:tc>
        <w:tc>
          <w:tcPr>
            <w:tcW w:w="4001"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lang w:val="en-US"/>
              </w:rPr>
              <w:t>300 personas (transferencia de conocimiento)</w:t>
            </w:r>
          </w:p>
        </w:tc>
      </w:tr>
      <w:tr>
        <w:trPr/>
        <w:tc>
          <w:tcPr>
            <w:tcW w:w="5359"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lang w:val="en-US"/>
              </w:rPr>
              <w:t>Empleos Generados/Conservados</w:t>
            </w:r>
          </w:p>
        </w:tc>
        <w:tc>
          <w:tcPr>
            <w:tcW w:w="4001"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lang w:val="en-US"/>
              </w:rPr>
              <w:t>0 (fase de formación inicial)</w:t>
            </w:r>
          </w:p>
        </w:tc>
      </w:tr>
      <w:tr>
        <w:trPr/>
        <w:tc>
          <w:tcPr>
            <w:tcW w:w="5359"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lang w:val="en-US"/>
              </w:rPr>
              <w:t>Empresas/Vínculos Encadenados</w:t>
            </w:r>
          </w:p>
        </w:tc>
        <w:tc>
          <w:tcPr>
            <w:tcW w:w="4001"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lang w:val="en-US"/>
              </w:rPr>
              <w:t>3 vínculos formales de transferencia tecnológica</w:t>
            </w:r>
          </w:p>
        </w:tc>
      </w:tr>
      <w:tr>
        <w:trPr/>
        <w:tc>
          <w:tcPr>
            <w:tcW w:w="5359"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lang w:val="en-US"/>
              </w:rPr>
              <w:t>Inserción laboral egresados</w:t>
            </w:r>
          </w:p>
        </w:tc>
        <w:tc>
          <w:tcPr>
            <w:tcW w:w="4001"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lang w:val="en-US"/>
              </w:rPr>
              <w:t>80% en máximo 6 meses tras regreso</w:t>
            </w:r>
          </w:p>
        </w:tc>
      </w:tr>
    </w:tbl>
    <w:p>
      <w:pPr>
        <w:pStyle w:val="Normal"/>
        <w:spacing w:before="0" w:after="60"/>
        <w:rPr>
          <w:color w:val="auto"/>
        </w:rPr>
      </w:pPr>
      <w:r>
        <w:rPr>
          <w:color w:val="auto"/>
        </w:rPr>
      </w:r>
    </w:p>
    <w:p>
      <w:pPr>
        <w:pStyle w:val="Heading2"/>
        <w:pBdr>
          <w:bottom w:val="single" w:sz="6" w:space="4" w:color="2E5FA3"/>
        </w:pBdr>
        <w:spacing w:before="280" w:after="100"/>
        <w:rPr>
          <w:color w:val="auto"/>
        </w:rPr>
      </w:pPr>
      <w:r>
        <w:rPr>
          <w:rFonts w:eastAsia="Calibri" w:cs="Calibri" w:ascii="Calibri" w:hAnsi="Calibri"/>
          <w:b/>
          <w:bCs/>
          <w:color w:val="auto"/>
          <w:sz w:val="24"/>
          <w:szCs w:val="24"/>
          <w:lang w:val="en-US"/>
        </w:rPr>
        <w:t>Entregables de Comprobación</w:t>
      </w:r>
    </w:p>
    <w:p>
      <w:pPr>
        <w:pStyle w:val="ListParagraph"/>
        <w:numPr>
          <w:ilvl w:val="0"/>
          <w:numId w:val="1"/>
        </w:numPr>
        <w:spacing w:before="60" w:after="60"/>
        <w:rPr>
          <w:color w:val="auto"/>
        </w:rPr>
      </w:pPr>
      <w:r>
        <w:rPr>
          <w:rFonts w:eastAsia="Calibri" w:cs="Calibri"/>
          <w:color w:val="auto"/>
          <w:sz w:val="20"/>
          <w:szCs w:val="20"/>
          <w:lang w:val="en-US"/>
        </w:rPr>
        <w:t>Capacitación especializada: hasta 480 horas de formación para 15 estudiantes. Evidencia: lista de asistencia, registros académicos y/o reportes de evaluación.</w:t>
      </w:r>
    </w:p>
    <w:p>
      <w:pPr>
        <w:pStyle w:val="ListParagraph"/>
        <w:numPr>
          <w:ilvl w:val="0"/>
          <w:numId w:val="1"/>
        </w:numPr>
        <w:spacing w:before="60" w:after="60"/>
        <w:rPr>
          <w:color w:val="auto"/>
        </w:rPr>
      </w:pPr>
      <w:r>
        <w:rPr>
          <w:rFonts w:eastAsia="Calibri" w:cs="Calibri"/>
          <w:color w:val="auto"/>
          <w:sz w:val="20"/>
          <w:szCs w:val="20"/>
          <w:lang w:val="en-US"/>
        </w:rPr>
        <w:t>Informe técnico y memoria documental con descripción de prácticas, simulaciones y/o proyectos de investigación. Evidencia: memoria fotográfica, reportes de actividades y bitácoras.</w:t>
      </w:r>
    </w:p>
    <w:p>
      <w:pPr>
        <w:pStyle w:val="ListParagraph"/>
        <w:numPr>
          <w:ilvl w:val="0"/>
          <w:numId w:val="1"/>
        </w:numPr>
        <w:spacing w:before="60" w:after="60"/>
        <w:rPr>
          <w:color w:val="auto"/>
        </w:rPr>
      </w:pPr>
      <w:r>
        <w:rPr>
          <w:rFonts w:eastAsia="Calibri" w:cs="Calibri"/>
          <w:color w:val="auto"/>
          <w:sz w:val="20"/>
          <w:szCs w:val="20"/>
          <w:lang w:val="en-US"/>
        </w:rPr>
        <w:t>Informe final e informe financiero consolidado con análisis de resultados. Evidencia: relación de gastos, facturas y comprobantes alineados con disposiciones de transparencia.</w:t>
      </w:r>
    </w:p>
    <w:p>
      <w:pPr>
        <w:pStyle w:val="ListParagraph"/>
        <w:numPr>
          <w:ilvl w:val="0"/>
          <w:numId w:val="1"/>
        </w:numPr>
        <w:spacing w:before="60" w:after="60"/>
        <w:rPr>
          <w:color w:val="auto"/>
        </w:rPr>
      </w:pPr>
      <w:r>
        <w:rPr>
          <w:rFonts w:eastAsia="Calibri" w:cs="Calibri"/>
          <w:color w:val="auto"/>
          <w:sz w:val="20"/>
          <w:szCs w:val="20"/>
          <w:lang w:val="en-US"/>
        </w:rPr>
        <w:t>Certificación de capacitación: diplomas o certificados de conclusión emitidos por STUST e ITRI. Evidencia: listado oficial de graduados y copia de certificados.</w:t>
      </w:r>
    </w:p>
    <w:p>
      <w:pPr>
        <w:pStyle w:val="ListParagraph"/>
        <w:numPr>
          <w:ilvl w:val="0"/>
          <w:numId w:val="1"/>
        </w:numPr>
        <w:spacing w:before="60" w:after="60"/>
        <w:rPr>
          <w:color w:val="auto"/>
        </w:rPr>
      </w:pPr>
      <w:r>
        <w:rPr>
          <w:rFonts w:eastAsia="Calibri" w:cs="Calibri"/>
          <w:color w:val="auto"/>
          <w:sz w:val="20"/>
          <w:szCs w:val="20"/>
          <w:lang w:val="en-US"/>
        </w:rPr>
        <w:t>Memoria fotográfica de todas las actividades realizadas durante el programa.</w:t>
      </w:r>
    </w:p>
    <w:p>
      <w:pPr>
        <w:pStyle w:val="ListParagraph"/>
        <w:numPr>
          <w:ilvl w:val="0"/>
          <w:numId w:val="1"/>
        </w:numPr>
        <w:spacing w:before="60" w:after="60"/>
        <w:rPr>
          <w:color w:val="auto"/>
        </w:rPr>
      </w:pPr>
      <w:r>
        <w:rPr>
          <w:rFonts w:eastAsia="Calibri" w:cs="Calibri"/>
          <w:color w:val="auto"/>
          <w:sz w:val="20"/>
          <w:szCs w:val="20"/>
          <w:lang w:val="en-US"/>
        </w:rPr>
        <w:t>Propuesta de Plan de Trabajo "Train the Trainers" para multiplicar el impacto del programa en Chihuahua.</w:t>
      </w:r>
    </w:p>
    <w:p>
      <w:pPr>
        <w:pStyle w:val="Normal"/>
        <w:spacing w:before="80" w:after="80"/>
        <w:jc w:val="center"/>
        <w:rPr>
          <w:color w:val="auto"/>
        </w:rPr>
      </w:pPr>
      <w:r>
        <w:rPr>
          <w:rFonts w:eastAsia="Calibri" w:cs="Calibri"/>
          <w:i/>
          <w:iCs/>
          <w:color w:val="auto"/>
          <w:sz w:val="18"/>
          <w:szCs w:val="18"/>
        </w:rPr>
        <w:t>— Fin del Anexo 1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ambria">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5FA3"/>
      </w:pBdr>
      <w:tabs>
        <w:tab w:val="clear" w:pos="720"/>
        <w:tab w:val="right" w:pos="9000" w:leader="none"/>
      </w:tabs>
      <w:spacing w:before="120" w:after="0"/>
      <w:rPr>
        <w:lang w:val="en-US"/>
      </w:rPr>
    </w:pPr>
    <w:r>
      <w:rPr>
        <w:rFonts w:eastAsia="Calibri" w:cs="Calibri"/>
        <w:color w:val="888888"/>
        <w:sz w:val="16"/>
        <w:szCs w:val="16"/>
        <w:lang w:val="en-US"/>
      </w:rPr>
      <w:t xml:space="preserve">Gobierno del Estado de Chihuahua  •  SIDE  •  INADETPágina </w:t>
    </w:r>
    <w:r>
      <w:rPr>
        <w:color w:val="888888"/>
        <w:sz w:val="16"/>
        <w:szCs w:val="16"/>
      </w:rPr>
      <w:fldChar w:fldCharType="begin"/>
    </w:r>
    <w:r>
      <w:rPr>
        <w:color w:val="888888"/>
        <w:sz w:val="16"/>
        <w:szCs w:val="16"/>
      </w:rPr>
      <w:instrText xml:space="preserve"> PAGE </w:instrText>
    </w:r>
    <w:r>
      <w:rPr>
        <w:color w:val="888888"/>
        <w:sz w:val="16"/>
        <w:szCs w:val="16"/>
      </w:rPr>
      <w:fldChar w:fldCharType="separate"/>
    </w:r>
    <w:r>
      <w:rPr>
        <w:color w:val="888888"/>
        <w:sz w:val="16"/>
        <w:szCs w:val="16"/>
      </w:rPr>
      <w:t>9</w:t>
    </w:r>
    <w:r>
      <w:rPr>
        <w:color w:val="888888"/>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5FA3"/>
      </w:pBdr>
      <w:tabs>
        <w:tab w:val="clear" w:pos="720"/>
        <w:tab w:val="right" w:pos="9000" w:leader="none"/>
      </w:tabs>
      <w:spacing w:before="120" w:after="0"/>
      <w:rPr>
        <w:lang w:val="en-US"/>
      </w:rPr>
    </w:pPr>
    <w:r>
      <w:rPr>
        <w:rFonts w:eastAsia="Calibri" w:cs="Calibri"/>
        <w:color w:val="888888"/>
        <w:sz w:val="16"/>
        <w:szCs w:val="16"/>
        <w:lang w:val="en-US"/>
      </w:rPr>
      <w:t xml:space="preserve">Gobierno del Estado de Chihuahua  •  SIDE  •  INADETPágina </w:t>
    </w:r>
    <w:r>
      <w:rPr>
        <w:color w:val="888888"/>
        <w:sz w:val="16"/>
        <w:szCs w:val="16"/>
      </w:rPr>
      <w:fldChar w:fldCharType="begin"/>
    </w:r>
    <w:r>
      <w:rPr>
        <w:color w:val="888888"/>
        <w:sz w:val="16"/>
        <w:szCs w:val="16"/>
      </w:rPr>
      <w:instrText xml:space="preserve"> PAGE </w:instrText>
    </w:r>
    <w:r>
      <w:rPr>
        <w:color w:val="888888"/>
        <w:sz w:val="16"/>
        <w:szCs w:val="16"/>
      </w:rPr>
      <w:fldChar w:fldCharType="separate"/>
    </w:r>
    <w:r>
      <w:rPr>
        <w:color w:val="888888"/>
        <w:sz w:val="16"/>
        <w:szCs w:val="16"/>
      </w:rPr>
      <w:t>9</w:t>
    </w:r>
    <w:r>
      <w:rPr>
        <w:color w:val="888888"/>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4" w:color="1A3A6B"/>
      </w:pBdr>
      <w:spacing w:before="0" w:after="120"/>
      <w:rPr/>
    </w:pPr>
    <w:r>
      <w:rPr>
        <w:rFonts w:eastAsia="Calibri" w:cs="Calibri"/>
        <w:b/>
        <w:bCs/>
        <w:color w:val="1A3A6B"/>
        <w:sz w:val="17"/>
        <w:szCs w:val="17"/>
        <w:lang w:val="en-US"/>
      </w:rPr>
      <w:t>CONVENIO DE COLABORACIÓN No. CCOL-___/2026-SIDE/DGV</w:t>
    </w:r>
    <w:r>
      <w:rPr>
        <w:rFonts w:eastAsia="Calibri" w:cs="Calibri"/>
        <w:color w:val="888888"/>
        <w:sz w:val="16"/>
        <w:szCs w:val="16"/>
        <w:lang w:val="en-US"/>
      </w:rPr>
      <w:t xml:space="preserve">    |    Programa de Talentos Chihuahuenses en Taiwán – 2ª Generación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4" w:color="1A3A6B"/>
      </w:pBdr>
      <w:spacing w:before="0" w:after="120"/>
      <w:rPr/>
    </w:pPr>
    <w:r>
      <w:rPr>
        <w:rFonts w:eastAsia="Calibri" w:cs="Calibri"/>
        <w:b/>
        <w:bCs/>
        <w:color w:val="1A3A6B"/>
        <w:sz w:val="17"/>
        <w:szCs w:val="17"/>
        <w:lang w:val="en-US"/>
      </w:rPr>
      <w:t>CONVENIO DE COLABORACIÓN No. CCOL-___/2026-SIDE/DGV</w:t>
    </w:r>
    <w:r>
      <w:rPr>
        <w:rFonts w:eastAsia="Calibri" w:cs="Calibri"/>
        <w:color w:val="888888"/>
        <w:sz w:val="16"/>
        <w:szCs w:val="16"/>
        <w:lang w:val="en-US"/>
      </w:rPr>
      <w:t xml:space="preserve">    |    Programa de Talentos Chihuahuenses en Taiwán – 2ª Generación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640" w:hanging="32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C1C1C"/>
        <w:lang w:val="es-E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C1C1C"/>
      <w:kern w:val="0"/>
      <w:sz w:val="20"/>
      <w:szCs w:val="20"/>
      <w:lang w:val="es-E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C1C1C"/>
      <w:kern w:val="0"/>
      <w:sz w:val="20"/>
      <w:szCs w:val="20"/>
      <w:lang w:val="es-ES" w:eastAsia="zh-CN" w:bidi="hi-IN"/>
    </w:rPr>
  </w:style>
  <w:style w:type="paragraph" w:styleId="ListParagraph">
    <w:name w:val="List Paragraph"/>
    <w:qFormat/>
    <w:pPr>
      <w:widowControl/>
      <w:bidi w:val="0"/>
      <w:spacing w:before="0" w:after="0"/>
      <w:jc w:val="start"/>
    </w:pPr>
    <w:rPr>
      <w:rFonts w:ascii="Calibri" w:hAnsi="Calibri" w:eastAsia="Calibri" w:cs="Calibri"/>
      <w:color w:val="1C1C1C"/>
      <w:kern w:val="0"/>
      <w:sz w:val="20"/>
      <w:szCs w:val="20"/>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ing10">
    <w:name w:val="heading 10"/>
    <w:qFormat/>
    <w:pPr>
      <w:widowControl/>
      <w:bidi w:val="0"/>
      <w:spacing w:before="360" w:after="160"/>
      <w:jc w:val="start"/>
      <w:outlineLvl w:val="0"/>
    </w:pPr>
    <w:rPr>
      <w:rFonts w:ascii="Cambria" w:hAnsi="Cambria" w:eastAsia="Cambria" w:cs="Cambria"/>
      <w:b/>
      <w:bCs/>
      <w:color w:val="FFFFFF"/>
      <w:kern w:val="0"/>
      <w:sz w:val="28"/>
      <w:szCs w:val="28"/>
      <w:lang w:val="es-ES" w:eastAsia="zh-CN" w:bidi="hi-IN"/>
    </w:rPr>
  </w:style>
  <w:style w:type="paragraph" w:styleId="heading20">
    <w:name w:val="heading 20"/>
    <w:qFormat/>
    <w:pPr>
      <w:widowControl/>
      <w:bidi w:val="0"/>
      <w:spacing w:before="280" w:after="100"/>
      <w:jc w:val="start"/>
      <w:outlineLvl w:val="1"/>
    </w:pPr>
    <w:rPr>
      <w:rFonts w:ascii="Cambria" w:hAnsi="Cambria" w:eastAsia="Cambria" w:cs="Cambria"/>
      <w:b/>
      <w:bCs/>
      <w:color w:val="1A3A6B"/>
      <w:kern w:val="0"/>
      <w:sz w:val="24"/>
      <w:szCs w:val="24"/>
      <w:lang w:val="es-ES" w:eastAsia="zh-CN" w:bidi="hi-IN"/>
    </w:rPr>
  </w:style>
  <w:style w:type="paragraph" w:styleId="heading30">
    <w:name w:val="heading 30"/>
    <w:qFormat/>
    <w:pPr>
      <w:widowControl/>
      <w:bidi w:val="0"/>
      <w:spacing w:before="200" w:after="80"/>
      <w:jc w:val="start"/>
      <w:outlineLvl w:val="2"/>
    </w:pPr>
    <w:rPr>
      <w:rFonts w:ascii="Cambria" w:hAnsi="Cambria" w:eastAsia="Cambria" w:cs="Cambria"/>
      <w:b/>
      <w:bCs/>
      <w:color w:val="2E5FA3"/>
      <w:kern w:val="0"/>
      <w:sz w:val="22"/>
      <w:szCs w:val="22"/>
      <w:lang w:val="es-ES"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LibreOffice_project/580$Build-2</Application>
  <AppVersion>15.0000</AppVersion>
  <Pages>10</Pages>
  <Words>4228</Words>
  <Characters>24742</Characters>
  <CharactersWithSpaces>28716</CharactersWithSpaces>
  <Paragraphs>245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2026-04-29T21:27:49Z</dcterms:created>
  <dc:creator>Un-named</dc:creator>
  <dc:description/>
  <dc:language>es-ES</dc:language>
  <cp:lastModifiedBy/>
  <dcterms:modified xsi:type="dcterms:W3CDTF">2026-04-29T15:37:42Z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