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5C8B"/>
          <w:sz w:val="32"/>
          <w:szCs w:val="32"/>
        </w:rPr>
        <w:t xml:space="preserve">PLANTILLA DE RESOLUCIÓN DE DISCREPANCIAS</w:t>
      </w:r>
    </w:p>
    <w:p>
      <w:pPr>
        <w:spacing w:before="0" w:after="60"/>
      </w:pPr>
      <w:r>
        <w:rPr>
          <w:rFonts w:ascii="Arial" w:cs="Arial" w:eastAsia="Arial" w:hAnsi="Arial"/>
          <w:color w:val="444444"/>
          <w:sz w:val="22"/>
          <w:szCs w:val="22"/>
        </w:rPr>
        <w:t xml:space="preserve">Rescreening T/A — Revisión Sistemática SI + Multi-UAV + Agricultura (2021–2025)</w:t>
      </w:r>
    </w:p>
    <w:p>
      <w:pPr>
        <w:pBdr>
          <w:bottom w:val="single" w:color="CCCCCC" w:sz="4"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Protocolo OSF</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85FA5"/>
                <w:sz w:val="20"/>
                <w:szCs w:val="20"/>
              </w:rPr>
              <w:t xml:space="preserve">https://doi.org/10.17605/OSF.IO/64DQ9</w:t>
            </w:r>
          </w:p>
        </w:tc>
      </w:tr>
      <w:tr>
        <w:tc>
          <w:tcPr>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Revisor 1 (R1)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 Hernán de la Garza Gutiérrez — hernan.gg@chihuahua2.tecnm.mx</w:t>
            </w:r>
          </w:p>
        </w:tc>
      </w:tr>
      <w:tr>
        <w:tc>
          <w:tcPr>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Revisor 2 (R2)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Andres Hidalgo Morales — ahidalgo@upchihuahua.edu.mx</w:t>
            </w:r>
          </w:p>
        </w:tc>
      </w:tr>
      <w:tr>
        <w:tc>
          <w:tcPr>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Total registros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44 (rescreening T/A)</w:t>
            </w:r>
          </w:p>
        </w:tc>
      </w:tr>
      <w:tr>
        <w:tc>
          <w:tcPr>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Acuerdo observado</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88.6% (39/44) — ver nota metodológica</w:t>
            </w:r>
          </w:p>
        </w:tc>
      </w:tr>
      <w:tr>
        <w:tc>
          <w:tcPr>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Discrepancias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633806"/>
                <w:sz w:val="20"/>
                <w:szCs w:val="20"/>
              </w:rPr>
              <w:t xml:space="preserve">5 casos (TA_010, TA_014, TA_015, TA_020, TA_037) — todos: R1=INCLUIR, R2=EXCLUIR</w:t>
            </w:r>
          </w:p>
        </w:tc>
      </w:tr>
      <w:tr>
        <w:tc>
          <w:tcPr>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Fecha de discusión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_____ / _____ / 2026     Modalidad: [ ] Presencial  [ ] Videollamada  [ ] Escrita</w:t>
            </w:r>
          </w:p>
        </w:tc>
      </w:tr>
    </w:tbl>
    <w:p>
      <w:pPr>
        <w:spacing w:before="300" w:after="120"/>
      </w:pPr>
      <w:r>
        <w:rPr>
          <w:rFonts w:ascii="Arial" w:cs="Arial" w:eastAsia="Arial" w:hAnsi="Arial"/>
          <w:b/>
          <w:bCs/>
          <w:color w:val="1F5C8B"/>
          <w:sz w:val="24"/>
          <w:szCs w:val="24"/>
        </w:rPr>
        <w:t xml:space="preserve">Nota metodológica — Por qué κ = 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spacing w:before="60" w:after="60"/>
            </w:pPr>
            <w:r>
              <w:rPr>
                <w:rFonts w:ascii="Arial" w:cs="Arial" w:eastAsia="Arial" w:hAnsi="Arial"/>
                <w:b w:val="false"/>
                <w:bCs w:val="false"/>
                <w:color w:val="000000"/>
                <w:sz w:val="18"/>
                <w:szCs w:val="18"/>
              </w:rPr>
              <w:t xml:space="preserve">El Revisor 2 excluyó los 44 registros (a=0, b=0, c=5, d=39). Esto produce Po = Pe = 0.886, lo que hace que κ colapse matemáticamente a 0.00 — no porque el acuerdo sea bajo, sino porque cuando una categoría domina completamente, la fórmula de Cohen no puede distinguir acuerdo genuino de coincidencia aleatoria (problema conocido de κ con distribuciones sesgadas).</w:t>
            </w:r>
          </w:p>
          <w:p>
            <w:pPr>
              <w:spacing w:before="80" w:after="60"/>
            </w:pPr>
            <w:r>
              <w:rPr>
                <w:rFonts w:ascii="Arial" w:cs="Arial" w:eastAsia="Arial" w:hAnsi="Arial"/>
                <w:b w:val="false"/>
                <w:bCs w:val="false"/>
                <w:color w:val="000000"/>
                <w:sz w:val="18"/>
                <w:szCs w:val="18"/>
              </w:rPr>
              <w:t xml:space="preserve">Solución reportable (PRISMA 2020 ítem 7): reportar acuerdo porcentual simple (88.6%, 39/44) con nota explicando la limitación estadística de κ. Tras resolver las 5 discrepancias mediante discusión estructurada, se actualizará el porcentaje final y se reportará el criterio de resolución utilizado.</w:t>
            </w:r>
          </w:p>
        </w:tc>
      </w:tr>
    </w:tbl>
    <w:p>
      <w:pPr>
        <w:spacing w:before="300" w:after="120"/>
      </w:pPr>
      <w:r>
        <w:rPr>
          <w:rFonts w:ascii="Arial" w:cs="Arial" w:eastAsia="Arial" w:hAnsi="Arial"/>
          <w:b/>
          <w:bCs/>
          <w:color w:val="1F5C8B"/>
          <w:sz w:val="24"/>
          <w:szCs w:val="24"/>
        </w:rPr>
        <w:t xml:space="preserve">Protocolo de resolución (antes de iniciar)</w:t>
      </w:r>
    </w:p>
    <w:p>
      <w:pPr>
        <w:spacing w:before="60" w:after="60"/>
      </w:pPr>
      <w:r>
        <w:rPr>
          <w:rFonts w:ascii="Arial" w:cs="Arial" w:eastAsia="Arial" w:hAnsi="Arial"/>
          <w:b w:val="false"/>
          <w:bCs w:val="false"/>
          <w:color w:val="000000"/>
          <w:sz w:val="18"/>
          <w:szCs w:val="18"/>
        </w:rPr>
        <w:t xml:space="preserve">1.  Cada discrepancia se discute de forma independiente y en el orden presentado.</w:t>
      </w:r>
    </w:p>
    <w:p>
      <w:pPr>
        <w:spacing w:before="60" w:after="60"/>
      </w:pPr>
      <w:r>
        <w:rPr>
          <w:rFonts w:ascii="Arial" w:cs="Arial" w:eastAsia="Arial" w:hAnsi="Arial"/>
          <w:b w:val="false"/>
          <w:bCs w:val="false"/>
          <w:color w:val="000000"/>
          <w:sz w:val="18"/>
          <w:szCs w:val="18"/>
        </w:rPr>
        <w:t xml:space="preserve">2.  Para cada caso: el R1 explica su razón de INCLUIR; R2 explica su razón de EXCLUIR.</w:t>
      </w:r>
    </w:p>
    <w:p>
      <w:pPr>
        <w:spacing w:before="60" w:after="60"/>
      </w:pPr>
      <w:r>
        <w:rPr>
          <w:rFonts w:ascii="Arial" w:cs="Arial" w:eastAsia="Arial" w:hAnsi="Arial"/>
          <w:b w:val="false"/>
          <w:bCs w:val="false"/>
          <w:color w:val="000000"/>
          <w:sz w:val="18"/>
          <w:szCs w:val="18"/>
        </w:rPr>
        <w:t xml:space="preserve">3.  Se aplica el codebook literalmente. Si la duda persiste, se consulta el texto completo (PDF).</w:t>
      </w:r>
    </w:p>
    <w:p>
      <w:pPr>
        <w:spacing w:before="60" w:after="60"/>
      </w:pPr>
      <w:r>
        <w:rPr>
          <w:rFonts w:ascii="Arial" w:cs="Arial" w:eastAsia="Arial" w:hAnsi="Arial"/>
          <w:b w:val="false"/>
          <w:bCs w:val="false"/>
          <w:color w:val="000000"/>
          <w:sz w:val="18"/>
          <w:szCs w:val="18"/>
        </w:rPr>
        <w:t xml:space="preserve">4.  La decisión final se registra en la celda 'Decisión de consenso' y se firma por ambos revisores.</w:t>
      </w:r>
    </w:p>
    <w:p>
      <w:pPr>
        <w:spacing w:before="60" w:after="60"/>
      </w:pPr>
      <w:r>
        <w:rPr>
          <w:rFonts w:ascii="Arial" w:cs="Arial" w:eastAsia="Arial" w:hAnsi="Arial"/>
          <w:b w:val="false"/>
          <w:bCs w:val="false"/>
          <w:color w:val="000000"/>
          <w:sz w:val="18"/>
          <w:szCs w:val="18"/>
        </w:rPr>
        <w:t xml:space="preserve">5.  Si no hay acuerdo tras discusión, se registra como 'No resuelto' y se eleva al tercer árbitro designado.</w:t>
      </w:r>
    </w:p>
    <w:p>
      <w:pPr>
        <w:pBdr>
          <w:bottom w:val="single" w:color="CCCCCC" w:sz="4" w:space="1"/>
        </w:pBdr>
        <w:spacing w:before="160" w:after="160"/>
      </w:pPr>
    </w:p>
    <w:p>
      <w:pPr>
        <w:pBdr>
          <w:bottom w:val="single" w:color="1F5C8B" w:sz="6" w:space="4"/>
        </w:pBdr>
        <w:spacing w:before="400" w:after="120"/>
      </w:pPr>
      <w:r>
        <w:rPr>
          <w:rFonts w:ascii="Arial" w:cs="Arial" w:eastAsia="Arial" w:hAnsi="Arial"/>
          <w:b/>
          <w:bCs/>
          <w:color w:val="1F5C8B"/>
          <w:sz w:val="26"/>
          <w:szCs w:val="26"/>
        </w:rPr>
        <w:t xml:space="preserve">Discrepancia 1 de 5  ·  TA_010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Título</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Hierarchical Particle Swarm Optimization for Multi UAV Waypoints Planning Under Various Threats</w:t>
            </w:r>
          </w:p>
        </w:tc>
      </w:tr>
      <w:tr>
        <w:tc>
          <w:tcPr>
            <w:tcW w:type="dxa" w:w="2059"/>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Año / DOI</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85FA5"/>
                <w:sz w:val="20"/>
                <w:szCs w:val="20"/>
              </w:rPr>
              <w:t xml:space="preserve">2022  ·  10.5139/jksas.2022.50.6.385</w:t>
            </w:r>
          </w:p>
        </w:tc>
      </w:tr>
      <w:tr>
        <w:tc>
          <w:tcPr>
            <w:tcW w:type="dxa" w:w="2059"/>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Resumen evaluado</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Propone HPSO (Hierarchical PSO) para optimizar waypoints de flotas multi-UAV en presencia de amenazas dinámicas (obstáculos, zonas de exclusión). El resumen menciona agricultura de precisión como uno de los dominios de aplicación, pero el foco metodológico es la evasión de amenazas en misiones críticas. Sin evidencia de evaluación en escenario agrícola real.</w:t>
            </w:r>
          </w:p>
        </w:tc>
      </w:tr>
      <w:tr>
        <w:tc>
          <w:tcPr>
            <w:tcW w:type="dxa" w:w="2059"/>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A32D2D"/>
                <w:sz w:val="20"/>
                <w:szCs w:val="20"/>
              </w:rPr>
              <w:t xml:space="preserve">R2 (Andres)</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A32D2D"/>
                <w:sz w:val="20"/>
                <w:szCs w:val="20"/>
              </w:rPr>
              <w:t xml:space="preserve">EXCLUIR — E5</w:t>
            </w:r>
          </w:p>
        </w:tc>
      </w:tr>
      <w:tr>
        <w:tc>
          <w:tcPr>
            <w:tcW w:type="dxa" w:w="2059"/>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Justificación R2</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PSO jerárquico para multi-UAV bajo 'varios tipos de amenazas'. Contexto militar/defensa, no agrícola. Aunque el resumen menciona agricultura de precisión, el estudio principal se centra en evasión de amenazas en entornos de misión táctica.</w:t>
            </w:r>
          </w:p>
        </w:tc>
      </w:tr>
      <w:tr>
        <w:tc>
          <w:tcPr>
            <w:tcW w:type="dxa" w:w="2059"/>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color w:val="27500A"/>
                <w:sz w:val="20"/>
                <w:szCs w:val="20"/>
              </w:rPr>
              <w:t xml:space="preserve">R1 (Dr. Garza)</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27500A"/>
                <w:sz w:val="20"/>
                <w:szCs w:val="20"/>
              </w:rPr>
              <w:t xml:space="preserve">INCLUIR</w:t>
            </w:r>
          </w:p>
        </w:tc>
      </w:tr>
      <w:tr>
        <w:tc>
          <w:tcPr>
            <w:tcW w:type="dxa" w:w="2059"/>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Justificación R1</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(pendiente aclaración del Dr. Garza)</w:t>
            </w:r>
          </w:p>
        </w:tc>
      </w:tr>
      <w:tr>
        <w:tc>
          <w:tcPr>
            <w:tcW w:type="dxa" w:w="2059"/>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jc w:val="left"/>
            </w:pPr>
            <w:r>
              <w:rPr>
                <w:rFonts w:ascii="Arial" w:cs="Arial" w:eastAsia="Arial" w:hAnsi="Arial"/>
                <w:b/>
                <w:bCs/>
                <w:color w:val="633806"/>
                <w:sz w:val="20"/>
                <w:szCs w:val="20"/>
              </w:rPr>
              <w:t xml:space="preserve">Criterio en disputa</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633806"/>
                <w:sz w:val="20"/>
                <w:szCs w:val="20"/>
              </w:rPr>
              <w:t xml:space="preserve">E5 — ¿El dominio primario del estudio es agricultura de precisión o es militar/defensa?</w:t>
            </w:r>
          </w:p>
        </w:tc>
      </w:tr>
    </w:tbl>
    <w:p>
      <w:pPr>
        <w:spacing w:before="160" w:after="60"/>
      </w:pPr>
      <w:r>
        <w:rPr>
          <w:rFonts w:ascii="Arial" w:cs="Arial" w:eastAsia="Arial" w:hAnsi="Arial"/>
          <w:b/>
          <w:bCs/>
          <w:color w:val="000000"/>
          <w:sz w:val="20"/>
          <w:szCs w:val="20"/>
        </w:rPr>
        <w:t xml:space="preserve">Puntos a resolver en la discusión:</w:t>
      </w:r>
    </w:p>
    <w:p>
      <w:pPr>
        <w:spacing w:before="40" w:after="40"/>
        <w:ind w:left="360"/>
      </w:pPr>
      <w:r>
        <w:rPr>
          <w:rFonts w:ascii="Arial" w:cs="Arial" w:eastAsia="Arial" w:hAnsi="Arial"/>
          <w:sz w:val="18"/>
          <w:szCs w:val="18"/>
        </w:rPr>
        <w:t xml:space="preserve">1.  La mención de 'agricultura de precisión' en el resumen ¿es aplicación principal o solo motivación secundaria?</w:t>
      </w:r>
    </w:p>
    <w:p>
      <w:pPr>
        <w:spacing w:before="40" w:after="40"/>
        <w:ind w:left="360"/>
      </w:pPr>
      <w:r>
        <w:rPr>
          <w:rFonts w:ascii="Arial" w:cs="Arial" w:eastAsia="Arial" w:hAnsi="Arial"/>
          <w:sz w:val="18"/>
          <w:szCs w:val="18"/>
        </w:rPr>
        <w:t xml:space="preserve">2.  ¿El escenario experimental es agrícola o táctico?</w:t>
      </w:r>
    </w:p>
    <w:p>
      <w:pPr>
        <w:spacing w:before="40" w:after="40"/>
        <w:ind w:left="360"/>
      </w:pPr>
      <w:r>
        <w:rPr>
          <w:rFonts w:ascii="Arial" w:cs="Arial" w:eastAsia="Arial" w:hAnsi="Arial"/>
          <w:sz w:val="18"/>
          <w:szCs w:val="18"/>
        </w:rPr>
        <w:t xml:space="preserve">3.  Aplicar criterio I4 estrictamente: el contexto debe ser agricultura (monitoreo, fumigación, mapeo de cultivos).</w:t>
      </w:r>
    </w:p>
    <w:p>
      <w:pPr>
        <w:spacing w:before="160" w:after="80"/>
      </w:pPr>
      <w:r>
        <w:rPr>
          <w:rFonts w:ascii="Arial" w:cs="Arial" w:eastAsia="Arial" w:hAnsi="Arial"/>
          <w:b/>
          <w:bCs/>
          <w:color w:val="000000"/>
          <w:sz w:val="20"/>
          <w:szCs w:val="20"/>
        </w:rPr>
        <w:t xml:space="preserve">Decisión de consenso: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Decisión de consenso</w:t>
            </w:r>
          </w:p>
        </w:tc>
        <w:tc>
          <w:tcPr>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 aplicado</w:t>
            </w:r>
          </w:p>
        </w:tc>
        <w:tc>
          <w:tcPr>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Firmado por</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  [ ] INCLUIR     [ ] EXCLUIR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I_ / E_</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Andres H. / Dr. Garza</w:t>
            </w:r>
          </w:p>
        </w:tc>
      </w:tr>
    </w:tbl>
    <w:p>
      <w:pPr>
        <w:spacing w:before="160" w:after="60"/>
      </w:pPr>
      <w:r>
        <w:rPr>
          <w:rFonts w:ascii="Arial" w:cs="Arial" w:eastAsia="Arial" w:hAnsi="Arial"/>
          <w:b/>
          <w:bCs/>
          <w:color w:val="000000"/>
          <w:sz w:val="20"/>
          <w:szCs w:val="20"/>
        </w:rPr>
        <w:t xml:space="preserve">Notas de la discusión:</w:t>
      </w:r>
    </w:p>
    <w:p>
      <w:pPr>
        <w:pBdr>
          <w:bottom w:val="single" w:color="CCCCCC" w:sz="2" w:space="2"/>
        </w:pBdr>
        <w:spacing w:before="40" w:after="40"/>
      </w:pPr>
      <w:r>
        <w:rPr>
          <w:rFonts w:ascii="Arial" w:cs="Arial" w:eastAsia="Arial" w:hAnsi="Arial"/>
          <w:sz w:val="20"/>
          <w:szCs w:val="20"/>
        </w:rPr>
        <w:t xml:space="preserve"> </w:t>
      </w:r>
    </w:p>
    <w:p>
      <w:pPr>
        <w:pBdr>
          <w:bottom w:val="single" w:color="CCCCCC" w:sz="2" w:space="2"/>
        </w:pBdr>
        <w:spacing w:before="40" w:after="40"/>
      </w:pPr>
      <w:r>
        <w:rPr>
          <w:rFonts w:ascii="Arial" w:cs="Arial" w:eastAsia="Arial" w:hAnsi="Arial"/>
          <w:sz w:val="20"/>
          <w:szCs w:val="20"/>
        </w:rPr>
        <w:t xml:space="preserve"> </w:t>
      </w:r>
    </w:p>
    <w:p>
      <w:pPr>
        <w:pBdr>
          <w:bottom w:val="single" w:color="CCCCCC" w:sz="2" w:space="2"/>
        </w:pBdr>
        <w:spacing w:before="40" w:after="40"/>
      </w:pPr>
      <w:r>
        <w:rPr>
          <w:rFonts w:ascii="Arial" w:cs="Arial" w:eastAsia="Arial" w:hAnsi="Arial"/>
          <w:sz w:val="20"/>
          <w:szCs w:val="20"/>
        </w:rPr>
        <w:t xml:space="preserve"> </w:t>
      </w:r>
    </w:p>
    <w:p>
      <w:pPr>
        <w:pBdr>
          <w:bottom w:val="single" w:color="CCCCCC" w:sz="2" w:space="2"/>
        </w:pBdr>
        <w:spacing w:before="40" w:after="40"/>
      </w:pPr>
      <w:r>
        <w:rPr>
          <w:rFonts w:ascii="Arial" w:cs="Arial" w:eastAsia="Arial" w:hAnsi="Arial"/>
          <w:sz w:val="20"/>
          <w:szCs w:val="20"/>
        </w:rPr>
        <w:t xml:space="preserve"> </w:t>
      </w:r>
    </w:p>
    <w:p>
      <w:pPr>
        <w:pBdr>
          <w:bottom w:val="single" w:color="CCCCCC" w:sz="4" w:space="1"/>
        </w:pBdr>
        <w:spacing w:before="160" w:after="160"/>
      </w:pPr>
    </w:p>
    <w:p>
      <w:pPr>
        <w:pBdr>
          <w:bottom w:val="single" w:color="1F5C8B" w:sz="6" w:space="4"/>
        </w:pBdr>
        <w:spacing w:before="400" w:after="120"/>
      </w:pPr>
      <w:r>
        <w:rPr>
          <w:rFonts w:ascii="Arial" w:cs="Arial" w:eastAsia="Arial" w:hAnsi="Arial"/>
          <w:b/>
          <w:bCs/>
          <w:color w:val="1F5C8B"/>
          <w:sz w:val="26"/>
          <w:szCs w:val="26"/>
        </w:rPr>
        <w:t xml:space="preserve">Discrepancia 2 de 5  ·  TA_014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Título</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Computations and Methods</w:t>
            </w:r>
          </w:p>
        </w:tc>
      </w:tr>
      <w:tr>
        <w:tc>
          <w:tcPr>
            <w:tcW w:type="dxa" w:w="2059"/>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Año / DOI</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85FA5"/>
                <w:sz w:val="20"/>
                <w:szCs w:val="20"/>
              </w:rPr>
              <w:t xml:space="preserve">2025  ·  10.1007/978-981-96-5277-8_2</w:t>
            </w:r>
          </w:p>
        </w:tc>
      </w:tr>
      <w:tr>
        <w:tc>
          <w:tcPr>
            <w:tcW w:type="dxa" w:w="2059"/>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Resumen evaluado</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El resumen disponible describe métodos computacionales avanzados para drones en agricultura de precisión, incluyendo variante mejorada de ACO para path planning multi-UAV y asignación de tareas. Reporta reducción de 25% en tiempo de vuelo y 20% en consumo energético. Sin embargo, el título no permite identificar el estudio como relevante sin acceso al texto completo.</w:t>
            </w:r>
          </w:p>
        </w:tc>
      </w:tr>
      <w:tr>
        <w:tc>
          <w:tcPr>
            <w:tcW w:type="dxa" w:w="2059"/>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A32D2D"/>
                <w:sz w:val="20"/>
                <w:szCs w:val="20"/>
              </w:rPr>
              <w:t xml:space="preserve">R2 (Andres)</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A32D2D"/>
                <w:sz w:val="20"/>
                <w:szCs w:val="20"/>
              </w:rPr>
              <w:t xml:space="preserve">EXCLUIR — E2/E6</w:t>
            </w:r>
          </w:p>
        </w:tc>
      </w:tr>
      <w:tr>
        <w:tc>
          <w:tcPr>
            <w:tcW w:type="dxa" w:w="2059"/>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Justificación R2</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Título completamente genérico 'Computations and Methods', sin abstract original disponible. Posible capítulo de libro o entrada bibliográfica mal catalogada. Sin información suficiente para evaluar criterios I2–I4.</w:t>
            </w:r>
          </w:p>
        </w:tc>
      </w:tr>
      <w:tr>
        <w:tc>
          <w:tcPr>
            <w:tcW w:type="dxa" w:w="2059"/>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color w:val="27500A"/>
                <w:sz w:val="20"/>
                <w:szCs w:val="20"/>
              </w:rPr>
              <w:t xml:space="preserve">R1 (Dr. Garza)</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27500A"/>
                <w:sz w:val="20"/>
                <w:szCs w:val="20"/>
              </w:rPr>
              <w:t xml:space="preserve">INCLUIR</w:t>
            </w:r>
          </w:p>
        </w:tc>
      </w:tr>
      <w:tr>
        <w:tc>
          <w:tcPr>
            <w:tcW w:type="dxa" w:w="2059"/>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Justificación R1</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(pendiente aclaración del Dr. Garza — posiblemente accedió al texto completo)</w:t>
            </w:r>
          </w:p>
        </w:tc>
      </w:tr>
      <w:tr>
        <w:tc>
          <w:tcPr>
            <w:tcW w:type="dxa" w:w="2059"/>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jc w:val="left"/>
            </w:pPr>
            <w:r>
              <w:rPr>
                <w:rFonts w:ascii="Arial" w:cs="Arial" w:eastAsia="Arial" w:hAnsi="Arial"/>
                <w:b/>
                <w:bCs/>
                <w:color w:val="633806"/>
                <w:sz w:val="20"/>
                <w:szCs w:val="20"/>
              </w:rPr>
              <w:t xml:space="preserve">Criterio en disputa</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633806"/>
                <w:sz w:val="20"/>
                <w:szCs w:val="20"/>
              </w:rPr>
              <w:t xml:space="preserve">E6 — ¿Hay suficiente información en T/A para evaluar? ¿El Dr. Garza tuvo acceso al PDF completo?</w:t>
            </w:r>
          </w:p>
        </w:tc>
      </w:tr>
    </w:tbl>
    <w:p>
      <w:pPr>
        <w:spacing w:before="160" w:after="60"/>
      </w:pPr>
      <w:r>
        <w:rPr>
          <w:rFonts w:ascii="Arial" w:cs="Arial" w:eastAsia="Arial" w:hAnsi="Arial"/>
          <w:b/>
          <w:bCs/>
          <w:color w:val="000000"/>
          <w:sz w:val="20"/>
          <w:szCs w:val="20"/>
        </w:rPr>
        <w:t xml:space="preserve">Puntos a resolver en la discusión:</w:t>
      </w:r>
    </w:p>
    <w:p>
      <w:pPr>
        <w:spacing w:before="40" w:after="40"/>
        <w:ind w:left="360"/>
      </w:pPr>
      <w:r>
        <w:rPr>
          <w:rFonts w:ascii="Arial" w:cs="Arial" w:eastAsia="Arial" w:hAnsi="Arial"/>
          <w:sz w:val="18"/>
          <w:szCs w:val="18"/>
        </w:rPr>
        <w:t xml:space="preserve">1.  ¿El Dr. Garza accedió al PDF completo para tomar su decisión? Si no, aplicar E6 (sin metodología evaluable en T/A).</w:t>
      </w:r>
    </w:p>
    <w:p>
      <w:pPr>
        <w:spacing w:before="40" w:after="40"/>
        <w:ind w:left="360"/>
      </w:pPr>
      <w:r>
        <w:rPr>
          <w:rFonts w:ascii="Arial" w:cs="Arial" w:eastAsia="Arial" w:hAnsi="Arial"/>
          <w:sz w:val="18"/>
          <w:szCs w:val="18"/>
        </w:rPr>
        <w:t xml:space="preserve">2.  Si el contenido del resumen es válido: ¿el estudio propone o evalúa un algoritmo SI reconocible para path planning?</w:t>
      </w:r>
    </w:p>
    <w:p>
      <w:pPr>
        <w:spacing w:before="40" w:after="40"/>
        <w:ind w:left="360"/>
      </w:pPr>
      <w:r>
        <w:rPr>
          <w:rFonts w:ascii="Arial" w:cs="Arial" w:eastAsia="Arial" w:hAnsi="Arial"/>
          <w:sz w:val="18"/>
          <w:szCs w:val="18"/>
        </w:rPr>
        <w:t xml:space="preserve">3.  El DOI sugiere capítulo de libro (978-...), lo que puede implicar acceso restringido — verificar disponibilidad.</w:t>
      </w:r>
    </w:p>
    <w:p>
      <w:pPr>
        <w:spacing w:before="160" w:after="80"/>
      </w:pPr>
      <w:r>
        <w:rPr>
          <w:rFonts w:ascii="Arial" w:cs="Arial" w:eastAsia="Arial" w:hAnsi="Arial"/>
          <w:b/>
          <w:bCs/>
          <w:color w:val="000000"/>
          <w:sz w:val="20"/>
          <w:szCs w:val="20"/>
        </w:rPr>
        <w:t xml:space="preserve">Decisión de consenso: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Decisión de consenso</w:t>
            </w:r>
          </w:p>
        </w:tc>
        <w:tc>
          <w:tcPr>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 aplicado</w:t>
            </w:r>
          </w:p>
        </w:tc>
        <w:tc>
          <w:tcPr>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Firmado por</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  [ ] INCLUIR     [ ] EXCLUIR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I_ / E_</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Andres H. / Dr. Garza</w:t>
            </w:r>
          </w:p>
        </w:tc>
      </w:tr>
    </w:tbl>
    <w:p>
      <w:pPr>
        <w:spacing w:before="160" w:after="60"/>
      </w:pPr>
      <w:r>
        <w:rPr>
          <w:rFonts w:ascii="Arial" w:cs="Arial" w:eastAsia="Arial" w:hAnsi="Arial"/>
          <w:b/>
          <w:bCs/>
          <w:color w:val="000000"/>
          <w:sz w:val="20"/>
          <w:szCs w:val="20"/>
        </w:rPr>
        <w:t xml:space="preserve">Notas de la discusión:</w:t>
      </w:r>
    </w:p>
    <w:p>
      <w:pPr>
        <w:pBdr>
          <w:bottom w:val="single" w:color="CCCCCC" w:sz="2" w:space="2"/>
        </w:pBdr>
        <w:spacing w:before="40" w:after="40"/>
      </w:pPr>
      <w:r>
        <w:rPr>
          <w:rFonts w:ascii="Arial" w:cs="Arial" w:eastAsia="Arial" w:hAnsi="Arial"/>
          <w:sz w:val="20"/>
          <w:szCs w:val="20"/>
        </w:rPr>
        <w:t xml:space="preserve"> </w:t>
      </w:r>
    </w:p>
    <w:p>
      <w:pPr>
        <w:pBdr>
          <w:bottom w:val="single" w:color="CCCCCC" w:sz="2" w:space="2"/>
        </w:pBdr>
        <w:spacing w:before="40" w:after="40"/>
      </w:pPr>
      <w:r>
        <w:rPr>
          <w:rFonts w:ascii="Arial" w:cs="Arial" w:eastAsia="Arial" w:hAnsi="Arial"/>
          <w:sz w:val="20"/>
          <w:szCs w:val="20"/>
        </w:rPr>
        <w:t xml:space="preserve"> </w:t>
      </w:r>
    </w:p>
    <w:p>
      <w:pPr>
        <w:pBdr>
          <w:bottom w:val="single" w:color="CCCCCC" w:sz="2" w:space="2"/>
        </w:pBdr>
        <w:spacing w:before="40" w:after="40"/>
      </w:pPr>
      <w:r>
        <w:rPr>
          <w:rFonts w:ascii="Arial" w:cs="Arial" w:eastAsia="Arial" w:hAnsi="Arial"/>
          <w:sz w:val="20"/>
          <w:szCs w:val="20"/>
        </w:rPr>
        <w:t xml:space="preserve"> </w:t>
      </w:r>
    </w:p>
    <w:p>
      <w:pPr>
        <w:pBdr>
          <w:bottom w:val="single" w:color="CCCCCC" w:sz="2" w:space="2"/>
        </w:pBdr>
        <w:spacing w:before="40" w:after="40"/>
      </w:pPr>
      <w:r>
        <w:rPr>
          <w:rFonts w:ascii="Arial" w:cs="Arial" w:eastAsia="Arial" w:hAnsi="Arial"/>
          <w:sz w:val="20"/>
          <w:szCs w:val="20"/>
        </w:rPr>
        <w:t xml:space="preserve"> </w:t>
      </w:r>
    </w:p>
    <w:p>
      <w:pPr>
        <w:pBdr>
          <w:bottom w:val="single" w:color="CCCCCC" w:sz="4" w:space="1"/>
        </w:pBdr>
        <w:spacing w:before="160" w:after="160"/>
      </w:pPr>
    </w:p>
    <w:p>
      <w:pPr>
        <w:pBdr>
          <w:bottom w:val="single" w:color="1F5C8B" w:sz="6" w:space="4"/>
        </w:pBdr>
        <w:spacing w:before="400" w:after="120"/>
      </w:pPr>
      <w:r>
        <w:rPr>
          <w:rFonts w:ascii="Arial" w:cs="Arial" w:eastAsia="Arial" w:hAnsi="Arial"/>
          <w:b/>
          <w:bCs/>
          <w:color w:val="1F5C8B"/>
          <w:sz w:val="26"/>
          <w:szCs w:val="26"/>
        </w:rPr>
        <w:t xml:space="preserve">Discrepancia 3 de 5  ·  TA_015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Título</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 Improved Trajectory Planning Method for Unmanned Aerial Vehicles in Complex Environments</w:t>
            </w:r>
          </w:p>
        </w:tc>
      </w:tr>
      <w:tr>
        <w:tc>
          <w:tcPr>
            <w:tcW w:type="dxa" w:w="2059"/>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Año / DOI</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85FA5"/>
                <w:sz w:val="20"/>
                <w:szCs w:val="20"/>
              </w:rPr>
              <w:t xml:space="preserve">2024  ·  10.1007/978-981-97-2275-4_12</w:t>
            </w:r>
          </w:p>
        </w:tc>
      </w:tr>
      <w:tr>
        <w:tc>
          <w:tcPr>
            <w:tcW w:type="dxa" w:w="2059"/>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Resumen evaluado</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Propone algoritmo metaheurístico de swarm intelligence mejorado para path planning de UAV con evasión dinámica de obstáculos. Las simulaciones incluyen 'escenarios que emulan condiciones agrícolas y urbanas'. Menciona inspección de cultivos, pulverización inteligente y logística como aplicaciones. Capítulo de libro (DOI con ISBN).</w:t>
            </w:r>
          </w:p>
        </w:tc>
      </w:tr>
      <w:tr>
        <w:tc>
          <w:tcPr>
            <w:tcW w:type="dxa" w:w="2059"/>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A32D2D"/>
                <w:sz w:val="20"/>
                <w:szCs w:val="20"/>
              </w:rPr>
              <w:t xml:space="preserve">R2 (Andres)</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A32D2D"/>
                <w:sz w:val="20"/>
                <w:szCs w:val="20"/>
              </w:rPr>
              <w:t xml:space="preserve">EXCLUIR — E5</w:t>
            </w:r>
          </w:p>
        </w:tc>
      </w:tr>
      <w:tr>
        <w:tc>
          <w:tcPr>
            <w:tcW w:type="dxa" w:w="2059"/>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Justificación R2</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UAV en 'entornos complejos' sin aplicación agrícola identificada en el título. El abstract disponible menciona agricultura como uno de varios dominios pero evalúa tanto escenarios agrícolas como urbanos.</w:t>
            </w:r>
          </w:p>
        </w:tc>
      </w:tr>
      <w:tr>
        <w:tc>
          <w:tcPr>
            <w:tcW w:type="dxa" w:w="2059"/>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color w:val="27500A"/>
                <w:sz w:val="20"/>
                <w:szCs w:val="20"/>
              </w:rPr>
              <w:t xml:space="preserve">R1 (Dr. Garza)</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27500A"/>
                <w:sz w:val="20"/>
                <w:szCs w:val="20"/>
              </w:rPr>
              <w:t xml:space="preserve">INCLUIR</w:t>
            </w:r>
          </w:p>
        </w:tc>
      </w:tr>
      <w:tr>
        <w:tc>
          <w:tcPr>
            <w:tcW w:type="dxa" w:w="2059"/>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Justificación R1</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(pendiente aclaración del Dr. Garza)</w:t>
            </w:r>
          </w:p>
        </w:tc>
      </w:tr>
      <w:tr>
        <w:tc>
          <w:tcPr>
            <w:tcW w:type="dxa" w:w="2059"/>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jc w:val="left"/>
            </w:pPr>
            <w:r>
              <w:rPr>
                <w:rFonts w:ascii="Arial" w:cs="Arial" w:eastAsia="Arial" w:hAnsi="Arial"/>
                <w:b/>
                <w:bCs/>
                <w:color w:val="633806"/>
                <w:sz w:val="20"/>
                <w:szCs w:val="20"/>
              </w:rPr>
              <w:t xml:space="preserve">Criterio en disputa</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633806"/>
                <w:sz w:val="20"/>
                <w:szCs w:val="20"/>
              </w:rPr>
              <w:t xml:space="preserve">I4/E5 — ¿Un estudio que evalúa múltiples dominios (agrícola + urbano) cumple I4?</w:t>
            </w:r>
          </w:p>
        </w:tc>
      </w:tr>
    </w:tbl>
    <w:p>
      <w:pPr>
        <w:spacing w:before="160" w:after="60"/>
      </w:pPr>
      <w:r>
        <w:rPr>
          <w:rFonts w:ascii="Arial" w:cs="Arial" w:eastAsia="Arial" w:hAnsi="Arial"/>
          <w:b/>
          <w:bCs/>
          <w:color w:val="000000"/>
          <w:sz w:val="20"/>
          <w:szCs w:val="20"/>
        </w:rPr>
        <w:t xml:space="preserve">Puntos a resolver en la discusión:</w:t>
      </w:r>
    </w:p>
    <w:p>
      <w:pPr>
        <w:spacing w:before="40" w:after="40"/>
        <w:ind w:left="360"/>
      </w:pPr>
      <w:r>
        <w:rPr>
          <w:rFonts w:ascii="Arial" w:cs="Arial" w:eastAsia="Arial" w:hAnsi="Arial"/>
          <w:sz w:val="18"/>
          <w:szCs w:val="18"/>
        </w:rPr>
        <w:t xml:space="preserve">1.  ¿El criterio I4 requiere que la agricultura sea el dominio *primario* o basta con que sea uno de los dominios evaluados?</w:t>
      </w:r>
    </w:p>
    <w:p>
      <w:pPr>
        <w:spacing w:before="40" w:after="40"/>
        <w:ind w:left="360"/>
      </w:pPr>
      <w:r>
        <w:rPr>
          <w:rFonts w:ascii="Arial" w:cs="Arial" w:eastAsia="Arial" w:hAnsi="Arial"/>
          <w:sz w:val="18"/>
          <w:szCs w:val="18"/>
        </w:rPr>
        <w:t xml:space="preserve">2.  Si se incluyen estudios multi-dominio, ¿se debe tomar una decisión de política aplicable a todos los casos similares?</w:t>
      </w:r>
    </w:p>
    <w:p>
      <w:pPr>
        <w:spacing w:before="40" w:after="40"/>
        <w:ind w:left="360"/>
      </w:pPr>
      <w:r>
        <w:rPr>
          <w:rFonts w:ascii="Arial" w:cs="Arial" w:eastAsia="Arial" w:hAnsi="Arial"/>
          <w:sz w:val="18"/>
          <w:szCs w:val="18"/>
        </w:rPr>
        <w:t xml:space="preserve">3.  Revisar si el capítulo fue evaluado en un escenario agrícola real o solo mencionado como aplicación potencial.</w:t>
      </w:r>
    </w:p>
    <w:p>
      <w:pPr>
        <w:spacing w:before="160" w:after="80"/>
      </w:pPr>
      <w:r>
        <w:rPr>
          <w:rFonts w:ascii="Arial" w:cs="Arial" w:eastAsia="Arial" w:hAnsi="Arial"/>
          <w:b/>
          <w:bCs/>
          <w:color w:val="000000"/>
          <w:sz w:val="20"/>
          <w:szCs w:val="20"/>
        </w:rPr>
        <w:t xml:space="preserve">Decisión de consenso: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Decisión de consenso</w:t>
            </w:r>
          </w:p>
        </w:tc>
        <w:tc>
          <w:tcPr>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 aplicado</w:t>
            </w:r>
          </w:p>
        </w:tc>
        <w:tc>
          <w:tcPr>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Firmado por</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  [ ] INCLUIR     [ ] EXCLUIR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I_ / E_</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Andres H. / Dr. Garza</w:t>
            </w:r>
          </w:p>
        </w:tc>
      </w:tr>
    </w:tbl>
    <w:p>
      <w:pPr>
        <w:spacing w:before="160" w:after="60"/>
      </w:pPr>
      <w:r>
        <w:rPr>
          <w:rFonts w:ascii="Arial" w:cs="Arial" w:eastAsia="Arial" w:hAnsi="Arial"/>
          <w:b/>
          <w:bCs/>
          <w:color w:val="000000"/>
          <w:sz w:val="20"/>
          <w:szCs w:val="20"/>
        </w:rPr>
        <w:t xml:space="preserve">Notas de la discusión:</w:t>
      </w:r>
    </w:p>
    <w:p>
      <w:pPr>
        <w:pBdr>
          <w:bottom w:val="single" w:color="CCCCCC" w:sz="2" w:space="2"/>
        </w:pBdr>
        <w:spacing w:before="40" w:after="40"/>
      </w:pPr>
      <w:r>
        <w:rPr>
          <w:rFonts w:ascii="Arial" w:cs="Arial" w:eastAsia="Arial" w:hAnsi="Arial"/>
          <w:sz w:val="20"/>
          <w:szCs w:val="20"/>
        </w:rPr>
        <w:t xml:space="preserve"> </w:t>
      </w:r>
    </w:p>
    <w:p>
      <w:pPr>
        <w:pBdr>
          <w:bottom w:val="single" w:color="CCCCCC" w:sz="2" w:space="2"/>
        </w:pBdr>
        <w:spacing w:before="40" w:after="40"/>
      </w:pPr>
      <w:r>
        <w:rPr>
          <w:rFonts w:ascii="Arial" w:cs="Arial" w:eastAsia="Arial" w:hAnsi="Arial"/>
          <w:sz w:val="20"/>
          <w:szCs w:val="20"/>
        </w:rPr>
        <w:t xml:space="preserve"> </w:t>
      </w:r>
    </w:p>
    <w:p>
      <w:pPr>
        <w:pBdr>
          <w:bottom w:val="single" w:color="CCCCCC" w:sz="2" w:space="2"/>
        </w:pBdr>
        <w:spacing w:before="40" w:after="40"/>
      </w:pPr>
      <w:r>
        <w:rPr>
          <w:rFonts w:ascii="Arial" w:cs="Arial" w:eastAsia="Arial" w:hAnsi="Arial"/>
          <w:sz w:val="20"/>
          <w:szCs w:val="20"/>
        </w:rPr>
        <w:t xml:space="preserve"> </w:t>
      </w:r>
    </w:p>
    <w:p>
      <w:pPr>
        <w:pBdr>
          <w:bottom w:val="single" w:color="CCCCCC" w:sz="2" w:space="2"/>
        </w:pBdr>
        <w:spacing w:before="40" w:after="40"/>
      </w:pPr>
      <w:r>
        <w:rPr>
          <w:rFonts w:ascii="Arial" w:cs="Arial" w:eastAsia="Arial" w:hAnsi="Arial"/>
          <w:sz w:val="20"/>
          <w:szCs w:val="20"/>
        </w:rPr>
        <w:t xml:space="preserve"> </w:t>
      </w:r>
    </w:p>
    <w:p>
      <w:pPr>
        <w:pBdr>
          <w:bottom w:val="single" w:color="CCCCCC" w:sz="4" w:space="1"/>
        </w:pBdr>
        <w:spacing w:before="160" w:after="160"/>
      </w:pPr>
    </w:p>
    <w:p>
      <w:pPr>
        <w:pBdr>
          <w:bottom w:val="single" w:color="1F5C8B" w:sz="6" w:space="4"/>
        </w:pBdr>
        <w:spacing w:before="400" w:after="120"/>
      </w:pPr>
      <w:r>
        <w:rPr>
          <w:rFonts w:ascii="Arial" w:cs="Arial" w:eastAsia="Arial" w:hAnsi="Arial"/>
          <w:b/>
          <w:bCs/>
          <w:color w:val="1F5C8B"/>
          <w:sz w:val="26"/>
          <w:szCs w:val="26"/>
        </w:rPr>
        <w:t xml:space="preserve">Discrepancia 4 de 5  ·  TA_020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Título</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 exploration-enhanced hybrid algorithm based on regularity evolution for multi-objective multi-UAV 3-D path planning</w:t>
            </w:r>
          </w:p>
        </w:tc>
      </w:tr>
      <w:tr>
        <w:tc>
          <w:tcPr>
            <w:tcW w:type="dxa" w:w="2059"/>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Año / DOI</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85FA5"/>
                <w:sz w:val="20"/>
                <w:szCs w:val="20"/>
              </w:rPr>
              <w:t xml:space="preserve">2025  ·  10.1007/s40747-025-01846-4</w:t>
            </w:r>
          </w:p>
        </w:tc>
      </w:tr>
      <w:tr>
        <w:tc>
          <w:tcPr>
            <w:tcW w:type="dxa" w:w="2059"/>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Resumen evaluado</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Introduce algoritmo híbrido con evolución de regularidades para path planning multi-objetivo y multi-UAV en entornos 3D. El resumen abre mencionando agricultura de precisión (monitoreo y fumigación) como caso de uso. La evaluación produce conjuntos de Pareto óptimos para flotas de drones. Publicado en Complex &amp; Intelligent Systems (Springer, 2025).</w:t>
            </w:r>
          </w:p>
        </w:tc>
      </w:tr>
      <w:tr>
        <w:tc>
          <w:tcPr>
            <w:tcW w:type="dxa" w:w="2059"/>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A32D2D"/>
                <w:sz w:val="20"/>
                <w:szCs w:val="20"/>
              </w:rPr>
              <w:t xml:space="preserve">R2 (Andres)</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A32D2D"/>
                <w:sz w:val="20"/>
                <w:szCs w:val="20"/>
              </w:rPr>
              <w:t xml:space="preserve">EXCLUIR — E5</w:t>
            </w:r>
          </w:p>
        </w:tc>
      </w:tr>
      <w:tr>
        <w:tc>
          <w:tcPr>
            <w:tcW w:type="dxa" w:w="2059"/>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Justificación R2</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Multi-UAV 3D path planning con algoritmo híbrido. Potencialmente relevante en método, pero el título no indica aplicación agrícola. El resumen menciona 'agricultura, monitoreo y fumigación' como motivación pero el experimento es en entorno genérico 3D.</w:t>
            </w:r>
          </w:p>
        </w:tc>
      </w:tr>
      <w:tr>
        <w:tc>
          <w:tcPr>
            <w:tcW w:type="dxa" w:w="2059"/>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color w:val="27500A"/>
                <w:sz w:val="20"/>
                <w:szCs w:val="20"/>
              </w:rPr>
              <w:t xml:space="preserve">R1 (Dr. Garza)</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27500A"/>
                <w:sz w:val="20"/>
                <w:szCs w:val="20"/>
              </w:rPr>
              <w:t xml:space="preserve">INCLUIR</w:t>
            </w:r>
          </w:p>
        </w:tc>
      </w:tr>
      <w:tr>
        <w:tc>
          <w:tcPr>
            <w:tcW w:type="dxa" w:w="2059"/>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Justificación R1</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(pendiente aclaración del Dr. Garza)</w:t>
            </w:r>
          </w:p>
        </w:tc>
      </w:tr>
      <w:tr>
        <w:tc>
          <w:tcPr>
            <w:tcW w:type="dxa" w:w="2059"/>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jc w:val="left"/>
            </w:pPr>
            <w:r>
              <w:rPr>
                <w:rFonts w:ascii="Arial" w:cs="Arial" w:eastAsia="Arial" w:hAnsi="Arial"/>
                <w:b/>
                <w:bCs/>
                <w:color w:val="633806"/>
                <w:sz w:val="20"/>
                <w:szCs w:val="20"/>
              </w:rPr>
              <w:t xml:space="preserve">Criterio en disputa</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633806"/>
                <w:sz w:val="20"/>
                <w:szCs w:val="20"/>
              </w:rPr>
              <w:t xml:space="preserve">I4/E5 — ¿La mención de agricultura en la motivación cumple I4, o el experimento debe ser en dominio agrícola?</w:t>
            </w:r>
          </w:p>
        </w:tc>
      </w:tr>
    </w:tbl>
    <w:p>
      <w:pPr>
        <w:spacing w:before="160" w:after="60"/>
      </w:pPr>
      <w:r>
        <w:rPr>
          <w:rFonts w:ascii="Arial" w:cs="Arial" w:eastAsia="Arial" w:hAnsi="Arial"/>
          <w:b/>
          <w:bCs/>
          <w:color w:val="000000"/>
          <w:sz w:val="20"/>
          <w:szCs w:val="20"/>
        </w:rPr>
        <w:t xml:space="preserve">Puntos a resolver en la discusión:</w:t>
      </w:r>
    </w:p>
    <w:p>
      <w:pPr>
        <w:spacing w:before="40" w:after="40"/>
        <w:ind w:left="360"/>
      </w:pPr>
      <w:r>
        <w:rPr>
          <w:rFonts w:ascii="Arial" w:cs="Arial" w:eastAsia="Arial" w:hAnsi="Arial"/>
          <w:sz w:val="18"/>
          <w:szCs w:val="18"/>
        </w:rPr>
        <w:t xml:space="preserve">1.  ¿El criterio I4 se aplica al *dominio del experimento* o a la *motivación/aplicación declarada*?</w:t>
      </w:r>
    </w:p>
    <w:p>
      <w:pPr>
        <w:spacing w:before="40" w:after="40"/>
        <w:ind w:left="360"/>
      </w:pPr>
      <w:r>
        <w:rPr>
          <w:rFonts w:ascii="Arial" w:cs="Arial" w:eastAsia="Arial" w:hAnsi="Arial"/>
          <w:sz w:val="18"/>
          <w:szCs w:val="18"/>
        </w:rPr>
        <w:t xml:space="preserve">2.  Este caso es análogo a TA_015 — la decisión debe ser consistente entre ambos.</w:t>
      </w:r>
    </w:p>
    <w:p>
      <w:pPr>
        <w:spacing w:before="40" w:after="40"/>
        <w:ind w:left="360"/>
      </w:pPr>
      <w:r>
        <w:rPr>
          <w:rFonts w:ascii="Arial" w:cs="Arial" w:eastAsia="Arial" w:hAnsi="Arial"/>
          <w:sz w:val="18"/>
          <w:szCs w:val="18"/>
        </w:rPr>
        <w:t xml:space="preserve">3.  Si se incluye: ¿el algoritmo híbrido es clasificable como SI reconocible (PSO, ACO, ABC, GWO, etc.)?</w:t>
      </w:r>
    </w:p>
    <w:p>
      <w:pPr>
        <w:spacing w:before="160" w:after="80"/>
      </w:pPr>
      <w:r>
        <w:rPr>
          <w:rFonts w:ascii="Arial" w:cs="Arial" w:eastAsia="Arial" w:hAnsi="Arial"/>
          <w:b/>
          <w:bCs/>
          <w:color w:val="000000"/>
          <w:sz w:val="20"/>
          <w:szCs w:val="20"/>
        </w:rPr>
        <w:t xml:space="preserve">Decisión de consenso: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Decisión de consenso</w:t>
            </w:r>
          </w:p>
        </w:tc>
        <w:tc>
          <w:tcPr>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 aplicado</w:t>
            </w:r>
          </w:p>
        </w:tc>
        <w:tc>
          <w:tcPr>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Firmado por</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  [ ] INCLUIR     [ ] EXCLUIR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I_ / E_</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Andres H. / Dr. Garza</w:t>
            </w:r>
          </w:p>
        </w:tc>
      </w:tr>
    </w:tbl>
    <w:p>
      <w:pPr>
        <w:spacing w:before="160" w:after="60"/>
      </w:pPr>
      <w:r>
        <w:rPr>
          <w:rFonts w:ascii="Arial" w:cs="Arial" w:eastAsia="Arial" w:hAnsi="Arial"/>
          <w:b/>
          <w:bCs/>
          <w:color w:val="000000"/>
          <w:sz w:val="20"/>
          <w:szCs w:val="20"/>
        </w:rPr>
        <w:t xml:space="preserve">Notas de la discusión:</w:t>
      </w:r>
    </w:p>
    <w:p>
      <w:pPr>
        <w:pBdr>
          <w:bottom w:val="single" w:color="CCCCCC" w:sz="2" w:space="2"/>
        </w:pBdr>
        <w:spacing w:before="40" w:after="40"/>
      </w:pPr>
      <w:r>
        <w:rPr>
          <w:rFonts w:ascii="Arial" w:cs="Arial" w:eastAsia="Arial" w:hAnsi="Arial"/>
          <w:sz w:val="20"/>
          <w:szCs w:val="20"/>
        </w:rPr>
        <w:t xml:space="preserve"> </w:t>
      </w:r>
    </w:p>
    <w:p>
      <w:pPr>
        <w:pBdr>
          <w:bottom w:val="single" w:color="CCCCCC" w:sz="2" w:space="2"/>
        </w:pBdr>
        <w:spacing w:before="40" w:after="40"/>
      </w:pPr>
      <w:r>
        <w:rPr>
          <w:rFonts w:ascii="Arial" w:cs="Arial" w:eastAsia="Arial" w:hAnsi="Arial"/>
          <w:sz w:val="20"/>
          <w:szCs w:val="20"/>
        </w:rPr>
        <w:t xml:space="preserve"> </w:t>
      </w:r>
    </w:p>
    <w:p>
      <w:pPr>
        <w:pBdr>
          <w:bottom w:val="single" w:color="CCCCCC" w:sz="2" w:space="2"/>
        </w:pBdr>
        <w:spacing w:before="40" w:after="40"/>
      </w:pPr>
      <w:r>
        <w:rPr>
          <w:rFonts w:ascii="Arial" w:cs="Arial" w:eastAsia="Arial" w:hAnsi="Arial"/>
          <w:sz w:val="20"/>
          <w:szCs w:val="20"/>
        </w:rPr>
        <w:t xml:space="preserve"> </w:t>
      </w:r>
    </w:p>
    <w:p>
      <w:pPr>
        <w:pBdr>
          <w:bottom w:val="single" w:color="CCCCCC" w:sz="2" w:space="2"/>
        </w:pBdr>
        <w:spacing w:before="40" w:after="40"/>
      </w:pPr>
      <w:r>
        <w:rPr>
          <w:rFonts w:ascii="Arial" w:cs="Arial" w:eastAsia="Arial" w:hAnsi="Arial"/>
          <w:sz w:val="20"/>
          <w:szCs w:val="20"/>
        </w:rPr>
        <w:t xml:space="preserve"> </w:t>
      </w:r>
    </w:p>
    <w:p>
      <w:pPr>
        <w:pBdr>
          <w:bottom w:val="single" w:color="CCCCCC" w:sz="4" w:space="1"/>
        </w:pBdr>
        <w:spacing w:before="160" w:after="160"/>
      </w:pPr>
    </w:p>
    <w:p>
      <w:pPr>
        <w:pBdr>
          <w:bottom w:val="single" w:color="1F5C8B" w:sz="6" w:space="4"/>
        </w:pBdr>
        <w:spacing w:before="400" w:after="120"/>
      </w:pPr>
      <w:r>
        <w:rPr>
          <w:rFonts w:ascii="Arial" w:cs="Arial" w:eastAsia="Arial" w:hAnsi="Arial"/>
          <w:b/>
          <w:bCs/>
          <w:color w:val="1F5C8B"/>
          <w:sz w:val="26"/>
          <w:szCs w:val="26"/>
        </w:rPr>
        <w:t xml:space="preserve">Discrepancia 5 de 5  ·  TA_037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Título</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DLC-NGO: an enhanced northern goshawk optimization for 3D UAV path planning in complex environments with multiple threats</w:t>
            </w:r>
          </w:p>
        </w:tc>
      </w:tr>
      <w:tr>
        <w:tc>
          <w:tcPr>
            <w:tcW w:type="dxa" w:w="2059"/>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Año / DOI</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85FA5"/>
                <w:sz w:val="20"/>
                <w:szCs w:val="20"/>
              </w:rPr>
              <w:t xml:space="preserve">2025  ·  10.1007/s10586-025-05358-1</w:t>
            </w:r>
          </w:p>
        </w:tc>
      </w:tr>
      <w:tr>
        <w:tc>
          <w:tcPr>
            <w:tcW w:type="dxa" w:w="2059"/>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Resumen evaluado</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DLC-NGO: variante mejorada de Northern Goshawk Optimization (NGO) para path planning 3D de UAV con múltiples obstáculos y amenazas. El resumen menciona 'agricultura de precisión, inspección de infraestructuras y logística' como aplicaciones. NGO es una metaheurística SI publicada en 2021. Publicado en Cluster Computing (Springer, 2025).</w:t>
            </w:r>
          </w:p>
        </w:tc>
      </w:tr>
      <w:tr>
        <w:tc>
          <w:tcPr>
            <w:tcW w:type="dxa" w:w="2059"/>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A32D2D"/>
                <w:sz w:val="20"/>
                <w:szCs w:val="20"/>
              </w:rPr>
              <w:t xml:space="preserve">R2 (Andres)</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A32D2D"/>
                <w:sz w:val="20"/>
                <w:szCs w:val="20"/>
              </w:rPr>
              <w:t xml:space="preserve">EXCLUIR — E5</w:t>
            </w:r>
          </w:p>
        </w:tc>
      </w:tr>
      <w:tr>
        <w:tc>
          <w:tcPr>
            <w:tcW w:type="dxa" w:w="2059"/>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Justificación R2</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'Multiple threats' indica contexto militar/defensa. DLC-NGO es un algoritmo SI (Northern Goshawk Optimization). El resumen menciona agricultura como una de las aplicaciones pero el foco es 'entornos complejos con múltiples amenazas'.</w:t>
            </w:r>
          </w:p>
        </w:tc>
      </w:tr>
      <w:tr>
        <w:tc>
          <w:tcPr>
            <w:tcW w:type="dxa" w:w="2059"/>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color w:val="27500A"/>
                <w:sz w:val="20"/>
                <w:szCs w:val="20"/>
              </w:rPr>
              <w:t xml:space="preserve">R1 (Dr. Garza)</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27500A"/>
                <w:sz w:val="20"/>
                <w:szCs w:val="20"/>
              </w:rPr>
              <w:t xml:space="preserve">INCLUIR</w:t>
            </w:r>
          </w:p>
        </w:tc>
      </w:tr>
      <w:tr>
        <w:tc>
          <w:tcPr>
            <w:tcW w:type="dxa" w:w="2059"/>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Justificación R1</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(pendiente aclaración del Dr. Garza)</w:t>
            </w:r>
          </w:p>
        </w:tc>
      </w:tr>
      <w:tr>
        <w:tc>
          <w:tcPr>
            <w:tcW w:type="dxa" w:w="2059"/>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jc w:val="left"/>
            </w:pPr>
            <w:r>
              <w:rPr>
                <w:rFonts w:ascii="Arial" w:cs="Arial" w:eastAsia="Arial" w:hAnsi="Arial"/>
                <w:b/>
                <w:bCs/>
                <w:color w:val="633806"/>
                <w:sz w:val="20"/>
                <w:szCs w:val="20"/>
              </w:rPr>
              <w:t xml:space="preserve">Criterio en disputa</w:t>
            </w:r>
          </w:p>
        </w:tc>
        <w:tc>
          <w:tcPr>
            <w:tcW w:type="dxa" w:w="7301"/>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633806"/>
                <w:sz w:val="20"/>
                <w:szCs w:val="20"/>
              </w:rPr>
              <w:t xml:space="preserve">I2/E5 — NGO ¿califica como SI reconocible? ¿Y el dominio primario es agrícola o defensivo?</w:t>
            </w:r>
          </w:p>
        </w:tc>
      </w:tr>
    </w:tbl>
    <w:p>
      <w:pPr>
        <w:spacing w:before="160" w:after="60"/>
      </w:pPr>
      <w:r>
        <w:rPr>
          <w:rFonts w:ascii="Arial" w:cs="Arial" w:eastAsia="Arial" w:hAnsi="Arial"/>
          <w:b/>
          <w:bCs/>
          <w:color w:val="000000"/>
          <w:sz w:val="20"/>
          <w:szCs w:val="20"/>
        </w:rPr>
        <w:t xml:space="preserve">Puntos a resolver en la discusión:</w:t>
      </w:r>
    </w:p>
    <w:p>
      <w:pPr>
        <w:spacing w:before="40" w:after="40"/>
        <w:ind w:left="360"/>
      </w:pPr>
      <w:r>
        <w:rPr>
          <w:rFonts w:ascii="Arial" w:cs="Arial" w:eastAsia="Arial" w:hAnsi="Arial"/>
          <w:sz w:val="18"/>
          <w:szCs w:val="18"/>
        </w:rPr>
        <w:t xml:space="preserve">1.  NGO (Northern Goshawk Optimization) es una metaheurística reciente — ¿se considera SI reconocible según el codebook?</w:t>
      </w:r>
    </w:p>
    <w:p>
      <w:pPr>
        <w:spacing w:before="40" w:after="40"/>
        <w:ind w:left="360"/>
      </w:pPr>
      <w:r>
        <w:rPr>
          <w:rFonts w:ascii="Arial" w:cs="Arial" w:eastAsia="Arial" w:hAnsi="Arial"/>
          <w:sz w:val="18"/>
          <w:szCs w:val="18"/>
        </w:rPr>
        <w:t xml:space="preserve">2.  Análogo a TA_010: ¿'multiple threats' implica dominio militar o puede ser obstáculos en entorno agrícola?</w:t>
      </w:r>
    </w:p>
    <w:p>
      <w:pPr>
        <w:spacing w:before="40" w:after="40"/>
        <w:ind w:left="360"/>
      </w:pPr>
      <w:r>
        <w:rPr>
          <w:rFonts w:ascii="Arial" w:cs="Arial" w:eastAsia="Arial" w:hAnsi="Arial"/>
          <w:sz w:val="18"/>
          <w:szCs w:val="18"/>
        </w:rPr>
        <w:t xml:space="preserve">3.  ¿El experimento evalúa un escenario agrícola o un escenario genérico de evasión de amenazas?</w:t>
      </w:r>
    </w:p>
    <w:p>
      <w:pPr>
        <w:spacing w:before="160" w:after="80"/>
      </w:pPr>
      <w:r>
        <w:rPr>
          <w:rFonts w:ascii="Arial" w:cs="Arial" w:eastAsia="Arial" w:hAnsi="Arial"/>
          <w:b/>
          <w:bCs/>
          <w:color w:val="000000"/>
          <w:sz w:val="20"/>
          <w:szCs w:val="20"/>
        </w:rPr>
        <w:t xml:space="preserve">Decisión de consenso: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Decisión de consenso</w:t>
            </w:r>
          </w:p>
        </w:tc>
        <w:tc>
          <w:tcPr>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 aplicado</w:t>
            </w:r>
          </w:p>
        </w:tc>
        <w:tc>
          <w:tcPr>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Firmado por</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  [ ] INCLUIR     [ ] EXCLUIR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I_ / E_</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Andres H. / Dr. Garza</w:t>
            </w:r>
          </w:p>
        </w:tc>
      </w:tr>
    </w:tbl>
    <w:p>
      <w:pPr>
        <w:spacing w:before="160" w:after="60"/>
      </w:pPr>
      <w:r>
        <w:rPr>
          <w:rFonts w:ascii="Arial" w:cs="Arial" w:eastAsia="Arial" w:hAnsi="Arial"/>
          <w:b/>
          <w:bCs/>
          <w:color w:val="000000"/>
          <w:sz w:val="20"/>
          <w:szCs w:val="20"/>
        </w:rPr>
        <w:t xml:space="preserve">Notas de la discusión:</w:t>
      </w:r>
    </w:p>
    <w:p>
      <w:pPr>
        <w:pBdr>
          <w:bottom w:val="single" w:color="CCCCCC" w:sz="2" w:space="2"/>
        </w:pBdr>
        <w:spacing w:before="40" w:after="40"/>
      </w:pPr>
      <w:r>
        <w:rPr>
          <w:rFonts w:ascii="Arial" w:cs="Arial" w:eastAsia="Arial" w:hAnsi="Arial"/>
          <w:sz w:val="20"/>
          <w:szCs w:val="20"/>
        </w:rPr>
        <w:t xml:space="preserve"> </w:t>
      </w:r>
    </w:p>
    <w:p>
      <w:pPr>
        <w:pBdr>
          <w:bottom w:val="single" w:color="CCCCCC" w:sz="2" w:space="2"/>
        </w:pBdr>
        <w:spacing w:before="40" w:after="40"/>
      </w:pPr>
      <w:r>
        <w:rPr>
          <w:rFonts w:ascii="Arial" w:cs="Arial" w:eastAsia="Arial" w:hAnsi="Arial"/>
          <w:sz w:val="20"/>
          <w:szCs w:val="20"/>
        </w:rPr>
        <w:t xml:space="preserve"> </w:t>
      </w:r>
    </w:p>
    <w:p>
      <w:pPr>
        <w:pBdr>
          <w:bottom w:val="single" w:color="CCCCCC" w:sz="2" w:space="2"/>
        </w:pBdr>
        <w:spacing w:before="40" w:after="40"/>
      </w:pPr>
      <w:r>
        <w:rPr>
          <w:rFonts w:ascii="Arial" w:cs="Arial" w:eastAsia="Arial" w:hAnsi="Arial"/>
          <w:sz w:val="20"/>
          <w:szCs w:val="20"/>
        </w:rPr>
        <w:t xml:space="preserve"> </w:t>
      </w:r>
    </w:p>
    <w:p>
      <w:pPr>
        <w:pBdr>
          <w:bottom w:val="single" w:color="CCCCCC" w:sz="2" w:space="2"/>
        </w:pBdr>
        <w:spacing w:before="40" w:after="40"/>
      </w:pPr>
      <w:r>
        <w:rPr>
          <w:rFonts w:ascii="Arial" w:cs="Arial" w:eastAsia="Arial" w:hAnsi="Arial"/>
          <w:sz w:val="20"/>
          <w:szCs w:val="20"/>
        </w:rPr>
        <w:t xml:space="preserve"> </w:t>
      </w:r>
    </w:p>
    <w:p>
      <w:pPr>
        <w:pBdr>
          <w:bottom w:val="single" w:color="CCCCCC" w:sz="4" w:space="1"/>
        </w:pBdr>
        <w:spacing w:before="160" w:after="160"/>
      </w:pPr>
    </w:p>
    <w:p>
      <w:pPr>
        <w:spacing w:before="300" w:after="120"/>
      </w:pPr>
      <w:r>
        <w:rPr>
          <w:rFonts w:ascii="Arial" w:cs="Arial" w:eastAsia="Arial" w:hAnsi="Arial"/>
          <w:b/>
          <w:bCs/>
          <w:color w:val="1F5C8B"/>
          <w:sz w:val="24"/>
          <w:szCs w:val="24"/>
        </w:rPr>
        <w:t xml:space="preserve">Cierre y firmas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Revisor 1 — Dr. Hernán de la Garza Gutiérrez</w:t>
            </w:r>
          </w:p>
        </w:tc>
        <w:tc>
          <w:tcPr>
            <w:gridSpan w:val="1"/>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Revisor 2 — Andres Hidalgo Morales</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Firma: ___________________________</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Firma: ___________________________</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Fecha: ___________________________</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Fecha: ___________________________</w:t>
            </w:r>
          </w:p>
        </w:tc>
      </w:tr>
    </w:tbl>
    <w:p>
      <w:pPr>
        <w:spacing w:before="200" w:after="60"/>
      </w:pPr>
      <w:r>
        <w:rPr>
          <w:rFonts w:ascii="Arial" w:cs="Arial" w:eastAsia="Arial" w:hAnsi="Arial"/>
          <w:b w:val="false"/>
          <w:bCs w:val="false"/>
          <w:color w:val="555555"/>
          <w:sz w:val="18"/>
          <w:szCs w:val="18"/>
        </w:rPr>
        <w:t xml:space="preserve">Una vez completada esta plantilla, los resultados se ingresan en la hoja CALCULADORA_KAPPA del archivo Excel y se actualiza la sección 3.2 del manuscrito con el acuerdo final y el criterio de resolución utilizado.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2026-03-31T05:02:08.109Z</dcterms:created>
  <dcterms:modified xsi:type="dcterms:W3CDTF">2026-03-31T05:02:08.110Z</dcterms:modified>
</cp:coreProperties>
</file>

<file path=docProps/custom.xml><?xml version="1.0" encoding="utf-8"?>
<Properties xmlns="http://schemas.openxmlformats.org/officeDocument/2006/custom-properties" xmlns:vt="http://schemas.openxmlformats.org/officeDocument/2006/docPropsVTypes"/>
</file>