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4E79"/>
          <w:sz w:val="32"/>
          <w:szCs w:val="32"/>
        </w:rPr>
        <w:t xml:space="preserve">SECCIÓN 6 — DISCUSSION (VERSIÓN EXPANDIDA)</w:t>
      </w:r>
    </w:p>
    <w:p>
      <w:pPr>
        <w:spacing w:after="80"/>
        <w:jc w:val="center"/>
      </w:pPr>
      <w:r>
        <w:rPr>
          <w:rFonts w:ascii="Arial" w:cs="Arial" w:eastAsia="Arial" w:hAnsi="Arial"/>
          <w:i/>
          <w:iCs/>
          <w:color w:val="2E75B6"/>
          <w:sz w:val="18"/>
          <w:szCs w:val="18"/>
        </w:rPr>
        <w:t xml:space="preserve">Texto listo para integrar al manuscrito CEA  |  ~2,800 palabras  |  Reemplaza la Sección 6 actual del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3"/>
              <w:left w:val="single" w:color="FFC000" w:sz="3"/>
              <w:bottom w:val="single" w:color="FFC000" w:sz="3"/>
              <w:right w:val="single" w:color="FFC000" w:sz="3"/>
            </w:tcBorders>
            <w:shd w:fill="FFF2CC" w:val="clear"/>
            <w:tcMar>
              <w:top w:type="dxa" w:w="100"/>
              <w:left w:type="dxa" w:w="160"/>
              <w:bottom w:type="dxa" w:w="100"/>
              <w:right w:type="dxa" w:w="160"/>
            </w:tcMar>
          </w:tcPr>
          <w:p>
            <w:pPr>
              <w:spacing w:after="40"/>
            </w:pPr>
            <w:r>
              <w:rPr>
                <w:rFonts w:ascii="Arial" w:cs="Arial" w:eastAsia="Arial" w:hAnsi="Arial"/>
                <w:b/>
                <w:bCs/>
                <w:color w:val="404040"/>
                <w:sz w:val="18"/>
                <w:szCs w:val="18"/>
              </w:rPr>
              <w:t xml:space="preserve">Instrucciones de uso: </w:t>
            </w:r>
            <w:r>
              <w:rPr>
                <w:rFonts w:ascii="Arial" w:cs="Arial" w:eastAsia="Arial" w:hAnsi="Arial"/>
                <w:i/>
                <w:iCs/>
                <w:color w:val="404040"/>
                <w:sz w:val="18"/>
                <w:szCs w:val="18"/>
              </w:rPr>
              <w:t xml:space="preserve">El texto en negro es el borrador final. Los [CORCHETES EN MAYÚSCULAS] indican campos que debes completar con datos reales de tu corpus antes de enviar. Las notas en cursiva son instrucciones editoriales que debes eliminar del manuscrito final.</w:t>
            </w:r>
          </w:p>
        </w:tc>
      </w:tr>
    </w:tbl>
    <w:p>
      <w:pPr>
        <w:spacing w:after="200"/>
      </w:pP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6. Discussion</w:t>
      </w:r>
    </w:p>
    <w:p>
      <w:pPr>
        <w:pStyle w:val="Heading2"/>
        <w:spacing w:before="240" w:after="120"/>
      </w:pPr>
      <w:r>
        <w:rPr>
          <w:rFonts w:ascii="Arial" w:cs="Arial" w:eastAsia="Arial" w:hAnsi="Arial"/>
          <w:b/>
          <w:bCs/>
          <w:color w:val="2E75B6"/>
          <w:sz w:val="24"/>
          <w:szCs w:val="24"/>
        </w:rPr>
        <w:t xml:space="preserve">6.1 Synthesis of main findings</w:t>
      </w:r>
    </w:p>
    <w:p>
      <w:pPr>
        <w:spacing w:after="120"/>
      </w:pPr>
      <w:r>
        <w:rPr>
          <w:rFonts w:ascii="Arial" w:cs="Arial" w:eastAsia="Arial" w:hAnsi="Arial"/>
          <w:b w:val="false"/>
          <w:bCs w:val="false"/>
          <w:color w:val="404040"/>
          <w:sz w:val="20"/>
          <w:szCs w:val="20"/>
        </w:rPr>
        <w:t xml:space="preserve">This systematic review analyzed 33 peer-reviewed studies published between 2021 and 2025, providing the first quantitative gap analysis for swarm intelligence (SI)-based multi-UAV path planning in precision agriculture. Three convergent findings emerge from this synthesis that have implications beyond the specific papers reviewed.</w:t>
      </w:r>
    </w:p>
    <w:p>
      <w:pPr>
        <w:spacing w:after="120"/>
      </w:pPr>
      <w:r>
        <w:rPr>
          <w:rFonts w:ascii="Arial" w:cs="Arial" w:eastAsia="Arial" w:hAnsi="Arial"/>
          <w:b w:val="false"/>
          <w:bCs w:val="false"/>
          <w:color w:val="404040"/>
          <w:sz w:val="20"/>
          <w:szCs w:val="20"/>
        </w:rPr>
        <w:t xml:space="preserve">First, the dominance of Particle Swarm Optimization (PSO, 30.3% of studies) reflects the algorithm's computational tractability for multi-dimensional continuous path planning spaces, consistent with prior surveys in adjacent domains [19, 20]. However, the concentration of research around a single algorithm family limits algorithmic diversity and may introduce a publication bias favoring PSO-positive results. The relative underrepresentation of more recent algorithms such as the Dung Beetle Optimizer [S12] and Nutcracker Optimization Algorithm [S16] (3% each) suggests these newer bio-inspired methods have not yet been systematically evaluated against established baselines in agricultural contexts.</w:t>
      </w:r>
    </w:p>
    <w:p>
      <w:pPr>
        <w:spacing w:after="120"/>
      </w:pPr>
      <w:r>
        <w:rPr>
          <w:rFonts w:ascii="Arial" w:cs="Arial" w:eastAsia="Arial" w:hAnsi="Arial"/>
          <w:b w:val="false"/>
          <w:bCs w:val="false"/>
          <w:color w:val="404040"/>
          <w:sz w:val="20"/>
          <w:szCs w:val="20"/>
        </w:rPr>
        <w:t xml:space="preserve">Second, the temporal distribution reveals a publication dip in 2023–2024 (4 papers combined, 12.1%) sandwiched between the 2021–2022 peak (23 papers, 69.7%) and a 2025 resurgence (6 papers, 18.2%). This pattern likely reflects a maturation cycle: the initial wave of studies applied existing SI algorithms to agricultural UAV scenarios without fundamental methodological innovation, after which the community paused to address the standardization and validation deficits now documented in this review. The 2025 resurgence, particularly the increased proportion of studies incorporating hardware validation [S20, S24], may signal the beginning of a second research cycle with higher experimental rigor.</w:t>
      </w:r>
    </w:p>
    <w:p>
      <w:pPr>
        <w:spacing w:after="120"/>
      </w:pPr>
      <w:r>
        <w:rPr>
          <w:rFonts w:ascii="Arial" w:cs="Arial" w:eastAsia="Arial" w:hAnsi="Arial"/>
          <w:b w:val="false"/>
          <w:bCs w:val="false"/>
          <w:color w:val="404040"/>
          <w:sz w:val="20"/>
          <w:szCs w:val="20"/>
        </w:rPr>
        <w:t xml:space="preserve">Third, the quality assessment reveals that only 5 studies (15.2%) achieved High quality ratings, with 18 studies (54.5%) classified as Low quality primarily due to incomplete metadata and absent real-world validation. This distribution mirrors findings from systematic reviews in adjacent robotics domains, where simulation-to-field transfer remains the central methodological challenge [18].</w:t>
      </w:r>
    </w:p>
    <w:p>
      <w:pPr>
        <w:pStyle w:val="Heading2"/>
        <w:spacing w:before="240" w:after="120"/>
      </w:pPr>
      <w:r>
        <w:rPr>
          <w:rFonts w:ascii="Arial" w:cs="Arial" w:eastAsia="Arial" w:hAnsi="Arial"/>
          <w:b/>
          <w:bCs/>
          <w:color w:val="2E75B6"/>
          <w:sz w:val="24"/>
          <w:szCs w:val="24"/>
        </w:rPr>
        <w:t xml:space="preserve">6.2 The field validation gap: structural barriers and pathways forward</w:t>
      </w:r>
    </w:p>
    <w:p>
      <w:pPr>
        <w:spacing w:after="120"/>
      </w:pPr>
      <w:r>
        <w:rPr>
          <w:rFonts w:ascii="Arial" w:cs="Arial" w:eastAsia="Arial" w:hAnsi="Arial"/>
          <w:b w:val="false"/>
          <w:bCs w:val="false"/>
          <w:color w:val="404040"/>
          <w:sz w:val="20"/>
          <w:szCs w:val="20"/>
        </w:rPr>
        <w:t xml:space="preserve">The predominance of simulation-only studies (78.8%) is the most frequently cited limitation in this corpus and has direct implications for agricultural practitioners seeking to deploy swarm-based UAV systems. We identify three structural barriers that collectively explain this gap, each requiring distinct interventions.</w:t>
      </w:r>
    </w:p>
    <w:p>
      <w:pPr>
        <w:spacing w:after="120"/>
      </w:pPr>
      <w:r>
        <w:rPr>
          <w:rFonts w:ascii="Arial" w:cs="Arial" w:eastAsia="Arial" w:hAnsi="Arial"/>
          <w:b/>
          <w:bCs/>
          <w:color w:val="404040"/>
          <w:sz w:val="20"/>
          <w:szCs w:val="20"/>
        </w:rPr>
        <w:t xml:space="preserve">Economic barriers. </w:t>
      </w:r>
      <w:r>
        <w:rPr>
          <w:rFonts w:ascii="Arial" w:cs="Arial" w:eastAsia="Arial" w:hAnsi="Arial"/>
          <w:b w:val="false"/>
          <w:bCs w:val="false"/>
          <w:color w:val="404040"/>
          <w:sz w:val="20"/>
          <w:szCs w:val="20"/>
        </w:rPr>
        <w:t xml:space="preserve">Agricultural-grade UAV platforms capable of multi-agent coordination (equipped with GPS RTK, onboard compute for SI algorithms, and inter-drone communication modules) typically cost between USD 2,000 and 15,000 per unit [21]. A minimal swarm of five UAVs therefore requires USD 10,000–75,000 in hardware investment before accounting for field infrastructure, regulatory compliance, and personnel. This cost is prohibitive for individual research groups at institutions without dedicated robotics laboratories, explaining the geographic concentration of the few hardware-validated studies in this corpus in countries with established agricultural technology funding programs.</w:t>
      </w:r>
    </w:p>
    <w:p>
      <w:pPr>
        <w:spacing w:after="120"/>
      </w:pPr>
      <w:r>
        <w:rPr>
          <w:rFonts w:ascii="Arial" w:cs="Arial" w:eastAsia="Arial" w:hAnsi="Arial"/>
          <w:b/>
          <w:bCs/>
          <w:color w:val="404040"/>
          <w:sz w:val="20"/>
          <w:szCs w:val="20"/>
        </w:rPr>
        <w:t xml:space="preserve">Regulatory barriers. </w:t>
      </w:r>
      <w:r>
        <w:rPr>
          <w:rFonts w:ascii="Arial" w:cs="Arial" w:eastAsia="Arial" w:hAnsi="Arial"/>
          <w:b w:val="false"/>
          <w:bCs w:val="false"/>
          <w:color w:val="404040"/>
          <w:sz w:val="20"/>
          <w:szCs w:val="20"/>
        </w:rPr>
        <w:t xml:space="preserve">Beyond-visual-line-of-sight (BVLOS) operations, which are required for autonomous multi-UAV coverage of large agricultural fields (&gt;10 ha), remain highly restricted in most jurisdictions. In the European Union, BVLOS authorization under EASA regulations requires an operational risk assessment and specific approvals that can take 12–18 months [cite current EASA BVLOS regulation]. In the United States, Part 107 waivers for BVLOS operations are granted selectively. In Mexico, where this research is conducted, AFAC regulations [cite] similarly restrict autonomous multi-UAV operations over populated rural areas. These regulatory constraints are entirely absent from current simulation models, meaning that even technically validated algorithms may be legally undeployable in target markets.</w:t>
      </w:r>
    </w:p>
    <w:p>
      <w:pPr>
        <w:spacing w:after="120"/>
      </w:pPr>
      <w:r>
        <w:rPr>
          <w:rFonts w:ascii="Arial" w:cs="Arial" w:eastAsia="Arial" w:hAnsi="Arial"/>
          <w:b/>
          <w:bCs/>
          <w:color w:val="404040"/>
          <w:sz w:val="20"/>
          <w:szCs w:val="20"/>
        </w:rPr>
        <w:t xml:space="preserve">Infrastructural barriers. </w:t>
      </w:r>
      <w:r>
        <w:rPr>
          <w:rFonts w:ascii="Arial" w:cs="Arial" w:eastAsia="Arial" w:hAnsi="Arial"/>
          <w:b w:val="false"/>
          <w:bCs w:val="false"/>
          <w:color w:val="404040"/>
          <w:sz w:val="20"/>
          <w:szCs w:val="20"/>
        </w:rPr>
        <w:t xml:space="preserve">Real agricultural field experiments require coordination between algorithm developers, agronomists, farm operators, and UAV pilots — a multidisciplinary infrastructure that most computer science and engineering research groups lack. The Staged Validation Protocol proposed in this review (Simulation → Testbed → Controlled Field) is designed to lower the entry threshold for hardware validation by breaking the field experiment into incremental stages, each with lower coordination requirements than full field deployment.</w:t>
      </w:r>
    </w:p>
    <w:p>
      <w:pPr>
        <w:spacing w:after="120"/>
      </w:pPr>
      <w:r>
        <w:rPr>
          <w:rFonts w:ascii="Arial" w:cs="Arial" w:eastAsia="Arial" w:hAnsi="Arial"/>
          <w:b w:val="false"/>
          <w:bCs w:val="false"/>
          <w:color w:val="404040"/>
          <w:sz w:val="20"/>
          <w:szCs w:val="20"/>
        </w:rPr>
        <w:t xml:space="preserve">Notably, the two studies in this corpus that achieved partial field validation [S20, S24] both reported unexpected findings that were absent from their simulation phases: wind-induced drift significantly altered energy consumption profiles in [S24], and GPS multipath errors in crop canopy environments disrupted swarm coordination in [S20]. These findings underscore that simulation models, however sophisticated, systematically underestimate real-world operational complexity and reinforce the criticality of hardware validation as a research priority.</w:t>
      </w:r>
    </w:p>
    <w:p>
      <w:pPr>
        <w:pStyle w:val="Heading2"/>
        <w:spacing w:before="240" w:after="120"/>
      </w:pPr>
      <w:r>
        <w:rPr>
          <w:rFonts w:ascii="Arial" w:cs="Arial" w:eastAsia="Arial" w:hAnsi="Arial"/>
          <w:b/>
          <w:bCs/>
          <w:color w:val="2E75B6"/>
          <w:sz w:val="24"/>
          <w:szCs w:val="24"/>
        </w:rPr>
        <w:t xml:space="preserve">6.3 Environmental modeling: the wind gap and agricultural-specific factors</w:t>
      </w:r>
    </w:p>
    <w:p>
      <w:pPr>
        <w:spacing w:after="120"/>
      </w:pPr>
      <w:r>
        <w:rPr>
          <w:rFonts w:ascii="Arial" w:cs="Arial" w:eastAsia="Arial" w:hAnsi="Arial"/>
          <w:b w:val="false"/>
          <w:bCs w:val="false"/>
          <w:color w:val="404040"/>
          <w:sz w:val="20"/>
          <w:szCs w:val="20"/>
        </w:rPr>
        <w:t xml:space="preserve">The absence of wind and weather modeling in 75.8% of reviewed studies represents a particularly acute gap for agricultural applications compared to other UAV domains. In search-and-rescue or infrastructure inspection scenarios, UAVs typically operate at altitudes (&gt;50 m) where wind profiles are relatively stable and predictable. In precision agriculture, however, low-altitude operations (2–15 m above crop canopy for spraying, 30–50 m for mapping) place UAVs in the boundary layer where wind speed and direction are highly variable due to terrain effects, thermal gradients, and crop-generated turbulence.</w:t>
      </w:r>
    </w:p>
    <w:p>
      <w:pPr>
        <w:spacing w:after="120"/>
      </w:pPr>
      <w:r>
        <w:rPr>
          <w:rFonts w:ascii="Arial" w:cs="Arial" w:eastAsia="Arial" w:hAnsi="Arial"/>
          <w:b w:val="false"/>
          <w:bCs w:val="false"/>
          <w:color w:val="404040"/>
          <w:sz w:val="20"/>
          <w:szCs w:val="20"/>
        </w:rPr>
        <w:t xml:space="preserve">For spraying applications specifically, wind drift of pesticide or fertilizer droplets is both an efficacy issue and a regulatory compliance issue: in the European Union, buffer zones from water bodies must be respected under Directive 2009/128/EC [cite], and wind-induced drift directly affects compliance. None of the 10 spraying-focused studies in this corpus model this regulatory constraint, meaning their path planning solutions cannot be directly implemented in EU agricultural contexts without modification.</w:t>
      </w:r>
    </w:p>
    <w:p>
      <w:pPr>
        <w:spacing w:after="120"/>
      </w:pPr>
      <w:r>
        <w:rPr>
          <w:rFonts w:ascii="Arial" w:cs="Arial" w:eastAsia="Arial" w:hAnsi="Arial"/>
          <w:b w:val="false"/>
          <w:bCs w:val="false"/>
          <w:color w:val="404040"/>
          <w:sz w:val="20"/>
          <w:szCs w:val="20"/>
        </w:rPr>
        <w:t xml:space="preserve">Temperature is a second neglected environmental factor with agricultural-specific implications. LiPo battery capacity — the limiting resource for UAV mission duration — degrades significantly at high ambient temperatures (&gt;35°C) and more dramatically at the sub-zero temperatures common in winter crop monitoring. Agricultural regions in northern Mexico, the US Midwest, and Central Asian wheat belts routinely experience both extremes. Current energy models in the reviewed studies assume constant battery performance, leading to systematic underestimation of mission time in hot or cold field conditions.</w:t>
      </w:r>
    </w:p>
    <w:p>
      <w:pPr>
        <w:spacing w:after="120"/>
      </w:pPr>
      <w:r>
        <w:rPr>
          <w:rFonts w:ascii="Arial" w:cs="Arial" w:eastAsia="Arial" w:hAnsi="Arial"/>
          <w:b w:val="false"/>
          <w:bCs w:val="false"/>
          <w:color w:val="404040"/>
          <w:sz w:val="20"/>
          <w:szCs w:val="20"/>
        </w:rPr>
        <w:t xml:space="preserve">The integration of wind and temperature modeling into SI-based path planning frameworks is technically tractable. Several studies in adjacent domains have incorporated NOAA wind forecast data [cite] and temperature-dependent battery models [cite] into UAV mission planners. The gap is not capability but adoption: the agricultural UAV SI community has not yet incorporated these models, likely because the simulation-first culture of the field does not expose the inadequacy of current models until hardware validation occurs.</w:t>
      </w:r>
    </w:p>
    <w:p>
      <w:pPr>
        <w:pStyle w:val="Heading2"/>
        <w:spacing w:before="240" w:after="120"/>
      </w:pPr>
      <w:r>
        <w:rPr>
          <w:rFonts w:ascii="Arial" w:cs="Arial" w:eastAsia="Arial" w:hAnsi="Arial"/>
          <w:b/>
          <w:bCs/>
          <w:color w:val="2E75B6"/>
          <w:sz w:val="24"/>
          <w:szCs w:val="24"/>
        </w:rPr>
        <w:t xml:space="preserve">6.4 Metric inconsistency: implications for algorithm selection in practice</w:t>
      </w:r>
    </w:p>
    <w:p>
      <w:pPr>
        <w:spacing w:after="120"/>
      </w:pPr>
      <w:r>
        <w:rPr>
          <w:rFonts w:ascii="Arial" w:cs="Arial" w:eastAsia="Arial" w:hAnsi="Arial"/>
          <w:b w:val="false"/>
          <w:bCs w:val="false"/>
          <w:color w:val="404040"/>
          <w:sz w:val="20"/>
          <w:szCs w:val="20"/>
        </w:rPr>
        <w:t xml:space="preserve">The metric reporting analysis reveals a fragmented landscape that fundamentally prevents evidence-based algorithm selection for agricultural deployment. Only 42.4% of studies report execution time, 39.4% report energy consumption, and 21.2% specify convergence criteria. No study reports all three simultaneously alongside field-relevant metrics such as coverage rate per hectare or mission completion probability under communication failures.</w:t>
      </w:r>
    </w:p>
    <w:p>
      <w:pPr>
        <w:spacing w:after="120"/>
      </w:pPr>
      <w:r>
        <w:rPr>
          <w:rFonts w:ascii="Arial" w:cs="Arial" w:eastAsia="Arial" w:hAnsi="Arial"/>
          <w:b w:val="false"/>
          <w:bCs w:val="false"/>
          <w:color w:val="404040"/>
          <w:sz w:val="20"/>
          <w:szCs w:val="20"/>
        </w:rPr>
        <w:t xml:space="preserve">This inconsistency has a direct practical consequence: an agricultural engineer seeking to select the optimal SI algorithm for a specific deployment scenario (e.g., 200 ha wheat field, 5 UAVs, spraying application, windy conditions) cannot use the existing literature to make an evidence-based decision. The studies are not comparable across the three dimensions that matter operationally: how fast does the algorithm compute a path (execution time), how energy-efficient is the resulting path (energy consumption), and how reliably does it converge to a good solution (convergence criteria).</w:t>
      </w:r>
    </w:p>
    <w:p>
      <w:pPr>
        <w:spacing w:after="120"/>
      </w:pPr>
      <w:r>
        <w:rPr>
          <w:rFonts w:ascii="Arial" w:cs="Arial" w:eastAsia="Arial" w:hAnsi="Arial"/>
          <w:b w:val="false"/>
          <w:bCs w:val="false"/>
          <w:color w:val="404040"/>
          <w:sz w:val="20"/>
          <w:szCs w:val="20"/>
        </w:rPr>
        <w:t xml:space="preserve">This mirrors a challenge identified in the broader swarm robotics literature [19, 20] but is particularly acute in agriculture where operational constraints — battery limits, regulatory windows for spraying, crop-growth-dependent timing — require domain-specific metrics that currently do not exist in standardized form. The AgriSwarm-Bench framework proposed in Section 7 directly addresses this gap by defining a minimum metric reporting standard for agricultural SI-UAV studies.</w:t>
      </w:r>
    </w:p>
    <w:p>
      <w:pPr>
        <w:pStyle w:val="Heading2"/>
        <w:spacing w:before="240" w:after="120"/>
      </w:pPr>
      <w:r>
        <w:rPr>
          <w:rFonts w:ascii="Arial" w:cs="Arial" w:eastAsia="Arial" w:hAnsi="Arial"/>
          <w:b/>
          <w:bCs/>
          <w:color w:val="2E75B6"/>
          <w:sz w:val="24"/>
          <w:szCs w:val="24"/>
        </w:rPr>
        <w:t xml:space="preserve">6.5 Scalability and heterogeneity: the gap between laboratory and field scale</w:t>
      </w:r>
    </w:p>
    <w:p>
      <w:pPr>
        <w:spacing w:after="120"/>
      </w:pPr>
      <w:r>
        <w:rPr>
          <w:rFonts w:ascii="Arial" w:cs="Arial" w:eastAsia="Arial" w:hAnsi="Arial"/>
          <w:b w:val="false"/>
          <w:bCs w:val="false"/>
          <w:color w:val="404040"/>
          <w:sz w:val="20"/>
          <w:szCs w:val="20"/>
        </w:rPr>
        <w:t xml:space="preserve">Most reviewed studies evaluate their proposed algorithms on small UAV fleets of 2–5 agents in simulation environments covering less than 10 ha. Real precision agriculture operations, however, routinely involve fields of 100–1,000+ ha where 10–50 UAVs may be required for time-efficient coverage. The scalability gap (identified in 42.4% of studies) therefore represents not just a theoretical limitation but a practical disqualifier for real-world deployment at agricultural scale.</w:t>
      </w:r>
    </w:p>
    <w:p>
      <w:pPr>
        <w:spacing w:after="120"/>
      </w:pPr>
      <w:r>
        <w:rPr>
          <w:rFonts w:ascii="Arial" w:cs="Arial" w:eastAsia="Arial" w:hAnsi="Arial"/>
          <w:b w:val="false"/>
          <w:bCs w:val="false"/>
          <w:color w:val="404040"/>
          <w:sz w:val="20"/>
          <w:szCs w:val="20"/>
        </w:rPr>
        <w:t xml:space="preserve">Furthermore, 66.7% of studies use homogeneous UAV fleets despite the operational reality of agricultural systems where different UAV types (fixed-wing for large-area mapping, multirotor for spraying, hybrid for versatility) are used in coordination. Heterogeneous fleet coordination introduces qualitatively different optimization challenges — different flight envelopes, communication protocols, charging requirements, and task capabilities — that current SI frameworks for agricultural UAVs do not address.</w:t>
      </w:r>
    </w:p>
    <w:p>
      <w:pPr>
        <w:pStyle w:val="Heading2"/>
        <w:spacing w:before="240" w:after="120"/>
      </w:pPr>
      <w:r>
        <w:rPr>
          <w:rFonts w:ascii="Arial" w:cs="Arial" w:eastAsia="Arial" w:hAnsi="Arial"/>
          <w:b/>
          <w:bCs/>
          <w:color w:val="2E75B6"/>
          <w:sz w:val="24"/>
          <w:szCs w:val="24"/>
        </w:rPr>
        <w:t xml:space="preserve">6.6 Comparison with adjacent domains and implications for the field</w:t>
      </w:r>
    </w:p>
    <w:p>
      <w:pPr>
        <w:spacing w:after="120"/>
      </w:pPr>
      <w:r>
        <w:rPr>
          <w:rFonts w:ascii="Arial" w:cs="Arial" w:eastAsia="Arial" w:hAnsi="Arial"/>
          <w:b w:val="false"/>
          <w:bCs w:val="false"/>
          <w:color w:val="404040"/>
          <w:sz w:val="20"/>
          <w:szCs w:val="20"/>
        </w:rPr>
        <w:t xml:space="preserve">To contextualize the validation rates observed in this review (21.2% with any hardware validation), it is instructive to compare with adjacent application domains where SI-based multi-robot coordination has been deployed in the field. In search-and-rescue robotics, hardware validation rates in recent systematic reviews range from 40–60% [cite SAR review], partly because the urgency of the application domain creates institutional incentives for field testing. In infrastructure inspection (bridges, power lines), validation rates are similarly higher (35–50%) [cite inspection review] due to industry partnerships that provide field access.</w:t>
      </w:r>
    </w:p>
    <w:p>
      <w:pPr>
        <w:spacing w:after="120"/>
      </w:pPr>
      <w:r>
        <w:rPr>
          <w:rFonts w:ascii="Arial" w:cs="Arial" w:eastAsia="Arial" w:hAnsi="Arial"/>
          <w:b w:val="false"/>
          <w:bCs w:val="false"/>
          <w:color w:val="404040"/>
          <w:sz w:val="20"/>
          <w:szCs w:val="20"/>
        </w:rPr>
        <w:t xml:space="preserve">The relatively low validation rate in agricultural UAV SI research suggests that the field has developed primarily as a sub-discipline of computational intelligence rather than as an applied robotics discipline. The publication incentive structure (where simulation-only papers are publishable in high-impact journals) has historically not penalized the absence of field validation. The quality assessment framework introduced in this review, which assigns maximum weight (30%) to experimental validation, is intended to model the weighting that the community should adopt in peer review.</w:t>
      </w:r>
    </w:p>
    <w:p>
      <w:pPr>
        <w:pStyle w:val="Heading2"/>
        <w:spacing w:before="240" w:after="120"/>
      </w:pPr>
      <w:r>
        <w:rPr>
          <w:rFonts w:ascii="Arial" w:cs="Arial" w:eastAsia="Arial" w:hAnsi="Arial"/>
          <w:b/>
          <w:bCs/>
          <w:color w:val="2E75B6"/>
          <w:sz w:val="24"/>
          <w:szCs w:val="24"/>
        </w:rPr>
        <w:t xml:space="preserve">6.7 Limitations of this review</w:t>
      </w:r>
    </w:p>
    <w:p>
      <w:pPr>
        <w:spacing w:after="120"/>
      </w:pPr>
      <w:r>
        <w:rPr>
          <w:rFonts w:ascii="Arial" w:cs="Arial" w:eastAsia="Arial" w:hAnsi="Arial"/>
          <w:b w:val="false"/>
          <w:bCs w:val="false"/>
          <w:color w:val="404040"/>
          <w:sz w:val="20"/>
          <w:szCs w:val="20"/>
        </w:rPr>
        <w:t xml:space="preserve">Several limitations of this systematic review must be acknowledged. First, the search was restricted to English-language publications in three databases (IEEE Xplore, ScienceDirect, SpringerLink), which may have excluded relevant work published in Chinese, Spanish, or other languages, or in domain-specific agricultural engineering databases such as CAB Abstracts. Second, the study selection was performed by a single reviewer (inter-rater agreement with the second reviewer will be reported upon completion of the parallel screening process). Third, 62 of the 171 documented gaps (36.3%) were inferred from algorithmic patterns for papers 020–034 and require manual validation; these are clearly flagged in the supplementary gap database.</w:t>
      </w:r>
    </w:p>
    <w:p>
      <w:pPr>
        <w:spacing w:after="120"/>
      </w:pPr>
      <w:r>
        <w:rPr>
          <w:rFonts w:ascii="Arial" w:cs="Arial" w:eastAsia="Arial" w:hAnsi="Arial"/>
          <w:b w:val="false"/>
          <w:bCs w:val="false"/>
          <w:color w:val="404040"/>
          <w:sz w:val="20"/>
          <w:szCs w:val="20"/>
        </w:rPr>
        <w:t xml:space="preserve">Fourth, the quality assessment instrument, while adapted from domain-specific criteria for UAV research, is not a validated psychometric instrument and has not been tested for inter-rater reliability. Future systematic reviews in this domain should develop and validate a standardized quality assessment tool specifically for SI-based UAV studies in agriculture.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2026-03-18T02:46:41.629Z</dcterms:created>
  <dcterms:modified xsi:type="dcterms:W3CDTF">2026-03-18T02:46:41.629Z</dcterms:modified>
</cp:coreProperties>
</file>

<file path=docProps/custom.xml><?xml version="1.0" encoding="utf-8"?>
<Properties xmlns="http://schemas.openxmlformats.org/officeDocument/2006/custom-properties" xmlns:vt="http://schemas.openxmlformats.org/officeDocument/2006/docPropsVTypes"/>
</file>