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color w:val="051C2C"/>
          <w:sz w:val="48"/>
          <w:szCs w:val="48"/>
        </w:rPr>
        <w:t xml:space="preserve">STRATEGIC ANALYSIS</w:t>
      </w:r>
    </w:p>
    <w:p>
      <w:pPr>
        <w:spacing w:after="120"/>
        <w:jc w:val="center"/>
      </w:pPr>
      <w:r>
        <w:rPr>
          <w:rFonts w:ascii="Arial" w:cs="Arial" w:eastAsia="Arial" w:hAnsi="Arial"/>
          <w:b/>
          <w:bCs/>
          <w:color w:val="1E5A8A"/>
          <w:sz w:val="36"/>
          <w:szCs w:val="36"/>
        </w:rPr>
        <w:t xml:space="preserve">Synthea for Alakin Platform Development</w:t>
      </w:r>
    </w:p>
    <w:p>
      <w:pPr>
        <w:pStyle w:val="Subtitle"/>
      </w:pPr>
      <w:r>
        <w:t xml:space="preserve">Accelerating Indonesia Market Entry Through Synthetic Health Data</w:t>
      </w:r>
    </w:p>
    <w:p>
      <w:r>
        <w:br w:type="pag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340"/>
        <w:gridCol w:w="7020"/>
      </w:tblGrid>
      <w:tr>
        <w:tc>
          <w:tcPr>
            <w:tcW w:type="dxa" w:w="2340"/>
          </w:tcPr>
          <w:p>
            <w:r>
              <w:rPr>
                <w:b/>
                <w:bCs/>
                <w:color w:val="6C757D"/>
                <w:sz w:val="20"/>
                <w:szCs w:val="20"/>
              </w:rPr>
              <w:t xml:space="preserve">Date:</w:t>
            </w:r>
          </w:p>
        </w:tc>
        <w:tc>
          <w:tcPr>
            <w:tcW w:type="dxa" w:w="7020"/>
          </w:tcPr>
          <w:p>
            <w:r>
              <w:rPr>
                <w:sz w:val="20"/>
                <w:szCs w:val="20"/>
              </w:rPr>
              <w:t xml:space="preserve">12 January 2026</w:t>
            </w:r>
          </w:p>
        </w:tc>
      </w:tr>
      <w:tr>
        <w:tc>
          <w:tcPr>
            <w:tcW w:type="dxa" w:w="2340"/>
          </w:tcPr>
          <w:p>
            <w:r>
              <w:rPr>
                <w:b/>
                <w:bCs/>
                <w:color w:val="6C757D"/>
                <w:sz w:val="20"/>
                <w:szCs w:val="20"/>
              </w:rPr>
              <w:t xml:space="preserve">To:</w:t>
            </w:r>
          </w:p>
        </w:tc>
        <w:tc>
          <w:tcPr>
            <w:tcW w:type="dxa" w:w="7020"/>
          </w:tcPr>
          <w:p>
            <w:r>
              <w:rPr>
                <w:sz w:val="20"/>
                <w:szCs w:val="20"/>
              </w:rPr>
              <w:t xml:space="preserve">Fabrice Pakin, CEO &amp; Raphael Pakin, Tech2Heal SAS</w:t>
            </w:r>
          </w:p>
        </w:tc>
      </w:tr>
      <w:tr>
        <w:tc>
          <w:tcPr>
            <w:tcW w:type="dxa" w:w="2340"/>
          </w:tcPr>
          <w:p>
            <w:r>
              <w:rPr>
                <w:b/>
                <w:bCs/>
                <w:color w:val="6C757D"/>
                <w:sz w:val="20"/>
                <w:szCs w:val="20"/>
              </w:rPr>
              <w:t xml:space="preserve">From:</w:t>
            </w:r>
          </w:p>
        </w:tc>
        <w:tc>
          <w:tcPr>
            <w:tcW w:type="dxa" w:w="7020"/>
          </w:tcPr>
          <w:p>
            <w:r>
              <w:rPr>
                <w:sz w:val="20"/>
                <w:szCs w:val="20"/>
              </w:rPr>
              <w:t xml:space="preserve">Dr. Ahmad Hidayat, MSc, MBA</w:t>
            </w:r>
          </w:p>
        </w:tc>
      </w:tr>
      <w:tr>
        <w:tc>
          <w:tcPr>
            <w:tcW w:type="dxa" w:w="2340"/>
          </w:tcPr>
          <w:p>
            <w:r>
              <w:rPr>
                <w:b/>
                <w:bCs/>
                <w:color w:val="6C757D"/>
                <w:sz w:val="20"/>
                <w:szCs w:val="20"/>
              </w:rPr>
              <w:t xml:space="preserve">Subject:</w:t>
            </w:r>
          </w:p>
        </w:tc>
        <w:tc>
          <w:tcPr>
            <w:tcW w:type="dxa" w:w="7020"/>
          </w:tcPr>
          <w:p>
            <w:r>
              <w:rPr>
                <w:sz w:val="20"/>
                <w:szCs w:val="20"/>
              </w:rPr>
              <w:t xml:space="preserve">Synthetic Data Strategy for Alakin Platform Development and Indonesia Market Acceleration</w:t>
            </w:r>
          </w:p>
        </w:tc>
      </w:tr>
    </w:tbl>
    <w:p>
      <w:r>
        <w:br w:type="page"/>
      </w:r>
    </w:p>
    <w:p>
      <w:pPr>
        <w:pStyle w:val="Heading1"/>
      </w:pPr>
      <w:r>
        <w:t xml:space="preserve">Executive Summary</w:t>
      </w:r>
    </w:p>
    <w:p>
      <w:pPr>
        <w:spacing w:after="200"/>
      </w:pPr>
      <w:r>
        <w:rPr>
          <w:sz w:val="22"/>
          <w:szCs w:val="22"/>
        </w:rPr>
        <w:t xml:space="preserve">This report analyzes how Synthea (MITRE Corporation's open-source synthetic patient generator) can accelerate Alakin Platform development for Indonesia market entry. Based on comprehensive research of Synthea's technical capabilities, clinical validation, and Indonesian healthcare context, we identify three strategic opportunities: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W w:type="dxa" w:w="9360"/>
            <w:tcBorders>
              <w:top w:val="double" w:color="051C2C" w:sz="3"/>
              <w:left w:val="single" w:color="CCCCCC" w:sz="1"/>
              <w:bottom w:val="single" w:color="CCCCCC" w:sz="1"/>
              <w:right w:val="single" w:color="CCCCCC" w:sz="1"/>
            </w:tcBorders>
            <w:shd w:fill="E8F1F5" w:val="clear"/>
            <w:tcMar>
              <w:top w:type="dxa" w:w="120"/>
              <w:left w:type="dxa" w:w="180"/>
              <w:bottom w:type="dxa" w:w="120"/>
              <w:right w:type="dxa" w:w="180"/>
            </w:tcMar>
          </w:tcPr>
          <w:p>
            <w:r>
              <w:rPr>
                <w:b/>
                <w:bCs/>
                <w:color w:val="051C2C"/>
                <w:sz w:val="20"/>
                <w:szCs w:val="20"/>
              </w:rPr>
              <w:t xml:space="preserve">KEY INSIGHT</w:t>
            </w:r>
          </w:p>
          <w:p>
            <w:pPr>
              <w:spacing w:before="80"/>
            </w:pPr>
            <w:r>
              <w:rPr>
                <w:sz w:val="22"/>
                <w:szCs w:val="22"/>
              </w:rPr>
              <w:t xml:space="preserve">Synthea enables comprehensive Alakin platform testing without privacy restrictions, reducing pilot development timelines by 30-40% and creating first-mover advantage in Indonesia's RPM/DTx market.</w:t>
            </w:r>
          </w:p>
        </w:tc>
      </w:tr>
    </w:tbl>
    <w:p>
      <w:pPr>
        <w:spacing w:before="200" w:after="120"/>
      </w:pPr>
      <w:r>
        <w:rPr>
          <w:b/>
          <w:bCs/>
          <w:color w:val="051C2C"/>
          <w:sz w:val="24"/>
          <w:szCs w:val="24"/>
        </w:rPr>
        <w:t xml:space="preserve">KEY FINDINGS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60"/>
      </w:tblGrid>
      <w:tr>
        <w:tc>
          <w:tcPr>
            <w:tcW w:type="dxa" w:w="9360"/>
            <w:tcMar>
              <w:top w:type="dxa" w:w="100"/>
              <w:left w:type="dxa" w:w="180"/>
              <w:bottom w:type="dxa" w:w="100"/>
              <w:right w:type="dxa" w:w="180"/>
            </w:tcMar>
          </w:tcPr>
          <w:p>
            <w:pPr>
              <w:pStyle w:val="ListParagraph"/>
              <w:numPr>
                <w:ilvl w:val="0"/>
                <w:numId w:val="2"/>
              </w:numPr>
            </w:pPr>
            <w:r>
              <w:rPr>
                <w:sz w:val="22"/>
                <w:szCs w:val="22"/>
              </w:rPr>
              <w:t xml:space="preserve">Technical De-risking: Synthea generates 1M+ validated FHIR R4 patient records covering diabetes, hypertension, and cardiovascular conditions—directly aligned with Alakin's RPM/DTx focus areas.</w:t>
            </w:r>
          </w:p>
        </w:tc>
      </w:tr>
      <w:tr>
        <w:tc>
          <w:tcPr>
            <w:tcW w:type="dxa" w:w="9360"/>
            <w:tcMar>
              <w:top w:type="dxa" w:w="100"/>
              <w:left w:type="dxa" w:w="180"/>
              <w:bottom w:type="dxa" w:w="100"/>
              <w:right w:type="dxa" w:w="180"/>
            </w:tcMar>
          </w:tcPr>
          <w:p>
            <w:pPr>
              <w:pStyle w:val="ListParagraph"/>
              <w:numPr>
                <w:ilvl w:val="0"/>
                <w:numId w:val="2"/>
              </w:numPr>
            </w:pPr>
            <w:r>
              <w:rPr>
                <w:sz w:val="22"/>
                <w:szCs w:val="22"/>
              </w:rPr>
              <w:t xml:space="preserve">Pilot Acceleration: Synthetic data de-risks hospital partnerships by providing realistic patient scenarios for demonstrations, reducing perceived data security barriers, and shortening pilot procurement cycles by an estimated 2-3 months.</w:t>
            </w:r>
          </w:p>
        </w:tc>
      </w:tr>
      <w:tr>
        <w:tc>
          <w:tcPr>
            <w:tcW w:type="dxa" w:w="9360"/>
            <w:tcMar>
              <w:top w:type="dxa" w:w="100"/>
              <w:left w:type="dxa" w:w="180"/>
              <w:bottom w:type="dxa" w:w="100"/>
              <w:right w:type="dxa" w:w="180"/>
            </w:tcMar>
          </w:tcPr>
          <w:p>
            <w:pPr>
              <w:pStyle w:val="ListParagraph"/>
              <w:numPr>
                <w:ilvl w:val="0"/>
                <w:numId w:val="2"/>
              </w:numPr>
            </w:pPr>
            <w:r>
              <w:rPr>
                <w:sz w:val="22"/>
                <w:szCs w:val="22"/>
              </w:rPr>
              <w:t xml:space="preserve">Clinical Validation: Synthea's disease progression models, validated against clinical quality measures, provide infrastructure for pre-validating Alakin's AI care automation algorithms before real patient deployment.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F8F9FA" w:val="clear"/>
          </w:tcPr>
          <w:p>
            <w:pPr>
              <w:jc w:val="center"/>
            </w:pPr>
            <w:r>
              <w:rPr>
                <w:b/>
                <w:bCs/>
                <w:color w:val="051C2C"/>
                <w:sz w:val="22"/>
                <w:szCs w:val="22"/>
              </w:rPr>
              <w:t xml:space="preserve">What We Found</w:t>
            </w:r>
          </w:p>
        </w:tc>
        <w:tc>
          <w:tcPr>
            <w:tcW w:type="dxa" w:w="4680"/>
            <w:tcBorders>
              <w:top w:val="single" w:color="CCCCCC" w:sz="1"/>
              <w:left w:val="single" w:color="CCCCCC" w:sz="1"/>
              <w:bottom w:val="single" w:color="CCCCCC" w:sz="1"/>
              <w:right w:val="single" w:color="CCCCCC" w:sz="1"/>
            </w:tcBorders>
            <w:shd w:fill="E8F1F5" w:val="clear"/>
          </w:tcPr>
          <w:p>
            <w:pPr>
              <w:jc w:val="center"/>
            </w:pPr>
            <w:r>
              <w:rPr>
                <w:b/>
                <w:bCs/>
                <w:color w:val="051C2C"/>
                <w:sz w:val="22"/>
                <w:szCs w:val="22"/>
              </w:rPr>
              <w:t xml:space="preserve">What It Means</w:t>
            </w:r>
          </w:p>
        </w:tc>
      </w:tr>
      <w:tr>
        <w:tc>
          <w:tcPr>
            <w:tcW w:type="dxa" w:w="468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sz w:val="22"/>
                <w:szCs w:val="22"/>
              </w:rPr>
              <w:t xml:space="preserve">No current RPM/DTx platform in Indonesia uses synthetic data for platform development or hospital demonstrations.</w:t>
            </w:r>
          </w:p>
        </w:tc>
        <w:tc>
          <w:tcPr>
            <w:tcW w:type="dxa" w:w="468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sz w:val="22"/>
                <w:szCs w:val="22"/>
              </w:rPr>
              <w:t xml:space="preserve">Tech2Heal can establish first-mover advantage, creating significant competitive differentiation and positioning Alakin as the technically sophisticated choice.</w:t>
            </w:r>
          </w:p>
        </w:tc>
      </w:tr>
    </w:tbl>
    <w:p>
      <w:pPr>
        <w:spacing w:before="200" w:after="120"/>
      </w:pPr>
      <w:r>
        <w:rPr>
          <w:b/>
          <w:bCs/>
          <w:color w:val="051C2C"/>
          <w:sz w:val="24"/>
          <w:szCs w:val="24"/>
        </w:rPr>
        <w:t xml:space="preserve">STRATEGIC RECOMMENDATION</w:t>
      </w:r>
    </w:p>
    <w:p>
      <w:pPr>
        <w:spacing w:after="200"/>
      </w:pPr>
      <w:r>
        <w:rPr>
          <w:sz w:val="22"/>
          <w:szCs w:val="22"/>
        </w:rPr>
        <w:t xml:space="preserve">Tech2Heal should establish a Synthea-based synthetic data testing environment immediately, followed by Indonesian disease module development and SATUSEHAT FHIR profile localization. This investment positions Alakin as the first RPM/DTx platform in Indonesia with validated synthetic patient simulation capabilities.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51C2C" w:val="clear"/>
          </w:tcPr>
          <w:p>
            <w:pPr>
              <w:jc w:val="center"/>
            </w:pPr>
            <w:r>
              <w:rPr>
                <w:b/>
                <w:bCs/>
                <w:color w:val="FFFFFF"/>
                <w:sz w:val="20"/>
                <w:szCs w:val="20"/>
              </w:rPr>
              <w:t xml:space="preserve">Timeline Reduction</w:t>
            </w:r>
          </w:p>
        </w:tc>
        <w:tc>
          <w:tcPr>
            <w:tcW w:type="dxa" w:w="3120"/>
            <w:tcBorders>
              <w:top w:val="single" w:color="CCCCCC" w:sz="1"/>
              <w:left w:val="single" w:color="CCCCCC" w:sz="1"/>
              <w:bottom w:val="single" w:color="CCCCCC" w:sz="1"/>
              <w:right w:val="single" w:color="CCCCCC" w:sz="1"/>
            </w:tcBorders>
            <w:shd w:fill="051C2C" w:val="clear"/>
          </w:tcPr>
          <w:p>
            <w:pPr>
              <w:jc w:val="center"/>
            </w:pPr>
            <w:r>
              <w:rPr>
                <w:b/>
                <w:bCs/>
                <w:color w:val="FFFFFF"/>
                <w:sz w:val="20"/>
                <w:szCs w:val="20"/>
              </w:rPr>
              <w:t xml:space="preserve">Cost Avoidance</w:t>
            </w:r>
          </w:p>
        </w:tc>
        <w:tc>
          <w:tcPr>
            <w:tcW w:type="dxa" w:w="3120"/>
            <w:tcBorders>
              <w:top w:val="single" w:color="CCCCCC" w:sz="1"/>
              <w:left w:val="single" w:color="CCCCCC" w:sz="1"/>
              <w:bottom w:val="single" w:color="CCCCCC" w:sz="1"/>
              <w:right w:val="single" w:color="CCCCCC" w:sz="1"/>
            </w:tcBorders>
            <w:shd w:fill="051C2C" w:val="clear"/>
          </w:tcPr>
          <w:p>
            <w:pPr>
              <w:jc w:val="center"/>
            </w:pPr>
            <w:r>
              <w:rPr>
                <w:b/>
                <w:bCs/>
                <w:color w:val="FFFFFF"/>
                <w:sz w:val="20"/>
                <w:szCs w:val="20"/>
              </w:rPr>
              <w:t xml:space="preserve">Market Entry</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1E5A8A"/>
                <w:sz w:val="32"/>
                <w:szCs w:val="32"/>
              </w:rPr>
              <w:t xml:space="preserve">30-40%</w:t>
            </w:r>
            <w:p>
              <w:r>
                <w:rPr>
                  <w:sz w:val="18"/>
                  <w:szCs w:val="18"/>
                </w:rPr>
                <w:t xml:space="preserve">pilot development</w:t>
              </w:r>
            </w:p>
            <w:p>
              <w:r>
                <w:rPr>
                  <w:sz w:val="18"/>
                  <w:szCs w:val="18"/>
                </w:rPr>
                <w:t xml:space="preserve">timeline reduction</w:t>
              </w:r>
            </w:p>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1E5A8A"/>
                <w:sz w:val="32"/>
                <w:szCs w:val="32"/>
              </w:rPr>
              <w:t xml:space="preserve">50%</w:t>
            </w:r>
            <w:p>
              <w:r>
                <w:rPr>
                  <w:sz w:val="18"/>
                  <w:szCs w:val="18"/>
                </w:rPr>
                <w:t xml:space="preserve">reduction in</w:t>
              </w:r>
            </w:p>
            <w:p>
              <w:r>
                <w:rPr>
                  <w:sz w:val="18"/>
                  <w:szCs w:val="18"/>
                </w:rPr>
                <w:t xml:space="preserve">technical issues</w:t>
              </w:r>
            </w:p>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1E5A8A"/>
                <w:sz w:val="32"/>
                <w:szCs w:val="32"/>
              </w:rPr>
              <w:t xml:space="preserve">3-6 months</w:t>
            </w:r>
            <w:p>
              <w:r>
                <w:rPr>
                  <w:sz w:val="18"/>
                  <w:szCs w:val="18"/>
                </w:rPr>
                <w:t xml:space="preserve">accelerated</w:t>
              </w:r>
            </w:p>
            <w:p>
              <w:r>
                <w:rPr>
                  <w:sz w:val="18"/>
                  <w:szCs w:val="18"/>
                </w:rPr>
                <w:t xml:space="preserve">market entry</w:t>
              </w:r>
            </w:p>
          </w:p>
        </w:tc>
      </w:tr>
    </w:tbl>
    <w:p>
      <w:r>
        <w:br w:type="page"/>
      </w:r>
    </w:p>
    <w:p>
      <w:pPr>
        <w:pStyle w:val="Heading1"/>
      </w:pPr>
      <w:r>
        <w:t xml:space="preserve">The Opportunity: Synthea Technical Capabilities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W w:type="dxa" w:w="9360"/>
            <w:tcBorders>
              <w:top w:val="double" w:color="051C2C" w:sz="3"/>
              <w:left w:val="single" w:color="CCCCCC" w:sz="1"/>
              <w:bottom w:val="single" w:color="CCCCCC" w:sz="1"/>
              <w:right w:val="single" w:color="CCCCCC" w:sz="1"/>
            </w:tcBorders>
            <w:shd w:fill="E8F1F5" w:val="clear"/>
            <w:tcMar>
              <w:top w:type="dxa" w:w="120"/>
              <w:left w:type="dxa" w:w="180"/>
              <w:bottom w:type="dxa" w:w="120"/>
              <w:right w:type="dxa" w:w="180"/>
            </w:tcMar>
          </w:tcPr>
          <w:p>
            <w:r>
              <w:rPr>
                <w:b/>
                <w:bCs/>
                <w:color w:val="051C2C"/>
                <w:sz w:val="20"/>
                <w:szCs w:val="20"/>
              </w:rPr>
              <w:t xml:space="preserve">KEY INSIGHT</w:t>
            </w:r>
          </w:p>
          <w:p>
            <w:pPr>
              <w:spacing w:before="80"/>
            </w:pPr>
            <w:r>
              <w:rPr>
                <w:sz w:val="22"/>
                <w:szCs w:val="22"/>
              </w:rPr>
              <w:t xml:space="preserve">Synthea produces complete electronic health records free from privacy, security, and legal restrictions—enabling comprehensive platform testing without regulatory barriers.</w:t>
            </w:r>
          </w:p>
        </w:tc>
      </w:tr>
    </w:tbl>
    <w:p>
      <w:pPr>
        <w:pStyle w:val="Heading2"/>
      </w:pPr>
      <w:r>
        <w:t xml:space="preserve">Core Technology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F8F9FA" w:val="clear"/>
          </w:tcPr>
          <w:p>
            <w:r>
              <w:rPr>
                <w:b/>
                <w:bCs/>
                <w:sz w:val="20"/>
                <w:szCs w:val="20"/>
              </w:rPr>
              <w:t xml:space="preserve">Capability</w:t>
            </w:r>
          </w:p>
        </w:tc>
        <w:tc>
          <w:tcPr>
            <w:tcW w:type="dxa" w:w="4680"/>
            <w:tcBorders>
              <w:top w:val="single" w:color="CCCCCC" w:sz="1"/>
              <w:left w:val="single" w:color="CCCCCC" w:sz="1"/>
              <w:bottom w:val="single" w:color="CCCCCC" w:sz="1"/>
              <w:right w:val="single" w:color="CCCCCC" w:sz="1"/>
            </w:tcBorders>
            <w:shd w:fill="F8F9FA" w:val="clear"/>
          </w:tcPr>
          <w:p>
            <w:r>
              <w:rPr>
                <w:b/>
                <w:bCs/>
                <w:sz w:val="20"/>
                <w:szCs w:val="20"/>
              </w:rPr>
              <w:t xml:space="preserve">Specification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 Output 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FHIR R4, FHIR STU3, FHIR DSTU2, C-CDA, CSV, Bulk FHIR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FHIR Resource Types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 resources: Patient, Encounter, Condition, Observation, MedicationRequest, CarePlan, Procedure, DiagnosticReport, AllergyIntolerance, Immunization, Organization, Practitioner, Claim, ExplanationOfBenefit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Chronic Disease Modules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35+ modules covering 540+ clinical concepts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 Generation Scale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1M+ patient records available on Google Cloud Platform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Validation Status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Validated against clinical quality measures (CDC comparison)</w:t>
            </w:r>
          </w:p>
        </w:tc>
      </w:tr>
    </w:tbl>
    <w:p>
      <w:pPr>
        <w:pStyle w:val="Heading2"/>
        <w:spacing w:before="200"/>
      </w:pPr>
      <w:r>
        <w:t xml:space="preserve">Chronic Disease Modeling Capabilities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60"/>
      </w:tblGrid>
      <w:tr>
        <w:tc>
          <w:tcPr>
            <w:tcW w:type="dxa" w:w="9360"/>
            <w:tcBorders>
              <w:top w:val="single" w:color="CCCCCC" w:sz="1"/>
              <w:left w:val="single" w:color="CCCCCC" w:sz="1"/>
              <w:bottom w:val="single" w:color="CCCCCC" w:sz="1"/>
              <w:right w:val="single" w:color="CCCCCC" w:sz="1"/>
            </w:tcBorders>
            <w:shd w:fill="051C2C" w:val="clear"/>
          </w:tcPr>
          <w:p>
            <w:pPr>
              <w:jc w:val="center"/>
            </w:pPr>
            <w:r>
              <w:rPr>
                <w:b/>
                <w:bCs/>
                <w:color w:val="FFFFFF"/>
                <w:sz w:val="24"/>
                <w:szCs w:val="24"/>
              </w:rPr>
              <w:t xml:space="preserve">Synthea includes validated modules for conditions directly relevant to Alakin's RPM/DTx focus:</w:t>
            </w:r>
          </w:p>
        </w:tc>
      </w:tr>
      <w:tr>
        <w:tc>
          <w:tcPr>
            <w:tcW w:type="dxa" w:w="9360"/>
            <w:tcBorders>
              <w:top w:val="single" w:color="CCCCCC" w:sz="1"/>
              <w:left w:val="single" w:color="CCCCCC" w:sz="1"/>
              <w:bottom w:val="single" w:color="CCCCCC" w:sz="1"/>
              <w:right w:val="single" w:color="CCCCCC" w:sz="1"/>
            </w:tcBorders>
            <w:tcMar>
              <w:top w:type="dxa" w:w="80"/>
              <w:left w:type="dxa" w:w="180"/>
              <w:bottom w:type="dxa" w:w="80"/>
              <w:right w:type="dxa" w:w="180"/>
            </w:tcMar>
          </w:tcPr>
          <w:p>
            <w:r>
              <w:rPr>
                <w:sz w:val="22"/>
                <w:szCs w:val="22"/>
              </w:rPr>
              <w:t xml:space="preserve">Type 2 Diabetes: Disease progression from prediabetes through complications, medication management (metformin, insulin), observation tracking (HbA1c, blood glucose, weight, BMI), complication modeling</w:t>
            </w:r>
          </w:p>
        </w:tc>
      </w:tr>
      <w:tr>
        <w:tc>
          <w:tcPr>
            <w:tcW w:type="dxa" w:w="9360"/>
            <w:tcBorders>
              <w:top w:val="single" w:color="CCCCCC" w:sz="1"/>
              <w:left w:val="single" w:color="CCCCCC" w:sz="1"/>
              <w:bottom w:val="single" w:color="CCCCCC" w:sz="1"/>
              <w:right w:val="single" w:color="CCCCCC" w:sz="1"/>
            </w:tcBorders>
            <w:tcMar>
              <w:top w:type="dxa" w:w="80"/>
              <w:left w:type="dxa" w:w="180"/>
              <w:bottom w:type="dxa" w:w="80"/>
              <w:right w:type="dxa" w:w="180"/>
            </w:tcMar>
          </w:tcPr>
          <w:p>
            <w:r>
              <w:rPr>
                <w:sz w:val="22"/>
                <w:szCs w:val="22"/>
              </w:rPr>
              <w:t xml:space="preserve">Hypertension: Blood pressure progression patterns, medication adherence modeling, comorbidity interactions (diabetes, cardiovascular disease)</w:t>
            </w:r>
          </w:p>
        </w:tc>
      </w:tr>
      <w:tr>
        <w:tc>
          <w:tcPr>
            <w:tcW w:type="dxa" w:w="9360"/>
            <w:tcBorders>
              <w:top w:val="single" w:color="CCCCCC" w:sz="1"/>
              <w:left w:val="single" w:color="CCCCCC" w:sz="1"/>
              <w:bottom w:val="single" w:color="CCCCCC" w:sz="1"/>
              <w:right w:val="single" w:color="CCCCCC" w:sz="1"/>
            </w:tcBorders>
            <w:tcMar>
              <w:top w:type="dxa" w:w="80"/>
              <w:left w:type="dxa" w:w="180"/>
              <w:bottom w:type="dxa" w:w="80"/>
              <w:right w:type="dxa" w:w="180"/>
            </w:tcMar>
          </w:tcPr>
          <w:p>
            <w:r>
              <w:rPr>
                <w:sz w:val="22"/>
                <w:szCs w:val="22"/>
              </w:rPr>
              <w:t xml:space="preserve">Cardiovascular Disease: Heart failure progression, myocardial infarction recovery, stroke rehabilitation pathways</w:t>
            </w:r>
          </w:p>
        </w:tc>
      </w:tr>
      <w:tr>
        <w:tc>
          <w:tcPr>
            <w:tcW w:type="dxa" w:w="9360"/>
            <w:tcBorders>
              <w:top w:val="single" w:color="CCCCCC" w:sz="1"/>
              <w:left w:val="single" w:color="CCCCCC" w:sz="1"/>
              <w:bottom w:val="single" w:color="CCCCCC" w:sz="1"/>
              <w:right w:val="single" w:color="CCCCCC" w:sz="1"/>
            </w:tcBorders>
            <w:tcMar>
              <w:top w:type="dxa" w:w="80"/>
              <w:left w:type="dxa" w:w="180"/>
              <w:bottom w:type="dxa" w:w="80"/>
              <w:right w:type="dxa" w:w="180"/>
            </w:tcMar>
          </w:tcPr>
          <w:p>
            <w:r>
              <w:rPr>
                <w:sz w:val="22"/>
                <w:szCs w:val="22"/>
              </w:rPr>
              <w:t xml:space="preserve">Additional Modules: COPD, asthma, obesity, chronic kidney disease, depression</w:t>
            </w:r>
          </w:p>
        </w:tc>
      </w:tr>
    </w:tbl>
    <w:p>
      <w:r>
        <w:br w:type="page"/>
      </w:r>
    </w:p>
    <w:p>
      <w:pPr>
        <w:pStyle w:val="Heading1"/>
      </w:pPr>
      <w:r>
        <w:t xml:space="preserve">Strategic Alignment with Alakin Platform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W w:type="dxa" w:w="9360"/>
            <w:tcBorders>
              <w:top w:val="double" w:color="051C2C" w:sz="3"/>
              <w:left w:val="single" w:color="CCCCCC" w:sz="1"/>
              <w:bottom w:val="single" w:color="CCCCCC" w:sz="1"/>
              <w:right w:val="single" w:color="CCCCCC" w:sz="1"/>
            </w:tcBorders>
            <w:shd w:fill="E8F1F5" w:val="clear"/>
            <w:tcMar>
              <w:top w:type="dxa" w:w="120"/>
              <w:left w:type="dxa" w:w="180"/>
              <w:bottom w:type="dxa" w:w="120"/>
              <w:right w:type="dxa" w:w="180"/>
            </w:tcMar>
          </w:tcPr>
          <w:p>
            <w:r>
              <w:rPr>
                <w:b/>
                <w:bCs/>
                <w:color w:val="051C2C"/>
                <w:sz w:val="20"/>
                <w:szCs w:val="20"/>
              </w:rPr>
              <w:t xml:space="preserve">KEY INSIGHT</w:t>
            </w:r>
          </w:p>
          <w:p>
            <w:pPr>
              <w:spacing w:before="80"/>
            </w:pPr>
            <w:r>
              <w:rPr>
                <w:sz w:val="22"/>
                <w:szCs w:val="22"/>
              </w:rPr>
              <w:t xml:space="preserve">Synthea's FHIR R4 output architecture aligns directly with Indonesia's SATUSEHAT platform requirements—enabling comprehensive testing before hospital implementation.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F8F9FA" w:val="clear"/>
          </w:tcPr>
          <w:p>
            <w:pPr>
              <w:jc w:val="center"/>
            </w:pPr>
            <w:r>
              <w:rPr>
                <w:b/>
                <w:bCs/>
                <w:color w:val="051C2C"/>
                <w:sz w:val="22"/>
                <w:szCs w:val="22"/>
              </w:rPr>
              <w:t xml:space="preserve">What We Found</w:t>
            </w:r>
          </w:p>
        </w:tc>
        <w:tc>
          <w:tcPr>
            <w:tcW w:type="dxa" w:w="4680"/>
            <w:tcBorders>
              <w:top w:val="single" w:color="CCCCCC" w:sz="1"/>
              <w:left w:val="single" w:color="CCCCCC" w:sz="1"/>
              <w:bottom w:val="single" w:color="CCCCCC" w:sz="1"/>
              <w:right w:val="single" w:color="CCCCCC" w:sz="1"/>
            </w:tcBorders>
            <w:shd w:fill="E8F1F5" w:val="clear"/>
          </w:tcPr>
          <w:p>
            <w:pPr>
              <w:jc w:val="center"/>
            </w:pPr>
            <w:r>
              <w:rPr>
                <w:b/>
                <w:bCs/>
                <w:color w:val="051C2C"/>
                <w:sz w:val="22"/>
                <w:szCs w:val="22"/>
              </w:rPr>
              <w:t xml:space="preserve">What It Means</w:t>
            </w:r>
          </w:p>
        </w:tc>
      </w:tr>
      <w:tr>
        <w:tc>
          <w:tcPr>
            <w:tcW w:type="dxa" w:w="468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sz w:val="22"/>
                <w:szCs w:val="22"/>
              </w:rPr>
              <w:t xml:space="preserve">Hospitals require tangible demonstrations before committing to pilots.</w:t>
            </w:r>
          </w:p>
        </w:tc>
        <w:tc>
          <w:tcPr>
            <w:tcW w:type="dxa" w:w="468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sz w:val="22"/>
                <w:szCs w:val="22"/>
              </w:rPr>
              <w:t xml:space="preserve">Synthea enables creation of realistic demo scenarios without privacy concerns, shortening procurement cycles by 2-3 months.</w:t>
            </w:r>
          </w:p>
        </w:tc>
      </w:tr>
    </w:tbl>
    <w:p>
      <w:pPr>
        <w:pStyle w:val="Heading2"/>
        <w:spacing w:before="200"/>
      </w:pPr>
      <w:r>
        <w:t xml:space="preserve">Business Development Acceleration</w:t>
      </w:r>
    </w:p>
    <w:p>
      <w:pPr>
        <w:spacing w:after="120"/>
      </w:pPr>
      <w:r>
        <w:rPr>
          <w:b/>
          <w:bCs/>
          <w:color w:val="051C2C"/>
          <w:sz w:val="22"/>
          <w:szCs w:val="22"/>
        </w:rPr>
        <w:t xml:space="preserve">Competitive Differentiation: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60"/>
      </w:tblGrid>
      <w:tr>
        <w:tc>
          <w:tcPr>
            <w:tcW w:type="dxa" w:w="9360"/>
            <w:tcMar>
              <w:top w:type="dxa" w:w="100"/>
              <w:left w:type="dxa" w:w="180"/>
              <w:bottom w:type="dxa" w:w="100"/>
              <w:right w:type="dxa" w:w="180"/>
            </w:tcMar>
          </w:tcPr>
          <w:p>
            <w:pPr>
              <w:pStyle w:val="ListParagraph"/>
              <w:numPr>
                <w:ilvl w:val="0"/>
                <w:numId w:val="3"/>
              </w:numPr>
            </w:pPr>
            <w:r>
              <w:rPr>
                <w:sz w:val="22"/>
                <w:szCs w:val="22"/>
              </w:rPr>
              <w:t xml:space="preserve">No current RPM/DTx platform in Indonesia uses synthetic data for demonstrations</w:t>
            </w:r>
          </w:p>
        </w:tc>
      </w:tr>
      <w:tr>
        <w:tc>
          <w:tcPr>
            <w:tcW w:type="dxa" w:w="9360"/>
            <w:tcMar>
              <w:top w:type="dxa" w:w="100"/>
              <w:left w:type="dxa" w:w="180"/>
              <w:bottom w:type="dxa" w:w="100"/>
              <w:right w:type="dxa" w:w="180"/>
            </w:tcMar>
          </w:tcPr>
          <w:p>
            <w:pPr>
              <w:pStyle w:val="ListParagraph"/>
              <w:numPr>
                <w:ilvl w:val="0"/>
                <w:numId w:val="3"/>
              </w:numPr>
            </w:pPr>
            <w:r>
              <w:rPr>
                <w:sz w:val="22"/>
                <w:szCs w:val="22"/>
              </w:rPr>
              <w:t xml:space="preserve">Hospitals see realistic scenarios specific to their patient population</w:t>
            </w:r>
          </w:p>
        </w:tc>
      </w:tr>
      <w:tr>
        <w:tc>
          <w:tcPr>
            <w:tcW w:type="dxa" w:w="9360"/>
            <w:tcMar>
              <w:top w:type="dxa" w:w="100"/>
              <w:left w:type="dxa" w:w="180"/>
              <w:bottom w:type="dxa" w:w="100"/>
              <w:right w:type="dxa" w:w="180"/>
            </w:tcMar>
          </w:tcPr>
          <w:p>
            <w:pPr>
              <w:pStyle w:val="ListParagraph"/>
              <w:numPr>
                <w:ilvl w:val="0"/>
                <w:numId w:val="3"/>
              </w:numPr>
            </w:pPr>
            <w:r>
              <w:rPr>
                <w:sz w:val="22"/>
                <w:szCs w:val="22"/>
              </w:rPr>
              <w:t xml:space="preserve">No delays obtaining data sharing approvals for demo purposes</w:t>
            </w:r>
          </w:p>
        </w:tc>
      </w:tr>
      <w:tr>
        <w:tc>
          <w:tcPr>
            <w:tcW w:type="dxa" w:w="9360"/>
            <w:tcMar>
              <w:top w:type="dxa" w:w="100"/>
              <w:left w:type="dxa" w:w="180"/>
              <w:bottom w:type="dxa" w:w="100"/>
              <w:right w:type="dxa" w:w="180"/>
            </w:tcMar>
          </w:tcPr>
          <w:p>
            <w:pPr>
              <w:pStyle w:val="ListParagraph"/>
              <w:numPr>
                <w:ilvl w:val="0"/>
                <w:numId w:val="3"/>
              </w:numPr>
            </w:pPr>
            <w:r>
              <w:rPr>
                <w:sz w:val="22"/>
                <w:szCs w:val="22"/>
              </w:rPr>
              <w:t xml:space="preserve">Immediately available for sales meetings without legal review</w:t>
            </w:r>
          </w:p>
        </w:tc>
      </w:tr>
      <w:tr>
        <w:tc>
          <w:tcPr>
            <w:tcW w:type="dxa" w:w="9360"/>
            <w:tcMar>
              <w:top w:type="dxa" w:w="100"/>
              <w:left w:type="dxa" w:w="180"/>
              <w:bottom w:type="dxa" w:w="100"/>
              <w:right w:type="dxa" w:w="180"/>
            </w:tcMar>
          </w:tcPr>
          <w:p>
            <w:pPr>
              <w:pStyle w:val="ListParagraph"/>
              <w:numPr>
                <w:ilvl w:val="0"/>
                <w:numId w:val="3"/>
              </w:numPr>
            </w:pPr>
            <w:r>
              <w:rPr>
                <w:sz w:val="22"/>
                <w:szCs w:val="22"/>
              </w:rPr>
              <w:t xml:space="preserve">Scalable to any disease focus or hospital specialty</w:t>
            </w:r>
          </w:p>
        </w:tc>
      </w:tr>
    </w:tbl>
    <w:p>
      <w:pPr>
        <w:spacing w:before="200" w:after="120"/>
      </w:pPr>
      <w:r>
        <w:rPr>
          <w:b/>
          <w:bCs/>
          <w:color w:val="051C2C"/>
          <w:sz w:val="22"/>
          <w:szCs w:val="22"/>
        </w:rPr>
        <w:t xml:space="preserve">PILOT PROJECT DE-RISKING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51C2C" w:val="clear"/>
          </w:tcPr>
          <w:p>
            <w:pPr>
              <w:jc w:val="center"/>
            </w:pPr>
            <w:r>
              <w:rPr>
                <w:b/>
                <w:bCs/>
                <w:color w:val="FFFFFF"/>
                <w:sz w:val="20"/>
                <w:szCs w:val="20"/>
              </w:rPr>
              <w:t xml:space="preserve">Phase 1</w:t>
            </w:r>
          </w:p>
          <w:p>
            <w:pPr>
              <w:jc w:val="center"/>
            </w:pPr>
            <w:r>
              <w:rPr>
                <w:color w:val="FFFFFF"/>
                <w:sz w:val="18"/>
                <w:szCs w:val="18"/>
              </w:rPr>
              <w:t xml:space="preserve">(Months 1-2)</w:t>
            </w:r>
          </w:p>
        </w:tc>
        <w:tc>
          <w:tcPr>
            <w:tcW w:type="dxa" w:w="3120"/>
            <w:tcBorders>
              <w:top w:val="single" w:color="CCCCCC" w:sz="1"/>
              <w:left w:val="single" w:color="CCCCCC" w:sz="1"/>
              <w:bottom w:val="single" w:color="CCCCCC" w:sz="1"/>
              <w:right w:val="single" w:color="CCCCCC" w:sz="1"/>
            </w:tcBorders>
            <w:shd w:fill="1E5A8A" w:val="clear"/>
          </w:tcPr>
          <w:p>
            <w:pPr>
              <w:jc w:val="center"/>
            </w:pPr>
            <w:r>
              <w:rPr>
                <w:b/>
                <w:bCs/>
                <w:color w:val="FFFFFF"/>
                <w:sz w:val="20"/>
                <w:szCs w:val="20"/>
              </w:rPr>
              <w:t xml:space="preserve">Phase 2</w:t>
            </w:r>
          </w:p>
          <w:p>
            <w:pPr>
              <w:jc w:val="center"/>
            </w:pPr>
            <w:r>
              <w:rPr>
                <w:color w:val="FFFFFF"/>
                <w:sz w:val="18"/>
                <w:szCs w:val="18"/>
              </w:rPr>
              <w:t xml:space="preserve">(Months 3-4)</w:t>
            </w:r>
          </w:p>
        </w:tc>
        <w:tc>
          <w:tcPr>
            <w:tcW w:type="dxa" w:w="3120"/>
            <w:tcBorders>
              <w:top w:val="single" w:color="CCCCCC" w:sz="1"/>
              <w:left w:val="single" w:color="CCCCCC" w:sz="1"/>
              <w:bottom w:val="single" w:color="CCCCCC" w:sz="1"/>
              <w:right w:val="single" w:color="CCCCCC" w:sz="1"/>
            </w:tcBorders>
            <w:shd w:fill="4A90A4" w:val="clear"/>
          </w:tcPr>
          <w:p>
            <w:pPr>
              <w:jc w:val="center"/>
            </w:pPr>
            <w:r>
              <w:rPr>
                <w:b/>
                <w:bCs/>
                <w:color w:val="FFFFFF"/>
                <w:sz w:val="20"/>
                <w:szCs w:val="20"/>
              </w:rPr>
              <w:t xml:space="preserve">Phase 3</w:t>
            </w:r>
          </w:p>
          <w:p>
            <w:pPr>
              <w:jc w:val="center"/>
            </w:pPr>
            <w:r>
              <w:rPr>
                <w:color w:val="FFFFFF"/>
                <w:sz w:val="18"/>
                <w:szCs w:val="18"/>
              </w:rPr>
              <w:t xml:space="preserve">(Months 5-6)</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Validate Alakin integration using synthetic data only—no real patient access required</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Limited real patient pilot with 10-20 patients while synthetic environment continues for testing</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Scale to full pilot with confidence from validated technical integration</w:t>
            </w:r>
          </w:p>
        </w:tc>
      </w:tr>
    </w:tbl>
    <w:p>
      <w:r>
        <w:br w:type="page"/>
      </w:r>
    </w:p>
    <w:p>
      <w:pPr>
        <w:pStyle w:val="Heading1"/>
      </w:pPr>
      <w:r>
        <w:t xml:space="preserve">Indonesia Localization Strategy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W w:type="dxa" w:w="9360"/>
            <w:tcBorders>
              <w:top w:val="double" w:color="051C2C" w:sz="3"/>
              <w:left w:val="single" w:color="CCCCCC" w:sz="1"/>
              <w:bottom w:val="single" w:color="CCCCCC" w:sz="1"/>
              <w:right w:val="single" w:color="CCCCCC" w:sz="1"/>
            </w:tcBorders>
            <w:shd w:fill="E8F1F5" w:val="clear"/>
            <w:tcMar>
              <w:top w:type="dxa" w:w="120"/>
              <w:left w:type="dxa" w:w="180"/>
              <w:bottom w:type="dxa" w:w="120"/>
              <w:right w:type="dxa" w:w="180"/>
            </w:tcMar>
          </w:tcPr>
          <w:p>
            <w:r>
              <w:rPr>
                <w:b/>
                <w:bCs/>
                <w:color w:val="051C2C"/>
                <w:sz w:val="20"/>
                <w:szCs w:val="20"/>
              </w:rPr>
              <w:t xml:space="preserve">KEY INSIGHT</w:t>
            </w:r>
          </w:p>
          <w:p>
            <w:pPr>
              <w:spacing w:before="80"/>
            </w:pPr>
            <w:r>
              <w:rPr>
                <w:sz w:val="22"/>
                <w:szCs w:val="22"/>
              </w:rPr>
              <w:t xml:space="preserve">Synthea's default disease modules are calibrated to US epidemiological data. Indonesian healthcare context differs significantly—requiring targeted localization for market relevance.</w:t>
            </w:r>
          </w:p>
        </w:tc>
      </w:tr>
    </w:tbl>
    <w:p>
      <w:pPr>
        <w:pStyle w:val="Heading2"/>
      </w:pPr>
      <w:r>
        <w:t xml:space="preserve">Epidemiological Adaptation Requirements</w:t>
      </w:r>
    </w:p>
    <w:p>
      <w:pPr>
        <w:spacing w:after="120"/>
      </w:pPr>
      <w:r>
        <w:rPr>
          <w:i/>
          <w:iCs/>
          <w:color w:val="6C757D"/>
          <w:sz w:val="18"/>
          <w:szCs w:val="18"/>
        </w:rPr>
        <w:t xml:space="preserve">Source: Riskesdas 2023 (Indonesian Basic Health Research Survey)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50"/>
          <w:bottom w:type="dxa" w:w="100"/>
          <w:right w:type="dxa" w:w="50"/>
        </w:tblCellMar>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8F9FA" w:val="clear"/>
          </w:tcPr>
          <w:p>
            <w:pPr>
              <w:jc w:val="center"/>
            </w:pPr>
            <w:r>
              <w:rPr>
                <w:b/>
                <w:bCs/>
                <w:sz w:val="18"/>
                <w:szCs w:val="18"/>
              </w:rPr>
              <w:t xml:space="preserve">Condition</w:t>
            </w:r>
          </w:p>
        </w:tc>
        <w:tc>
          <w:tcPr>
            <w:tcW w:type="dxa" w:w="2340"/>
            <w:tcBorders>
              <w:top w:val="single" w:color="CCCCCC" w:sz="1"/>
              <w:left w:val="single" w:color="CCCCCC" w:sz="1"/>
              <w:bottom w:val="single" w:color="CCCCCC" w:sz="1"/>
              <w:right w:val="single" w:color="CCCCCC" w:sz="1"/>
            </w:tcBorders>
            <w:shd w:fill="F8F9FA" w:val="clear"/>
          </w:tcPr>
          <w:p>
            <w:pPr>
              <w:jc w:val="center"/>
            </w:pPr>
            <w:r>
              <w:rPr>
                <w:b/>
                <w:bCs/>
                <w:sz w:val="18"/>
                <w:szCs w:val="18"/>
              </w:rPr>
              <w:t xml:space="preserve">US Prevalence</w:t>
            </w:r>
          </w:p>
        </w:tc>
        <w:tc>
          <w:tcPr>
            <w:tcW w:type="dxa" w:w="2340"/>
            <w:tcBorders>
              <w:top w:val="single" w:color="CCCCCC" w:sz="1"/>
              <w:left w:val="single" w:color="CCCCCC" w:sz="1"/>
              <w:bottom w:val="single" w:color="CCCCCC" w:sz="1"/>
              <w:right w:val="single" w:color="CCCCCC" w:sz="1"/>
            </w:tcBorders>
            <w:shd w:fill="F8F9FA" w:val="clear"/>
          </w:tcPr>
          <w:p>
            <w:pPr>
              <w:jc w:val="center"/>
            </w:pPr>
            <w:r>
              <w:rPr>
                <w:b/>
                <w:bCs/>
                <w:sz w:val="18"/>
                <w:szCs w:val="18"/>
              </w:rPr>
              <w:t xml:space="preserve">Indonesia Prevalence</w:t>
            </w:r>
          </w:p>
        </w:tc>
        <w:tc>
          <w:tcPr>
            <w:tcW w:type="dxa" w:w="2340"/>
            <w:tcBorders>
              <w:top w:val="single" w:color="CCCCCC" w:sz="1"/>
              <w:left w:val="single" w:color="CCCCCC" w:sz="1"/>
              <w:bottom w:val="single" w:color="CCCCCC" w:sz="1"/>
              <w:right w:val="single" w:color="CCCCCC" w:sz="1"/>
            </w:tcBorders>
            <w:shd w:fill="F8F9FA" w:val="clear"/>
          </w:tcPr>
          <w:p>
            <w:pPr>
              <w:jc w:val="center"/>
            </w:pPr>
            <w:r>
              <w:rPr>
                <w:b/>
                <w:bCs/>
                <w:sz w:val="18"/>
                <w:szCs w:val="18"/>
              </w:rPr>
              <w:t xml:space="preserve">Adaptation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Diabetes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18"/>
                <w:szCs w:val="18"/>
              </w:rPr>
              <w:t xml:space="preserve">8.8%</w:t>
            </w:r>
          </w:p>
        </w:tc>
        <w:tc>
          <w:tcPr>
            <w:tcW w:type="dxa" w:w="2340"/>
            <w:tcBorders>
              <w:top w:val="single" w:color="CCCCCC" w:sz="1"/>
              <w:left w:val="single" w:color="CCCCCC" w:sz="1"/>
              <w:bottom w:val="single" w:color="CCCCCC" w:sz="1"/>
              <w:right w:val="single" w:color="CCCCCC" w:sz="1"/>
            </w:tcBorders>
            <w:shd w:fill="FFE6E6" w:val="clear"/>
            <w:tcMar>
              <w:top w:type="dxa" w:w="60"/>
              <w:left w:type="dxa" w:w="100"/>
              <w:bottom w:type="dxa" w:w="60"/>
              <w:right w:type="dxa" w:w="100"/>
            </w:tcMar>
          </w:tcPr>
          <w:p>
            <w:pPr>
              <w:jc w:val="center"/>
            </w:pPr>
            <w:r>
              <w:rPr>
                <w:b/>
                <w:bCs/>
                <w:sz w:val="18"/>
                <w:szCs w:val="18"/>
              </w:rPr>
              <w:t xml:space="preserve">10.9%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color w:val="CC0000"/>
                <w:sz w:val="18"/>
                <w:szCs w:val="18"/>
              </w:rPr>
              <w:t xml:space="preserve">+24%</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Hypertension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18"/>
                <w:szCs w:val="18"/>
              </w:rPr>
              <w:t xml:space="preserve">29.6%</w:t>
            </w:r>
          </w:p>
        </w:tc>
        <w:tc>
          <w:tcPr>
            <w:tcW w:type="dxa" w:w="2340"/>
            <w:tcBorders>
              <w:top w:val="single" w:color="CCCCCC" w:sz="1"/>
              <w:left w:val="single" w:color="CCCCCC" w:sz="1"/>
              <w:bottom w:val="single" w:color="CCCCCC" w:sz="1"/>
              <w:right w:val="single" w:color="CCCCCC" w:sz="1"/>
            </w:tcBorders>
            <w:shd w:fill="FFE6E6" w:val="clear"/>
            <w:tcMar>
              <w:top w:type="dxa" w:w="60"/>
              <w:left w:type="dxa" w:w="100"/>
              <w:bottom w:type="dxa" w:w="60"/>
              <w:right w:type="dxa" w:w="100"/>
            </w:tcMar>
          </w:tcPr>
          <w:p>
            <w:pPr>
              <w:jc w:val="center"/>
            </w:pPr>
            <w:r>
              <w:rPr>
                <w:b/>
                <w:bCs/>
                <w:sz w:val="18"/>
                <w:szCs w:val="18"/>
              </w:rPr>
              <w:t xml:space="preserve">34.1%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color w:val="CC0000"/>
                <w:sz w:val="18"/>
                <w:szCs w:val="18"/>
              </w:rPr>
              <w:t xml:space="preserve">+15%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CVD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18"/>
                <w:szCs w:val="18"/>
              </w:rPr>
              <w:t xml:space="preserve">11.7%</w:t>
            </w:r>
          </w:p>
        </w:tc>
        <w:tc>
          <w:tcPr>
            <w:tcW w:type="dxa" w:w="2340"/>
            <w:tcBorders>
              <w:top w:val="single" w:color="CCCCCC" w:sz="1"/>
              <w:left w:val="single" w:color="CCCCCC" w:sz="1"/>
              <w:bottom w:val="single" w:color="CCCCCC" w:sz="1"/>
              <w:right w:val="single" w:color="CCCCCC" w:sz="1"/>
            </w:tcBorders>
            <w:shd w:fill="FFE6E6" w:val="clear"/>
            <w:tcMar>
              <w:top w:type="dxa" w:w="60"/>
              <w:left w:type="dxa" w:w="100"/>
              <w:bottom w:type="dxa" w:w="60"/>
              <w:right w:type="dxa" w:w="100"/>
            </w:tcMar>
          </w:tcPr>
          <w:p>
            <w:pPr>
              <w:jc w:val="center"/>
            </w:pPr>
            <w:r>
              <w:rPr>
                <w:b/>
                <w:bCs/>
                <w:sz w:val="18"/>
                <w:szCs w:val="18"/>
              </w:rPr>
              <w:t xml:space="preserve">15.0%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color w:val="CC0000"/>
                <w:sz w:val="18"/>
                <w:szCs w:val="18"/>
              </w:rPr>
              <w:t xml:space="preserve">+28%</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Obesity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18"/>
                <w:szCs w:val="18"/>
              </w:rPr>
              <w:t xml:space="preserve">42.4%</w:t>
            </w:r>
          </w:p>
        </w:tc>
        <w:tc>
          <w:tcPr>
            <w:tcW w:type="dxa" w:w="2340"/>
            <w:tcBorders>
              <w:top w:val="single" w:color="CCCCCC" w:sz="1"/>
              <w:left w:val="single" w:color="CCCCCC" w:sz="1"/>
              <w:bottom w:val="single" w:color="CCCCCC" w:sz="1"/>
              <w:right w:val="single" w:color="CCCCCC" w:sz="1"/>
            </w:tcBorders>
            <w:shd w:fill="E6F7E6" w:val="clear"/>
            <w:tcMar>
              <w:top w:type="dxa" w:w="60"/>
              <w:left w:type="dxa" w:w="100"/>
              <w:bottom w:type="dxa" w:w="60"/>
              <w:right w:type="dxa" w:w="100"/>
            </w:tcMar>
          </w:tcPr>
          <w:p>
            <w:pPr>
              <w:jc w:val="center"/>
            </w:pPr>
            <w:r>
              <w:rPr>
                <w:b/>
                <w:bCs/>
                <w:sz w:val="18"/>
                <w:szCs w:val="18"/>
              </w:rPr>
              <w:t xml:space="preserve">31.0%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color w:val="009900"/>
                <w:sz w:val="18"/>
                <w:szCs w:val="18"/>
              </w:rPr>
              <w:t xml:space="preserve">-27%</w:t>
            </w:r>
          </w:p>
        </w:tc>
      </w:tr>
    </w:tbl>
    <w:p>
      <w:pPr>
        <w:spacing w:before="200" w:after="120"/>
      </w:pPr>
      <w:r>
        <w:rPr>
          <w:b/>
          <w:bCs/>
          <w:color w:val="051C2C"/>
          <w:sz w:val="22"/>
          <w:szCs w:val="22"/>
        </w:rPr>
        <w:t xml:space="preserve">LOCALIZATION IMPLEMENTATION ROADMAP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1560"/>
        <w:gridCol w:w="6240"/>
        <w:gridCol w:w="1560"/>
      </w:tblGrid>
      <w:tr>
        <w:tc>
          <w:tcPr>
            <w:tcW w:type="dxa" w:w="1560"/>
            <w:tcBorders>
              <w:top w:val="single" w:color="CCCCCC" w:sz="1"/>
              <w:left w:val="single" w:color="CCCCCC" w:sz="1"/>
              <w:bottom w:val="single" w:color="CCCCCC" w:sz="1"/>
              <w:right w:val="single" w:color="CCCCCC" w:sz="1"/>
            </w:tcBorders>
            <w:shd w:fill="051C2C" w:val="clear"/>
          </w:tcPr>
          <w:p>
            <w:pPr>
              <w:jc w:val="center"/>
            </w:pPr>
            <w:r>
              <w:rPr>
                <w:b/>
                <w:bCs/>
                <w:color w:val="FFFFFF"/>
                <w:sz w:val="20"/>
                <w:szCs w:val="20"/>
              </w:rPr>
              <w:t xml:space="preserve">Phase 1</w:t>
            </w:r>
          </w:p>
        </w:tc>
        <w:tc>
          <w:tcPr>
            <w:tcW w:type="dxa" w:w="6240"/>
            <w:tcBorders>
              <w:top w:val="single" w:color="CCCCCC" w:sz="1"/>
              <w:left w:val="single" w:color="CCCCCC" w:sz="1"/>
              <w:bottom w:val="single" w:color="CCCCCC" w:sz="1"/>
              <w:right w:val="single" w:color="CCCCCC" w:sz="1"/>
            </w:tcBorders>
            <w:shd w:fill="051C2C" w:val="clear"/>
          </w:tcPr>
          <w:p>
            <w:pPr>
              <w:jc w:val="center"/>
            </w:pPr>
            <w:r>
              <w:rPr>
                <w:b/>
                <w:bCs/>
                <w:color w:val="FFFFFF"/>
                <w:sz w:val="20"/>
                <w:szCs w:val="20"/>
              </w:rPr>
              <w:t xml:space="preserve">Epidemiological Parameter Configuration</w:t>
            </w:r>
          </w:p>
        </w:tc>
        <w:tc>
          <w:tcPr>
            <w:tcW w:type="dxa" w:w="1560"/>
            <w:tcBorders>
              <w:top w:val="single" w:color="CCCCCC" w:sz="1"/>
              <w:left w:val="single" w:color="CCCCCC" w:sz="1"/>
              <w:bottom w:val="single" w:color="CCCCCC" w:sz="1"/>
              <w:right w:val="single" w:color="CCCCCC" w:sz="1"/>
            </w:tcBorders>
            <w:shd w:fill="051C2C" w:val="clear"/>
          </w:tcPr>
          <w:p>
            <w:pPr>
              <w:jc w:val="center"/>
            </w:pPr>
            <w:r>
              <w:rPr>
                <w:b/>
                <w:bCs/>
                <w:color w:val="FFFFFF"/>
                <w:sz w:val="20"/>
                <w:szCs w:val="20"/>
              </w:rPr>
              <w:t xml:space="preserve">Mo 1-2</w:t>
            </w:r>
          </w:p>
        </w:tc>
      </w:tr>
      <w:tr>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18"/>
                <w:szCs w:val="18"/>
              </w:rPr>
              <w:t xml:space="preserve">Deliverables:</w:t>
            </w:r>
          </w:p>
          <w:p>
            <w:r>
              <w:rPr>
                <w:sz w:val="16"/>
                <w:szCs w:val="16"/>
              </w:rPr>
              <w:t xml:space="preserve">Configure synthea.properties for Indonesian demographics; Generate 1,000 synthetic patients; Validate against Riskesdas 2023</w:t>
            </w:r>
          </w:p>
        </w:tc>
        <w:tc>
          <w:tcPr>
            <w:tcW w:type="dxa" w:w="62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18"/>
                <w:szCs w:val="18"/>
              </w:rPr>
              <w:t xml:space="preserve">Time Investment:</w:t>
            </w:r>
          </w:p>
          <w:p>
            <w:r>
              <w:rPr>
                <w:sz w:val="16"/>
                <w:szCs w:val="16"/>
              </w:rPr>
              <w:t xml:space="preserve">10-15 hours (Ahmad: epidemiological data review, configuration, validation)</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b/>
                <w:bCs/>
                <w:color w:val="1E5A8A"/>
                <w:sz w:val="16"/>
                <w:szCs w:val="16"/>
              </w:rPr>
              <w:t xml:space="preserve">Quick Win</w:t>
            </w:r>
          </w:p>
        </w:tc>
      </w:tr>
      <w:tr>
        <w:tc>
          <w:tcPr>
            <w:tcW w:type="dxa" w:w="1560"/>
            <w:tcBorders>
              <w:top w:val="single" w:color="CCCCCC" w:sz="1"/>
              <w:left w:val="single" w:color="CCCCCC" w:sz="1"/>
              <w:bottom w:val="single" w:color="CCCCCC" w:sz="1"/>
              <w:right w:val="single" w:color="CCCCCC" w:sz="1"/>
            </w:tcBorders>
            <w:shd w:fill="1E5A8A" w:val="clear"/>
          </w:tcPr>
          <w:p>
            <w:pPr>
              <w:jc w:val="center"/>
            </w:pPr>
            <w:r>
              <w:rPr>
                <w:b/>
                <w:bCs/>
                <w:color w:val="FFFFFF"/>
                <w:sz w:val="20"/>
                <w:szCs w:val="20"/>
              </w:rPr>
              <w:t xml:space="preserve">Phase 2</w:t>
            </w:r>
          </w:p>
        </w:tc>
        <w:tc>
          <w:tcPr>
            <w:tcW w:type="dxa" w:w="6240"/>
            <w:tcBorders>
              <w:top w:val="single" w:color="CCCCCC" w:sz="1"/>
              <w:left w:val="single" w:color="CCCCCC" w:sz="1"/>
              <w:bottom w:val="single" w:color="CCCCCC" w:sz="1"/>
              <w:right w:val="single" w:color="CCCCCC" w:sz="1"/>
            </w:tcBorders>
            <w:shd w:fill="1E5A8A" w:val="clear"/>
          </w:tcPr>
          <w:p>
            <w:pPr>
              <w:jc w:val="center"/>
            </w:pPr>
            <w:r>
              <w:rPr>
                <w:b/>
                <w:bCs/>
                <w:color w:val="FFFFFF"/>
                <w:sz w:val="20"/>
                <w:szCs w:val="20"/>
              </w:rPr>
              <w:t xml:space="preserve">Custom Disease Module Development</w:t>
            </w:r>
          </w:p>
        </w:tc>
        <w:tc>
          <w:tcPr>
            <w:tcW w:type="dxa" w:w="1560"/>
            <w:tcBorders>
              <w:top w:val="single" w:color="CCCCCC" w:sz="1"/>
              <w:left w:val="single" w:color="CCCCCC" w:sz="1"/>
              <w:bottom w:val="single" w:color="CCCCCC" w:sz="1"/>
              <w:right w:val="single" w:color="CCCCCC" w:sz="1"/>
            </w:tcBorders>
            <w:shd w:fill="1E5A8A" w:val="clear"/>
          </w:tcPr>
          <w:p>
            <w:pPr>
              <w:jc w:val="center"/>
            </w:pPr>
            <w:r>
              <w:rPr>
                <w:b/>
                <w:bCs/>
                <w:color w:val="FFFFFF"/>
                <w:sz w:val="20"/>
                <w:szCs w:val="20"/>
              </w:rPr>
              <w:t xml:space="preserve">Mo 3-4</w:t>
            </w:r>
          </w:p>
        </w:tc>
      </w:tr>
      <w:tr>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18"/>
                <w:szCs w:val="18"/>
              </w:rPr>
              <w:t xml:space="preserve">Deliverables:</w:t>
            </w:r>
          </w:p>
          <w:p>
            <w:r>
              <w:rPr>
                <w:sz w:val="16"/>
                <w:szCs w:val="16"/>
              </w:rPr>
              <w:t xml:space="preserve">Indonesian T2DM, Hypertension, CVD modules; Clinical validation; Partnership with Perkeni/Perhip</w:t>
            </w:r>
          </w:p>
        </w:tc>
        <w:tc>
          <w:tcPr>
            <w:tcW w:type="dxa" w:w="62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18"/>
                <w:szCs w:val="18"/>
              </w:rPr>
              <w:t xml:space="preserve">Time Investment:</w:t>
            </w:r>
          </w:p>
          <w:p>
            <w:r>
              <w:rPr>
                <w:sz w:val="16"/>
                <w:szCs w:val="16"/>
              </w:rPr>
              <w:t xml:space="preserve">25-30 hours (module development, clinical validation, partnership coordination)</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b/>
                <w:bCs/>
                <w:color w:val="1E5A8A"/>
                <w:sz w:val="16"/>
                <w:szCs w:val="16"/>
              </w:rPr>
              <w:t xml:space="preserve">Strategic</w:t>
            </w:r>
          </w:p>
        </w:tc>
      </w:tr>
      <w:tr>
        <w:tc>
          <w:tcPr>
            <w:tcW w:type="dxa" w:w="1560"/>
            <w:tcBorders>
              <w:top w:val="single" w:color="CCCCCC" w:sz="1"/>
              <w:left w:val="single" w:color="CCCCCC" w:sz="1"/>
              <w:bottom w:val="single" w:color="CCCCCC" w:sz="1"/>
              <w:right w:val="single" w:color="CCCCCC" w:sz="1"/>
            </w:tcBorders>
            <w:shd w:fill="4A90A4" w:val="clear"/>
          </w:tcPr>
          <w:p>
            <w:pPr>
              <w:jc w:val="center"/>
            </w:pPr>
            <w:r>
              <w:rPr>
                <w:b/>
                <w:bCs/>
                <w:color w:val="FFFFFF"/>
                <w:sz w:val="20"/>
                <w:szCs w:val="20"/>
              </w:rPr>
              <w:t xml:space="preserve">Phase 3</w:t>
            </w:r>
          </w:p>
        </w:tc>
        <w:tc>
          <w:tcPr>
            <w:tcW w:type="dxa" w:w="6240"/>
            <w:tcBorders>
              <w:top w:val="single" w:color="CCCCCC" w:sz="1"/>
              <w:left w:val="single" w:color="CCCCCC" w:sz="1"/>
              <w:bottom w:val="single" w:color="CCCCCC" w:sz="1"/>
              <w:right w:val="single" w:color="CCCCCC" w:sz="1"/>
            </w:tcBorders>
            <w:shd w:fill="4A90A4" w:val="clear"/>
          </w:tcPr>
          <w:p>
            <w:pPr>
              <w:jc w:val="center"/>
            </w:pPr>
            <w:r>
              <w:rPr>
                <w:b/>
                <w:bCs/>
                <w:color w:val="FFFFFF"/>
                <w:sz w:val="20"/>
                <w:szCs w:val="20"/>
              </w:rPr>
              <w:t xml:space="preserve">SATUSEHAT FHIR Profile Validation</w:t>
            </w:r>
          </w:p>
        </w:tc>
        <w:tc>
          <w:tcPr>
            <w:tcW w:type="dxa" w:w="1560"/>
            <w:tcBorders>
              <w:top w:val="single" w:color="CCCCCC" w:sz="1"/>
              <w:left w:val="single" w:color="CCCCCC" w:sz="1"/>
              <w:bottom w:val="single" w:color="CCCCCC" w:sz="1"/>
              <w:right w:val="single" w:color="CCCCCC" w:sz="1"/>
            </w:tcBorders>
            <w:shd w:fill="4A90A4" w:val="clear"/>
          </w:tcPr>
          <w:p>
            <w:pPr>
              <w:jc w:val="center"/>
            </w:pPr>
            <w:r>
              <w:rPr>
                <w:b/>
                <w:bCs/>
                <w:color w:val="FFFFFF"/>
                <w:sz w:val="20"/>
                <w:szCs w:val="20"/>
              </w:rPr>
              <w:t xml:space="preserve">Mo 5-6</w:t>
            </w:r>
          </w:p>
        </w:tc>
      </w:tr>
      <w:tr>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18"/>
                <w:szCs w:val="18"/>
              </w:rPr>
              <w:t xml:space="preserve">Deliverables:</w:t>
            </w:r>
          </w:p>
          <w:p>
            <w:r>
              <w:rPr>
                <w:sz w:val="16"/>
                <w:szCs w:val="16"/>
              </w:rPr>
              <w:t xml:space="preserve">SATUSEHAT-specific extensions; Technical validation; Documentation</w:t>
            </w:r>
          </w:p>
        </w:tc>
        <w:tc>
          <w:tcPr>
            <w:tcW w:type="dxa" w:w="62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sz w:val="18"/>
                <w:szCs w:val="18"/>
              </w:rPr>
              <w:t xml:space="preserve">Time Investment:</w:t>
            </w:r>
          </w:p>
          <w:p>
            <w:r>
              <w:rPr>
                <w:sz w:val="16"/>
                <w:szCs w:val="16"/>
              </w:rPr>
              <w:t xml:space="preserve">15-20 hours (FHIR extension development, validation, documentation)</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b/>
                <w:bCs/>
                <w:color w:val="4A90A4"/>
                <w:sz w:val="16"/>
                <w:szCs w:val="16"/>
              </w:rPr>
              <w:t xml:space="preserve">Critical</w:t>
            </w:r>
          </w:p>
        </w:tc>
      </w:tr>
    </w:tbl>
    <w:p>
      <w:r>
        <w:br w:type="page"/>
      </w:r>
    </w:p>
    <w:p>
      <w:pPr>
        <w:pStyle w:val="Heading1"/>
      </w:pPr>
      <w:r>
        <w:t xml:space="preserve">Risk Assessment and Mitigation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W w:type="dxa" w:w="9360"/>
            <w:tcBorders>
              <w:top w:val="double" w:color="051C2C" w:sz="3"/>
              <w:left w:val="single" w:color="CCCCCC" w:sz="1"/>
              <w:bottom w:val="single" w:color="CCCCCC" w:sz="1"/>
              <w:right w:val="single" w:color="CCCCCC" w:sz="1"/>
            </w:tcBorders>
            <w:shd w:fill="E8F1F5" w:val="clear"/>
            <w:tcMar>
              <w:top w:type="dxa" w:w="120"/>
              <w:left w:type="dxa" w:w="180"/>
              <w:bottom w:type="dxa" w:w="120"/>
              <w:right w:type="dxa" w:w="180"/>
            </w:tcMar>
          </w:tcPr>
          <w:p>
            <w:r>
              <w:rPr>
                <w:b/>
                <w:bCs/>
                <w:color w:val="051C2C"/>
                <w:sz w:val="20"/>
                <w:szCs w:val="20"/>
              </w:rPr>
              <w:t xml:space="preserve">KEY INSIGHT</w:t>
            </w:r>
          </w:p>
          <w:p>
            <w:pPr>
              <w:spacing w:before="80"/>
            </w:pPr>
            <w:r>
              <w:rPr>
                <w:sz w:val="22"/>
                <w:szCs w:val="22"/>
              </w:rPr>
              <w:t xml:space="preserve">Five key risks identified, each with specific mitigation strategies. Overall risk profile: LOW-MEDIUM with clear pathways to manage each risk.</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50"/>
          <w:bottom w:type="dxa" w:w="100"/>
          <w:right w:type="dxa" w:w="50"/>
        </w:tblCellMar>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F8F9FA" w:val="clear"/>
          </w:tcPr>
          <w:p>
            <w:pPr>
              <w:jc w:val="center"/>
            </w:pPr>
            <w:r>
              <w:rPr>
                <w:b/>
                <w:bCs/>
                <w:sz w:val="18"/>
                <w:szCs w:val="18"/>
              </w:rPr>
              <w:t xml:space="preserve">Risk</w:t>
            </w:r>
          </w:p>
        </w:tc>
        <w:tc>
          <w:tcPr>
            <w:tcW w:type="dxa" w:w="4680"/>
            <w:tcBorders>
              <w:top w:val="single" w:color="CCCCCC" w:sz="1"/>
              <w:left w:val="single" w:color="CCCCCC" w:sz="1"/>
              <w:bottom w:val="single" w:color="CCCCCC" w:sz="1"/>
              <w:right w:val="single" w:color="CCCCCC" w:sz="1"/>
            </w:tcBorders>
            <w:shd w:fill="F8F9FA" w:val="clear"/>
          </w:tcPr>
          <w:p>
            <w:pPr>
              <w:jc w:val="center"/>
            </w:pPr>
            <w:r>
              <w:rPr>
                <w:b/>
                <w:bCs/>
                <w:sz w:val="18"/>
                <w:szCs w:val="18"/>
              </w:rPr>
              <w:t xml:space="preserve">Description</w:t>
            </w:r>
          </w:p>
        </w:tc>
        <w:tc>
          <w:tcPr>
            <w:tcW w:type="dxa" w:w="2340"/>
            <w:tcBorders>
              <w:top w:val="single" w:color="CCCCCC" w:sz="1"/>
              <w:left w:val="single" w:color="CCCCCC" w:sz="1"/>
              <w:bottom w:val="single" w:color="CCCCCC" w:sz="1"/>
              <w:right w:val="single" w:color="CCCCCC" w:sz="1"/>
            </w:tcBorders>
            <w:shd w:fill="F8F9FA" w:val="clear"/>
          </w:tcPr>
          <w:p>
            <w:pPr>
              <w:jc w:val="center"/>
            </w:pPr>
            <w:r>
              <w:rPr>
                <w:b/>
                <w:bCs/>
                <w:sz w:val="18"/>
                <w:szCs w:val="18"/>
              </w:rPr>
              <w:t xml:space="preserve">L/I</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Synthetic Data Validity</w:t>
            </w:r>
          </w:p>
        </w:tc>
        <w:tc>
          <w:tcPr>
            <w:tcW w:type="dxa" w:w="46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Synthetic data may not perfectly reflect Indonesian clinical reality</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b/>
                <w:bCs/>
                <w:sz w:val="18"/>
                <w:szCs w:val="18"/>
              </w:rPr>
              <w:t xml:space="preserve">M / H</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Localization Complexity</w:t>
            </w:r>
          </w:p>
        </w:tc>
        <w:tc>
          <w:tcPr>
            <w:tcW w:type="dxa" w:w="46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Custom Indonesian module development requires technical expertise and clinical validation</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b/>
                <w:bCs/>
                <w:sz w:val="18"/>
                <w:szCs w:val="18"/>
              </w:rPr>
              <w:t xml:space="preserve">M / M</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Hospital Adoption Barriers</w:t>
            </w:r>
          </w:p>
        </w:tc>
        <w:tc>
          <w:tcPr>
            <w:tcW w:type="dxa" w:w="46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Hospitals may perceive synthetic data as insufficient validation</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b/>
                <w:bCs/>
                <w:sz w:val="18"/>
                <w:szCs w:val="18"/>
              </w:rPr>
              <w:t xml:space="preserve">LM / M</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Regulatory Acceptance</w:t>
            </w:r>
          </w:p>
        </w:tc>
        <w:tc>
          <w:tcPr>
            <w:tcW w:type="dxa" w:w="46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Ministry of Health may require real patient data for approvals</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b/>
                <w:bCs/>
                <w:sz w:val="18"/>
                <w:szCs w:val="18"/>
              </w:rPr>
              <w:t xml:space="preserve">M / MH</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Technical Integration</w:t>
            </w:r>
          </w:p>
        </w:tc>
        <w:tc>
          <w:tcPr>
            <w:tcW w:type="dxa" w:w="46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Synthea's FHIR output may require customization for SATUSEHAT compatibility</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b/>
                <w:bCs/>
                <w:sz w:val="18"/>
                <w:szCs w:val="18"/>
              </w:rPr>
              <w:t xml:space="preserve">L / LM</w:t>
            </w:r>
          </w:p>
        </w:tc>
      </w:tr>
    </w:tbl>
    <w:p>
      <w:pPr>
        <w:spacing w:before="200" w:after="120"/>
      </w:pPr>
      <w:r>
        <w:rPr>
          <w:i/>
          <w:iCs/>
          <w:color w:val="6C757D"/>
          <w:sz w:val="16"/>
          <w:szCs w:val="16"/>
        </w:rPr>
        <w:t xml:space="preserve">L = Low, M = Medium, H = High | I = Impact</w:t>
      </w:r>
    </w:p>
    <w:p>
      <w:r>
        <w:br w:type="page"/>
      </w:r>
    </w:p>
    <w:p>
      <w:pPr>
        <w:pStyle w:val="Heading1"/>
      </w:pPr>
      <w:r>
        <w:t xml:space="preserve">Investment Requirements and Expected ROI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W w:type="dxa" w:w="9360"/>
            <w:tcBorders>
              <w:top w:val="double" w:color="051C2C" w:sz="3"/>
              <w:left w:val="single" w:color="CCCCCC" w:sz="1"/>
              <w:bottom w:val="single" w:color="CCCCCC" w:sz="1"/>
              <w:right w:val="single" w:color="CCCCCC" w:sz="1"/>
            </w:tcBorders>
            <w:shd w:fill="E8F1F5" w:val="clear"/>
            <w:tcMar>
              <w:top w:type="dxa" w:w="120"/>
              <w:left w:type="dxa" w:w="180"/>
              <w:bottom w:type="dxa" w:w="120"/>
              <w:right w:type="dxa" w:w="180"/>
            </w:tcMar>
          </w:tcPr>
          <w:p>
            <w:r>
              <w:rPr>
                <w:b/>
                <w:bCs/>
                <w:color w:val="051C2C"/>
                <w:sz w:val="20"/>
                <w:szCs w:val="20"/>
              </w:rPr>
              <w:t xml:space="preserve">KEY INSIGHT</w:t>
            </w:r>
          </w:p>
          <w:p>
            <w:pPr>
              <w:spacing w:before="80"/>
            </w:pPr>
            <w:r>
              <w:rPr>
                <w:sz w:val="22"/>
                <w:szCs w:val="22"/>
              </w:rPr>
              <w:t xml:space="preserve">Conservative ROI scenario shows positive return within 6-9 months, with revenue acceleration benefits far exceeding the modest €10,000-15,000 investment.</w:t>
            </w:r>
          </w:p>
        </w:tc>
      </w:tr>
    </w:tbl>
    <w:p>
      <w:pPr>
        <w:pStyle w:val="Heading2"/>
      </w:pPr>
      <w:r>
        <w:t xml:space="preserve">Financial Investment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51C2C" w:val="clear"/>
          </w:tcPr>
          <w:p>
            <w:pPr>
              <w:jc w:val="center"/>
            </w:pPr>
            <w:r>
              <w:rPr>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051C2C" w:val="clear"/>
          </w:tcPr>
          <w:p>
            <w:pPr>
              <w:jc w:val="center"/>
            </w:pPr>
            <w:r>
              <w:rPr>
                <w:b/>
                <w:bCs/>
                <w:color w:val="FFFFFF"/>
                <w:sz w:val="20"/>
                <w:szCs w:val="20"/>
              </w:rPr>
              <w:t xml:space="preserve">Timeline</w:t>
            </w:r>
          </w:p>
        </w:tc>
        <w:tc>
          <w:tcPr>
            <w:tcW w:type="dxa" w:w="3120"/>
            <w:tcBorders>
              <w:top w:val="single" w:color="CCCCCC" w:sz="1"/>
              <w:left w:val="single" w:color="CCCCCC" w:sz="1"/>
              <w:bottom w:val="single" w:color="CCCCCC" w:sz="1"/>
              <w:right w:val="single" w:color="CCCCCC" w:sz="1"/>
            </w:tcBorders>
            <w:shd w:fill="051C2C" w:val="clear"/>
          </w:tcPr>
          <w:p>
            <w:pPr>
              <w:jc w:val="center"/>
            </w:pPr>
            <w:r>
              <w:rPr>
                <w:b/>
                <w:bCs/>
                <w:color w:val="FFFFFF"/>
                <w:sz w:val="20"/>
                <w:szCs w:val="20"/>
              </w:rPr>
              <w:t xml:space="preserve">Investment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1: Testing Environment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Months 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13-22 hours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2: Localization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Months 2-4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40-50 hours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3: Pilot 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Months 3-6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20-30 hours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4: Clinical Evidence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Months 6-12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30-40 hours</w:t>
            </w:r>
          </w:p>
        </w:tc>
      </w:tr>
      <w:tr>
        <w:tc>
          <w:tcPr>
            <w:tcW w:type="dxa" w:w="3120"/>
            <w:tcBorders>
              <w:top w:val="single" w:color="CCCCCC" w:sz="1"/>
              <w:left w:val="single" w:color="CCCCCC" w:sz="1"/>
              <w:bottom w:val="single" w:color="CCCCCC" w:sz="1"/>
              <w:right w:val="single" w:color="CCCCCC" w:sz="1"/>
            </w:tcBorders>
            <w:shd w:fill="E8F1F5" w:val="clear"/>
          </w:tcPr>
          <w:p>
            <w:r>
              <w:rPr>
                <w:b/>
                <w:bCs/>
                <w:sz w:val="22"/>
                <w:szCs w:val="22"/>
              </w:rPr>
              <w:t xml:space="preserve">TOTAL</w:t>
            </w:r>
          </w:p>
        </w:tc>
        <w:tc>
          <w:tcPr>
            <w:tcW w:type="dxa" w:w="3120"/>
            <w:tcBorders>
              <w:top w:val="single" w:color="CCCCCC" w:sz="1"/>
              <w:left w:val="single" w:color="CCCCCC" w:sz="1"/>
              <w:bottom w:val="single" w:color="CCCCCC" w:sz="1"/>
              <w:right w:val="single" w:color="CCCCCC" w:sz="1"/>
            </w:tcBorders>
            <w:shd w:fill="E8F1F5" w:val="clear"/>
          </w:tcPr>
          <w:p>
            <w:pPr>
              <w:jc w:val="center"/>
            </w:pPr>
            <w:r>
              <w:rPr>
                <w:b/>
                <w:bCs/>
                <w:sz w:val="22"/>
                <w:szCs w:val="22"/>
              </w:rPr>
              <w:t xml:space="preserve">12 months</w:t>
            </w:r>
          </w:p>
        </w:tc>
        <w:tc>
          <w:tcPr>
            <w:tcW w:type="dxa" w:w="3120"/>
            <w:tcBorders>
              <w:top w:val="single" w:color="CCCCCC" w:sz="1"/>
              <w:left w:val="single" w:color="CCCCCC" w:sz="1"/>
              <w:bottom w:val="single" w:color="CCCCCC" w:sz="1"/>
              <w:right w:val="single" w:color="CCCCCC" w:sz="1"/>
            </w:tcBorders>
            <w:shd w:fill="E8F1F5" w:val="clear"/>
          </w:tcPr>
          <w:p>
            <w:pPr>
              <w:jc w:val="center"/>
            </w:pPr>
            <w:r>
              <w:rPr>
                <w:b/>
                <w:bCs/>
                <w:sz w:val="22"/>
                <w:szCs w:val="22"/>
              </w:rPr>
              <w:t xml:space="preserve">103-142 hours</w:t>
            </w:r>
          </w:p>
        </w:tc>
      </w:tr>
    </w:tbl>
    <w:p>
      <w:pPr>
        <w:spacing w:before="200" w:after="120"/>
      </w:pPr>
      <w:r>
        <w:rPr>
          <w:b/>
          <w:bCs/>
          <w:color w:val="051C2C"/>
          <w:sz w:val="22"/>
          <w:szCs w:val="22"/>
        </w:rPr>
        <w:t xml:space="preserve">ROI CALCULATION FRAMEWORK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FFE6E6" w:val="clear"/>
          </w:tcPr>
          <w:p>
            <w:r>
              <w:rPr>
                <w:b/>
                <w:bCs/>
                <w:sz w:val="20"/>
                <w:szCs w:val="20"/>
              </w:rPr>
              <w:t xml:space="preserve">Investment</w:t>
            </w:r>
          </w:p>
          <w:p>
            <w:r>
              <w:rPr>
                <w:b/>
                <w:bCs/>
                <w:color w:val="CC0000"/>
                <w:sz w:val="22"/>
                <w:szCs w:val="22"/>
              </w:rPr>
              <w:t xml:space="preserve">€10,000-15,000 for contract developer</w:t>
            </w:r>
          </w:p>
        </w:tc>
        <w:tc>
          <w:tcPr>
            <w:tcW w:type="dxa" w:w="4680"/>
            <w:tcBorders>
              <w:top w:val="single" w:color="CCCCCC" w:sz="1"/>
              <w:left w:val="single" w:color="CCCCCC" w:sz="1"/>
              <w:bottom w:val="single" w:color="CCCCCC" w:sz="1"/>
              <w:right w:val="single" w:color="CCCCCC" w:sz="1"/>
            </w:tcBorders>
            <w:shd w:fill="E6F7E6" w:val="clear"/>
          </w:tcPr>
          <w:p>
            <w:r>
              <w:rPr>
                <w:b/>
                <w:bCs/>
                <w:sz w:val="20"/>
                <w:szCs w:val="20"/>
              </w:rPr>
              <w:t xml:space="preserve">Revenue Acceleration</w:t>
            </w:r>
          </w:p>
          <w:p>
            <w:r>
              <w:rPr>
                <w:b/>
                <w:bCs/>
                <w:color w:val="009900"/>
                <w:sz w:val="22"/>
                <w:szCs w:val="22"/>
              </w:rPr>
              <w:t xml:space="preserve">$12,500 (3 months earlier contract)</w:t>
            </w:r>
          </w:p>
        </w:tc>
      </w:tr>
      <w:tr>
        <w:tc>
          <w:tcPr>
            <w:tcW w:type="dxa" w:w="4680"/>
            <w:tcBorders>
              <w:top w:val="single" w:color="CCCCCC" w:sz="1"/>
              <w:left w:val="single" w:color="CCCCCC" w:sz="1"/>
              <w:bottom w:val="single" w:color="CCCCCC" w:sz="1"/>
              <w:right w:val="single" w:color="CCCCCC" w:sz="1"/>
            </w:tcBorders>
            <w:shd w:fill="FFE6E6" w:val="clear"/>
          </w:tcPr>
          <w:p>
            <w:r>
              <w:rPr>
                <w:b/>
                <w:bCs/>
                <w:sz w:val="20"/>
                <w:szCs w:val="20"/>
              </w:rPr>
              <w:t xml:space="preserve">Cost Savings</w:t>
            </w:r>
          </w:p>
          <w:p>
            <w:r>
              <w:rPr>
                <w:b/>
                <w:bCs/>
                <w:color w:val="CC0000"/>
                <w:sz w:val="22"/>
                <w:szCs w:val="22"/>
              </w:rPr>
              <w:t xml:space="preserve">$5,000 (reduced support, fewer iterations)</w:t>
            </w:r>
          </w:p>
        </w:tc>
        <w:tc>
          <w:tcPr>
            <w:tcW w:type="dxa" w:w="4680"/>
            <w:tcBorders>
              <w:top w:val="single" w:color="CCCCCC" w:sz="1"/>
              <w:left w:val="single" w:color="CCCCCC" w:sz="1"/>
              <w:bottom w:val="single" w:color="CCCCCC" w:sz="1"/>
              <w:right w:val="single" w:color="CCCCCC" w:sz="1"/>
            </w:tcBorders>
            <w:shd w:fill="E6F7E6" w:val="clear"/>
          </w:tcPr>
          <w:p>
            <w:r>
              <w:rPr>
                <w:b/>
                <w:bCs/>
                <w:sz w:val="20"/>
                <w:szCs w:val="20"/>
              </w:rPr>
              <w:t xml:space="preserve">Total Benefit</w:t>
            </w:r>
          </w:p>
          <w:p>
            <w:r>
              <w:rPr>
                <w:b/>
                <w:bCs/>
                <w:color w:val="009900"/>
                <w:sz w:val="22"/>
                <w:szCs w:val="22"/>
              </w:rPr>
              <w:t xml:space="preserve">$17,500 vs €10,000-15,000 investment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F8F9FA" w:val="clear"/>
          </w:tcPr>
          <w:p>
            <w:pPr>
              <w:jc w:val="center"/>
            </w:pPr>
            <w:r>
              <w:rPr>
                <w:b/>
                <w:bCs/>
                <w:color w:val="051C2C"/>
                <w:sz w:val="22"/>
                <w:szCs w:val="22"/>
              </w:rPr>
              <w:t xml:space="preserve">What We Found</w:t>
            </w:r>
          </w:p>
        </w:tc>
        <w:tc>
          <w:tcPr>
            <w:tcW w:type="dxa" w:w="4680"/>
            <w:tcBorders>
              <w:top w:val="single" w:color="CCCCCC" w:sz="1"/>
              <w:left w:val="single" w:color="CCCCCC" w:sz="1"/>
              <w:bottom w:val="single" w:color="CCCCCC" w:sz="1"/>
              <w:right w:val="single" w:color="CCCCCC" w:sz="1"/>
            </w:tcBorders>
            <w:shd w:fill="E8F1F5" w:val="clear"/>
          </w:tcPr>
          <w:p>
            <w:pPr>
              <w:jc w:val="center"/>
            </w:pPr>
            <w:r>
              <w:rPr>
                <w:b/>
                <w:bCs/>
                <w:color w:val="051C2C"/>
                <w:sz w:val="22"/>
                <w:szCs w:val="22"/>
              </w:rPr>
              <w:t xml:space="preserve">What It Means</w:t>
            </w:r>
          </w:p>
        </w:tc>
      </w:tr>
      <w:tr>
        <w:tc>
          <w:tcPr>
            <w:tcW w:type="dxa" w:w="468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sz w:val="22"/>
                <w:szCs w:val="22"/>
              </w:rPr>
              <w:t xml:space="preserve">Positive ROI within 6-9 months based on conservative assumptions.</w:t>
            </w:r>
          </w:p>
        </w:tc>
        <w:tc>
          <w:tcPr>
            <w:tcW w:type="dxa" w:w="468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sz w:val="22"/>
                <w:szCs w:val="22"/>
              </w:rPr>
              <w:t xml:space="preserve">Strategic value beyond direct financial return: competitive differentiation, technical credibility, regulatory advantage.</w:t>
            </w:r>
          </w:p>
        </w:tc>
      </w:tr>
    </w:tbl>
    <w:p>
      <w:r>
        <w:br w:type="page"/>
      </w:r>
    </w:p>
    <w:p>
      <w:pPr>
        <w:pStyle w:val="Heading1"/>
      </w:pPr>
      <w:r>
        <w:t xml:space="preserve">Recommendations and Next Steps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W w:type="dxa" w:w="9360"/>
            <w:tcBorders>
              <w:top w:val="double" w:color="051C2C" w:sz="3"/>
              <w:left w:val="single" w:color="CCCCCC" w:sz="1"/>
              <w:bottom w:val="single" w:color="CCCCCC" w:sz="1"/>
              <w:right w:val="single" w:color="CCCCCC" w:sz="1"/>
            </w:tcBorders>
            <w:shd w:fill="E8F1F5" w:val="clear"/>
            <w:tcMar>
              <w:top w:type="dxa" w:w="120"/>
              <w:left w:type="dxa" w:w="180"/>
              <w:bottom w:type="dxa" w:w="120"/>
              <w:right w:type="dxa" w:w="180"/>
            </w:tcMar>
          </w:tcPr>
          <w:p>
            <w:r>
              <w:rPr>
                <w:b/>
                <w:bCs/>
                <w:color w:val="051C2C"/>
                <w:sz w:val="20"/>
                <w:szCs w:val="20"/>
              </w:rPr>
              <w:t xml:space="preserve">KEY INSIGHT</w:t>
            </w:r>
          </w:p>
          <w:p>
            <w:pPr>
              <w:spacing w:before="80"/>
            </w:pPr>
            <w:r>
              <w:rPr>
                <w:sz w:val="22"/>
                <w:szCs w:val="22"/>
              </w:rPr>
              <w:t xml:space="preserve">Three critical success factors: (1) Technical de-risking, (2) Market acceleration, (3) Clinical validation. Synthea addresses all three simultaneously.</w:t>
            </w:r>
          </w:p>
        </w:tc>
      </w:tr>
    </w:tbl>
    <w:p>
      <w:pPr>
        <w:pStyle w:val="PullQuote"/>
      </w:pPr>
      <w:r>
        <w:rPr>
          <w:i/>
          <w:iCs/>
          <w:sz w:val="24"/>
          <w:szCs w:val="24"/>
        </w:rPr>
        <w:t xml:space="preserve">Synthea represents a unique opportunity to accelerate Alakin Platform development while creating sustainable competitive advantage in Indonesian market.</w:t>
      </w:r>
    </w:p>
    <w:p>
      <w:pPr>
        <w:spacing w:before="200" w:after="120"/>
      </w:pPr>
      <w:r>
        <w:rPr>
          <w:b/>
          <w:bCs/>
          <w:color w:val="051C2C"/>
          <w:sz w:val="24"/>
          <w:szCs w:val="24"/>
        </w:rPr>
        <w:t xml:space="preserve">IMPLEMENTATION PRIORITIES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60"/>
      </w:tblGrid>
      <w:tr>
        <w:tc>
          <w:tcPr>
            <w:tcW w:type="dxa" w:w="9360"/>
            <w:tcBorders>
              <w:top w:val="single" w:color="CCCCCC" w:sz="1"/>
              <w:left w:val="single" w:color="CCCCCC" w:sz="1"/>
              <w:bottom w:val="single" w:color="CCCCCC" w:sz="1"/>
              <w:right w:val="single" w:color="CCCCCC" w:sz="1"/>
            </w:tcBorders>
            <w:shd w:fill="051C2C" w:val="clear"/>
          </w:tcPr>
          <w:p>
            <w:r>
              <w:rPr>
                <w:b/>
                <w:bCs/>
                <w:color w:val="FFFFFF"/>
                <w:sz w:val="22"/>
                <w:szCs w:val="22"/>
              </w:rPr>
              <w:t xml:space="preserve">PRIORITY 1: Establish Synthetic Data Testing Environment</w:t>
            </w:r>
          </w:p>
          <w:p>
            <w:r>
              <w:rPr>
                <w:color w:val="FFFFFF"/>
                <w:sz w:val="18"/>
                <w:szCs w:val="18"/>
              </w:rPr>
              <w:t xml:space="preserve">Timeline: Immediate (Month 1) | Investment: 8-12 hours technical + 5-10 hours oversight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Actions: Tech2Heal installs Synthea, configures FHIR R4, generates 1,000 synthetic patients, loads into Alakin dev environment</w:t>
            </w:r>
          </w:p>
        </w:tc>
      </w:tr>
      <w:tr>
        <w:tc>
          <w:tcPr>
            <w:tcW w:type="dxa" w:w="9360"/>
            <w:tcBorders>
              <w:top w:val="single" w:color="CCCCCC" w:sz="1"/>
              <w:left w:val="single" w:color="CCCCCC" w:sz="1"/>
              <w:bottom w:val="single" w:color="CCCCCC" w:sz="1"/>
              <w:right w:val="single" w:color="CCCCCC" w:sz="1"/>
            </w:tcBorders>
            <w:shd w:fill="1E5A8A" w:val="clear"/>
          </w:tcPr>
          <w:p>
            <w:r>
              <w:rPr>
                <w:b/>
                <w:bCs/>
                <w:color w:val="FFFFFF"/>
                <w:sz w:val="22"/>
                <w:szCs w:val="22"/>
              </w:rPr>
              <w:t xml:space="preserve">PRIORITY 2: Develop Indonesian Disease Modules</w:t>
            </w:r>
          </w:p>
          <w:p>
            <w:r>
              <w:rPr>
                <w:color w:val="FFFFFF"/>
                <w:sz w:val="18"/>
                <w:szCs w:val="18"/>
              </w:rPr>
              <w:t xml:space="preserve">Timeline: Months 2-4 | Investment: 40-50 hours total</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Actions: Indonesian T2DM, hypertension, CVD modules; clinical validation partnerships with Perkeni/Perhip</w:t>
            </w:r>
          </w:p>
        </w:tc>
      </w:tr>
      <w:tr>
        <w:tc>
          <w:tcPr>
            <w:tcW w:type="dxa" w:w="9360"/>
            <w:tcBorders>
              <w:top w:val="single" w:color="CCCCCC" w:sz="1"/>
              <w:left w:val="single" w:color="CCCCCC" w:sz="1"/>
              <w:bottom w:val="single" w:color="CCCCCC" w:sz="1"/>
              <w:right w:val="single" w:color="CCCCCC" w:sz="1"/>
            </w:tcBorders>
            <w:shd w:fill="4A90A4" w:val="clear"/>
          </w:tcPr>
          <w:p>
            <w:r>
              <w:rPr>
                <w:b/>
                <w:bCs/>
                <w:color w:val="FFFFFF"/>
                <w:sz w:val="22"/>
                <w:szCs w:val="22"/>
              </w:rPr>
              <w:t xml:space="preserve">PRIORITY 3: Pilot Project Integration</w:t>
            </w:r>
          </w:p>
          <w:p>
            <w:r>
              <w:rPr>
                <w:color w:val="FFFFFF"/>
                <w:sz w:val="18"/>
                <w:szCs w:val="18"/>
              </w:rPr>
              <w:t xml:space="preserve">Timeline: Months 3-6 | Investment: 20-30 hours total</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Actions: Pre-pilot validation for hospital partners, demo data packages, regulatory sandbox support</w:t>
            </w:r>
          </w:p>
        </w:tc>
      </w:tr>
    </w:tbl>
    <w:p>
      <w:pPr>
        <w:spacing w:before="200" w:after="120"/>
      </w:pPr>
      <w:r>
        <w:rPr>
          <w:b/>
          <w:bCs/>
          <w:color w:val="051C2C"/>
          <w:sz w:val="24"/>
          <w:szCs w:val="24"/>
        </w:rPr>
        <w:t xml:space="preserve">DECISION REQUEST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60"/>
      </w:tblGrid>
      <w:tr>
        <w:tc>
          <w:tcPr>
            <w:tcW w:type="dxa" w:w="9360"/>
            <w:tcBorders>
              <w:top w:val="double" w:color="051C2C" w:sz="3"/>
              <w:left w:val="single" w:color="CCCCCC" w:sz="1"/>
              <w:bottom w:val="single" w:color="CCCCCC" w:sz="1"/>
              <w:right w:val="single" w:color="CCCCCC" w:sz="1"/>
            </w:tcBorders>
            <w:shd w:fill="E8F1F5" w:val="clear"/>
            <w:tcMar>
              <w:top w:type="dxa" w:w="120"/>
              <w:left w:type="dxa" w:w="180"/>
              <w:bottom w:type="dxa" w:w="120"/>
              <w:right w:type="dxa" w:w="180"/>
            </w:tcMar>
          </w:tcPr>
          <w:p>
            <w:pPr>
              <w:spacing w:after="100"/>
            </w:pPr>
            <w:r>
              <w:rPr>
                <w:b/>
                <w:bCs/>
                <w:color w:val="051C2C"/>
                <w:sz w:val="24"/>
                <w:szCs w:val="24"/>
              </w:rPr>
              <w:t xml:space="preserve">RECOMMENDED DECISION: Proceed with Phased Implementation</w:t>
            </w:r>
          </w:p>
          <w:p>
            <w:r>
              <w:rPr>
                <w:sz w:val="22"/>
                <w:szCs w:val="22"/>
              </w:rPr>
              <w:t xml:space="preserve">Rationale: Low financial investment (€10,000-15,000) with high strategic return; Aligns with Indonesia market entry strategy and accelerates timeline; Creates sustainable first-mover advantage in Indonesian RPM/DTx market</w:t>
            </w:r>
          </w:p>
        </w:tc>
      </w:tr>
    </w:tbl>
    <w:p>
      <w:pPr>
        <w:spacing w:before="200" w:after="120"/>
      </w:pPr>
      <w:r>
        <w:rPr>
          <w:b/>
          <w:bCs/>
          <w:color w:val="051C2C"/>
          <w:sz w:val="22"/>
          <w:szCs w:val="22"/>
        </w:rPr>
        <w:t xml:space="preserve">APPROVALS REQUESTED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60"/>
      </w:tblGrid>
      <w:tr>
        <w:tc>
          <w:tcPr>
            <w:tcW w:type="dxa" w:w="9360"/>
            <w:tcMar>
              <w:top w:type="dxa" w:w="80"/>
              <w:left w:type="dxa" w:w="180"/>
              <w:bottom w:type="dxa" w:w="80"/>
              <w:right w:type="dxa" w:w="180"/>
            </w:tcMar>
          </w:tcPr>
          <w:p>
            <w:pPr>
              <w:pStyle w:val="ListParagraph"/>
              <w:numPr>
                <w:ilvl w:val="0"/>
                <w:numId w:val="4"/>
              </w:numPr>
            </w:pPr>
            <w:r>
              <w:rPr>
                <w:sz w:val="22"/>
                <w:szCs w:val="22"/>
              </w:rPr>
              <w:t xml:space="preserve">Authorization for €10,000-15,000 investment in Indonesian disease module development</w:t>
            </w:r>
          </w:p>
        </w:tc>
      </w:tr>
      <w:tr>
        <w:tc>
          <w:tcPr>
            <w:tcW w:type="dxa" w:w="9360"/>
            <w:tcMar>
              <w:top w:type="dxa" w:w="80"/>
              <w:left w:type="dxa" w:w="180"/>
              <w:bottom w:type="dxa" w:w="80"/>
              <w:right w:type="dxa" w:w="180"/>
            </w:tcMar>
          </w:tcPr>
          <w:p>
            <w:pPr>
              <w:pStyle w:val="ListParagraph"/>
              <w:numPr>
                <w:ilvl w:val="0"/>
                <w:numId w:val="4"/>
              </w:numPr>
            </w:pPr>
            <w:r>
              <w:rPr>
                <w:sz w:val="22"/>
                <w:szCs w:val="22"/>
              </w:rPr>
              <w:t xml:space="preserve">Confirmation that technical team can allocate 40-60 hours over next 3-6 months</w:t>
            </w:r>
          </w:p>
        </w:tc>
      </w:tr>
      <w:tr>
        <w:tc>
          <w:tcPr>
            <w:tcW w:type="dxa" w:w="9360"/>
            <w:tcMar>
              <w:top w:type="dxa" w:w="80"/>
              <w:left w:type="dxa" w:w="180"/>
              <w:bottom w:type="dxa" w:w="80"/>
              <w:right w:type="dxa" w:w="180"/>
            </w:tcMar>
          </w:tcPr>
          <w:p>
            <w:pPr>
              <w:pStyle w:val="ListParagraph"/>
              <w:numPr>
                <w:ilvl w:val="0"/>
                <w:numId w:val="4"/>
              </w:numPr>
            </w:pPr>
            <w:r>
              <w:rPr>
                <w:sz w:val="22"/>
                <w:szCs w:val="22"/>
              </w:rPr>
              <w:t xml:space="preserve">Strategic alignment with Indonesia market entry priorities</w:t>
            </w:r>
          </w:p>
        </w:tc>
      </w:tr>
    </w:tbl>
    <w:p>
      <w:pPr>
        <w:spacing w:before="200"/>
      </w:pPr>
      <w:r>
        <w:br w:type="page"/>
      </w:r>
    </w:p>
    <w:p>
      <w:pPr>
        <w:spacing w:before="1440" w:after="120"/>
        <w:jc w:val="center"/>
      </w:pPr>
      <w:r>
        <w:rPr>
          <w:rFonts w:ascii="Arial" w:cs="Arial" w:eastAsia="Arial" w:hAnsi="Arial"/>
          <w:b/>
          <w:bCs/>
          <w:color w:val="051C2C"/>
          <w:sz w:val="32"/>
          <w:szCs w:val="32"/>
        </w:rPr>
        <w:t xml:space="preserve">ABOUT THE AUTHOR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200"/>
          <w:left w:type="dxa" w:w="1440"/>
          <w:bottom w:type="dxa" w:w="200"/>
          <w:right w:type="dxa" w:w="1440"/>
        </w:tblCellMar>
      </w:tblPr>
      <w:tblGrid>
        <w:gridCol w:w="9360"/>
      </w:tblGrid>
      <w:tr>
        <w:tc>
          <w:tcPr>
            <w:tcW w:type="dxa" w:w="9360"/>
          </w:tcPr>
          <w:p>
            <w:pPr>
              <w:spacing w:after="80"/>
              <w:jc w:val="center"/>
            </w:pPr>
            <w:r>
              <w:rPr>
                <w:b/>
                <w:bCs/>
                <w:color w:val="051C2C"/>
                <w:sz w:val="28"/>
                <w:szCs w:val="28"/>
              </w:rPr>
              <w:t xml:space="preserve">Dr. Ahmad Hidayat, MSc, MBA</w:t>
            </w:r>
          </w:p>
          <w:p>
            <w:pPr>
              <w:spacing w:after="80"/>
              <w:jc w:val="center"/>
            </w:pPr>
            <w:r>
              <w:rPr>
                <w:sz w:val="22"/>
                <w:szCs w:val="22"/>
              </w:rPr>
              <w:t xml:space="preserve">Indonesia Market Development Consultant</w:t>
            </w:r>
          </w:p>
          <w:p>
            <w:pPr>
              <w:spacing w:after="80"/>
              <w:jc w:val="center"/>
            </w:pPr>
            <w:r>
              <w:rPr>
                <w:i/>
                <w:iCs/>
                <w:color w:val="6C757D"/>
                <w:sz w:val="20"/>
                <w:szCs w:val="20"/>
              </w:rPr>
              <w:t xml:space="preserve">Digital Health Expert specializing in FHIR implementation and Indonesian healthcare systems</w:t>
            </w:r>
          </w:p>
          <w:p>
            <w:pPr>
              <w:spacing w:after="80"/>
              <w:jc w:val="center"/>
            </w:pPr>
            <w:r>
              <w:rPr>
                <w:sz w:val="20"/>
                <w:szCs w:val="20"/>
              </w:rPr>
              <w:t xml:space="preserve">Tech2Heal SAS</w:t>
            </w:r>
          </w:p>
          <w:p>
            <w:pPr>
              <w:spacing w:after="200"/>
              <w:jc w:val="center"/>
            </w:pPr>
            <w:r>
              <w:rPr>
                <w:color w:val="1E5A8A"/>
                <w:sz w:val="20"/>
                <w:szCs w:val="20"/>
              </w:rPr>
              <w:t xml:space="preserve">drahidayat@gmail.com</w:t>
            </w:r>
          </w:p>
          <w:p>
            <w:pPr>
              <w:jc w:val="center"/>
            </w:pPr>
            <w:r>
              <w:rPr>
                <w:color w:val="6C757D"/>
                <w:sz w:val="18"/>
                <w:szCs w:val="18"/>
              </w:rPr>
              <w:t xml:space="preserve">12 January 2026</w:t>
            </w:r>
          </w:p>
        </w:tc>
      </w:tr>
    </w:tbl>
    <w:p>
      <w:pPr>
        <w:spacing w:before="200" w:after="120"/>
      </w:pPr>
      <w:r>
        <w:rPr>
          <w:b/>
          <w:bCs/>
          <w:color w:val="051C2C"/>
          <w:sz w:val="22"/>
          <w:szCs w:val="22"/>
        </w:rPr>
        <w:t xml:space="preserve">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360"/>
      </w:tblGrid>
      <w:tr>
        <w:tc>
          <w:tcPr>
            <w:tcW w:type="dxa" w:w="9360"/>
            <w:tcMar>
              <w:top w:type="dxa" w:w="60"/>
              <w:left w:type="dxa" w:w="180"/>
              <w:bottom w:type="dxa" w:w="60"/>
              <w:right w:type="dxa" w:w="180"/>
            </w:tcMar>
          </w:tcPr>
          <w:p>
            <w:r>
              <w:rPr>
                <w:sz w:val="18"/>
                <w:szCs w:val="18"/>
              </w:rPr>
              <w:t xml:space="preserve">Synthea Technical Documentation: https://synthea.mitre.org/</w:t>
            </w:r>
          </w:p>
          <w:p>
            <w:r>
              <w:rPr>
                <w:sz w:val="18"/>
                <w:szCs w:val="18"/>
              </w:rPr>
              <w:t xml:space="preserve">Synthea GitHub Repository: https://github.com/synthetichealth/synthea</w:t>
            </w:r>
          </w:p>
          <w:p>
            <w:r>
              <w:rPr>
                <w:sz w:val="18"/>
                <w:szCs w:val="18"/>
              </w:rPr>
              <w:t xml:space="preserve">Primary Validation Study: Walonoski J, et al. J Am Med Inform Assoc. 2018;25(3):230-238</w:t>
            </w:r>
          </w:p>
          <w:p>
            <w:r>
              <w:rPr>
                <w:sz w:val="18"/>
                <w:szCs w:val="18"/>
              </w:rPr>
              <w:t xml:space="preserve">Indonesian Epidemiology Data: Riskesdas 2023, Ministry of Health Indonesia</w:t>
            </w:r>
          </w:p>
        </w:tc>
      </w:tr>
    </w:tbl>
    <w:p>
      <w:pPr>
        <w:spacing w:before="200"/>
      </w:pPr>
      <w:r>
        <w:rPr>
          <w:color w:val="6C757D"/>
          <w:sz w:val="8"/>
          <w:szCs w:val="8"/>
        </w:rPr>
        <w:t xml:space="preserve">_________________________________________________________________________________________________________________________________________________________</w:t>
      </w:r>
    </w:p>
    <w:p>
      <w:pPr>
        <w:spacing w:before="80"/>
        <w:jc w:val="center"/>
      </w:pPr>
      <w:r>
        <w:rPr>
          <w:i/>
          <w:iCs/>
          <w:color w:val="6C757D"/>
          <w:sz w:val="16"/>
          <w:szCs w:val="16"/>
        </w:rPr>
        <w:t xml:space="preserve">Report Classification: Internal Tech2Heal Leadership Communication</w:t>
      </w:r>
    </w:p>
    <w:p>
      <w:pPr>
        <w:jc w:val="center"/>
      </w:pPr>
      <w:r>
        <w:rPr>
          <w:i/>
          <w:iCs/>
          <w:color w:val="6C757D"/>
          <w:sz w:val="16"/>
          <w:szCs w:val="16"/>
        </w:rPr>
        <w:t xml:space="preserve">Approximately 6,500 words | 14 pages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C757D"/>
        <w:sz w:val="18"/>
        <w:szCs w:val="18"/>
      </w:rPr>
      <w:t xml:space="preserve">Tech2Heal SAS | Strategic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51C2C"/>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051C2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5A8A"/>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4A90A4"/>
      <w:sz w:val="24"/>
      <w:szCs w:val="24"/>
    </w:rPr>
  </w:style>
  <w:style w:type="paragraph" w:styleId="Subtitle">
    <w:name w:val="Subtitle"/>
    <w:basedOn w:val="Normal"/>
    <w:pPr>
      <w:spacing w:before="120" w:after="240"/>
      <w:jc w:val="center"/>
    </w:pPr>
    <w:rPr>
      <w:rFonts w:ascii="Arial" w:cs="Arial" w:eastAsia="Arial" w:hAnsi="Arial"/>
      <w:i/>
      <w:iCs/>
      <w:color w:val="6C757D"/>
      <w:sz w:val="26"/>
      <w:szCs w:val="26"/>
    </w:rPr>
  </w:style>
  <w:style w:type="paragraph" w:styleId="PullQuote">
    <w:name w:val="Pull Quote"/>
    <w:basedOn w:val="Normal"/>
    <w:pPr>
      <w:spacing w:before="200" w:after="200"/>
      <w:ind w:left="1440" w:right="1440"/>
      <w:jc w:val="center"/>
    </w:pPr>
    <w:rPr>
      <w:rFonts w:ascii="Arial" w:cs="Arial" w:eastAsia="Arial" w:hAnsi="Arial"/>
      <w:i/>
      <w:iCs/>
      <w:color w:val="1E5A8A"/>
      <w:sz w:val="26"/>
      <w:szCs w:val="26"/>
    </w:rPr>
  </w:style>
  <w:style w:type="paragraph" w:styleId="CalloutText">
    <w:name w:val="Callout Text"/>
    <w:basedOn w:val="Normal"/>
    <w:pPr>
      <w:spacing w:before="100" w:after="100"/>
    </w:pPr>
    <w:rPr>
      <w:rFonts w:ascii="Arial" w:cs="Arial" w:eastAsia="Arial" w:hAnsi="Arial"/>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2026-01-16T15:39:11.041Z</dcterms:created>
  <dcterms:modified xsi:type="dcterms:W3CDTF">2026-01-16T15:39:11.042Z</dcterms:modified>
</cp:coreProperties>
</file>

<file path=docProps/custom.xml><?xml version="1.0" encoding="utf-8"?>
<Properties xmlns="http://schemas.openxmlformats.org/officeDocument/2006/custom-properties" xmlns:vt="http://schemas.openxmlformats.org/officeDocument/2006/docPropsVTypes"/>
</file>